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70D" w:rsidRPr="009B3899" w:rsidRDefault="0097770D">
      <w:pPr>
        <w:pStyle w:val="RubrikInnehllsf"/>
        <w:shd w:val="clear" w:color="000000" w:fill="auto"/>
        <w:rPr>
          <w:highlight w:val="lightGray"/>
        </w:rPr>
      </w:pPr>
      <w:r w:rsidRPr="009B3899">
        <w:rPr>
          <w:highlight w:val="lightGray"/>
        </w:rPr>
        <w:t>Innehållsförteckning</w:t>
      </w:r>
    </w:p>
    <w:p w:rsidR="00C9119B" w:rsidRPr="009B3899" w:rsidRDefault="00B071E8">
      <w:pPr>
        <w:pStyle w:val="Innehll1"/>
        <w:shd w:val="clear" w:color="000000" w:fill="auto"/>
        <w:tabs>
          <w:tab w:val="left" w:pos="240"/>
          <w:tab w:val="left" w:pos="720"/>
        </w:tabs>
        <w:spacing w:before="125"/>
        <w:rPr>
          <w:sz w:val="24"/>
          <w:szCs w:val="24"/>
        </w:rPr>
      </w:pPr>
      <w:r w:rsidRPr="009B3899">
        <w:rPr>
          <w:sz w:val="24"/>
        </w:rPr>
        <w:fldChar w:fldCharType="begin" w:fldLock="1"/>
      </w:r>
      <w:r w:rsidR="0097770D" w:rsidRPr="009B3899">
        <w:instrText xml:space="preserve"> TOC \o "2-3" \t "Rubrik 1;1;Hemstl_rubrik;1;RubrikSammanf;1" </w:instrText>
      </w:r>
      <w:r w:rsidRPr="009B3899">
        <w:rPr>
          <w:sz w:val="24"/>
        </w:rPr>
        <w:fldChar w:fldCharType="separate"/>
      </w:r>
      <w:r w:rsidR="00C9119B" w:rsidRPr="009B3899">
        <w:t>2</w:t>
      </w:r>
      <w:r w:rsidR="00C9119B" w:rsidRPr="009B3899">
        <w:rPr>
          <w:sz w:val="24"/>
          <w:szCs w:val="24"/>
        </w:rPr>
        <w:tab/>
      </w:r>
      <w:r w:rsidR="00C9119B" w:rsidRPr="009B3899">
        <w:t>Förslag till riksdagsbeslut</w:t>
      </w:r>
      <w:r w:rsidR="00C9119B" w:rsidRPr="009B3899">
        <w:tab/>
      </w:r>
      <w:r w:rsidRPr="009B3899">
        <w:fldChar w:fldCharType="begin" w:fldLock="1"/>
      </w:r>
      <w:r w:rsidR="00C9119B" w:rsidRPr="009B3899">
        <w:instrText xml:space="preserve"> PAGEREF _Toc179614092 \h </w:instrText>
      </w:r>
      <w:r w:rsidRPr="009B3899">
        <w:fldChar w:fldCharType="separate"/>
      </w:r>
      <w:r w:rsidR="002459F9" w:rsidRPr="009B3899">
        <w:t>2</w:t>
      </w:r>
      <w:r w:rsidRPr="009B3899">
        <w:fldChar w:fldCharType="end"/>
      </w:r>
    </w:p>
    <w:p w:rsidR="00C9119B" w:rsidRPr="009B3899" w:rsidRDefault="00C9119B">
      <w:pPr>
        <w:pStyle w:val="Innehll1"/>
        <w:shd w:val="clear" w:color="000000" w:fill="auto"/>
        <w:tabs>
          <w:tab w:val="left" w:pos="240"/>
          <w:tab w:val="left" w:pos="720"/>
        </w:tabs>
        <w:rPr>
          <w:sz w:val="24"/>
          <w:szCs w:val="24"/>
        </w:rPr>
      </w:pPr>
      <w:r w:rsidRPr="009B3899">
        <w:t>3</w:t>
      </w:r>
      <w:r w:rsidRPr="009B3899">
        <w:rPr>
          <w:sz w:val="24"/>
          <w:szCs w:val="24"/>
        </w:rPr>
        <w:tab/>
      </w:r>
      <w:r w:rsidRPr="009B3899">
        <w:t>Sammanfattning av Vänsterpartiets förslag</w:t>
      </w:r>
      <w:r w:rsidRPr="009B3899">
        <w:tab/>
      </w:r>
      <w:r w:rsidR="00B071E8" w:rsidRPr="009B3899">
        <w:fldChar w:fldCharType="begin" w:fldLock="1"/>
      </w:r>
      <w:r w:rsidRPr="009B3899">
        <w:instrText xml:space="preserve"> PAGEREF _Toc179614093 \h </w:instrText>
      </w:r>
      <w:r w:rsidR="00B071E8" w:rsidRPr="009B3899">
        <w:fldChar w:fldCharType="separate"/>
      </w:r>
      <w:r w:rsidR="002459F9" w:rsidRPr="009B3899">
        <w:t>2</w:t>
      </w:r>
      <w:r w:rsidR="00B071E8" w:rsidRPr="009B3899">
        <w:fldChar w:fldCharType="end"/>
      </w:r>
    </w:p>
    <w:p w:rsidR="00C9119B" w:rsidRPr="009B3899" w:rsidRDefault="00C9119B">
      <w:pPr>
        <w:pStyle w:val="Innehll2"/>
        <w:shd w:val="clear" w:color="000000" w:fill="auto"/>
        <w:tabs>
          <w:tab w:val="left" w:pos="120"/>
          <w:tab w:val="left" w:pos="600"/>
          <w:tab w:val="left" w:pos="1200"/>
        </w:tabs>
        <w:ind w:left="120"/>
        <w:rPr>
          <w:sz w:val="24"/>
          <w:szCs w:val="24"/>
        </w:rPr>
      </w:pPr>
      <w:r w:rsidRPr="009B3899">
        <w:t>3.1</w:t>
      </w:r>
      <w:r w:rsidRPr="009B3899">
        <w:rPr>
          <w:sz w:val="24"/>
          <w:szCs w:val="24"/>
        </w:rPr>
        <w:tab/>
      </w:r>
      <w:r w:rsidRPr="009B3899">
        <w:t>Bostadspolitik</w:t>
      </w:r>
      <w:r w:rsidRPr="009B3899">
        <w:tab/>
      </w:r>
      <w:r w:rsidR="00B071E8" w:rsidRPr="009B3899">
        <w:fldChar w:fldCharType="begin" w:fldLock="1"/>
      </w:r>
      <w:r w:rsidRPr="009B3899">
        <w:instrText xml:space="preserve"> PAGEREF _Toc179614094 \h </w:instrText>
      </w:r>
      <w:r w:rsidR="00B071E8" w:rsidRPr="009B3899">
        <w:fldChar w:fldCharType="separate"/>
      </w:r>
      <w:r w:rsidR="002459F9" w:rsidRPr="009B3899">
        <w:t>2</w:t>
      </w:r>
      <w:r w:rsidR="00B071E8" w:rsidRPr="009B3899">
        <w:fldChar w:fldCharType="end"/>
      </w:r>
    </w:p>
    <w:p w:rsidR="00C9119B" w:rsidRPr="009B3899" w:rsidRDefault="00C9119B">
      <w:pPr>
        <w:pStyle w:val="Innehll2"/>
        <w:shd w:val="clear" w:color="000000" w:fill="auto"/>
        <w:tabs>
          <w:tab w:val="left" w:pos="120"/>
          <w:tab w:val="left" w:pos="600"/>
          <w:tab w:val="left" w:pos="1200"/>
        </w:tabs>
        <w:ind w:left="120"/>
        <w:rPr>
          <w:sz w:val="24"/>
          <w:szCs w:val="24"/>
        </w:rPr>
      </w:pPr>
      <w:r w:rsidRPr="009B3899">
        <w:t>3.2</w:t>
      </w:r>
      <w:r w:rsidRPr="009B3899">
        <w:rPr>
          <w:sz w:val="24"/>
          <w:szCs w:val="24"/>
        </w:rPr>
        <w:tab/>
      </w:r>
      <w:r w:rsidRPr="009B3899">
        <w:t>Konsumentpolitik</w:t>
      </w:r>
      <w:r w:rsidRPr="009B3899">
        <w:tab/>
      </w:r>
      <w:r w:rsidR="00B071E8" w:rsidRPr="009B3899">
        <w:fldChar w:fldCharType="begin" w:fldLock="1"/>
      </w:r>
      <w:r w:rsidRPr="009B3899">
        <w:instrText xml:space="preserve"> PAGEREF _Toc179614095 \h </w:instrText>
      </w:r>
      <w:r w:rsidR="00B071E8" w:rsidRPr="009B3899">
        <w:fldChar w:fldCharType="separate"/>
      </w:r>
      <w:r w:rsidR="002459F9" w:rsidRPr="009B3899">
        <w:t>4</w:t>
      </w:r>
      <w:r w:rsidR="00B071E8" w:rsidRPr="009B3899">
        <w:fldChar w:fldCharType="end"/>
      </w:r>
    </w:p>
    <w:p w:rsidR="00C9119B" w:rsidRPr="009B3899" w:rsidRDefault="00C9119B">
      <w:pPr>
        <w:pStyle w:val="Innehll1"/>
        <w:shd w:val="clear" w:color="000000" w:fill="auto"/>
        <w:tabs>
          <w:tab w:val="left" w:pos="240"/>
          <w:tab w:val="left" w:pos="720"/>
        </w:tabs>
        <w:ind w:left="238" w:hanging="238"/>
        <w:rPr>
          <w:sz w:val="24"/>
          <w:szCs w:val="24"/>
        </w:rPr>
      </w:pPr>
      <w:r w:rsidRPr="009B3899">
        <w:t>4</w:t>
      </w:r>
      <w:r w:rsidRPr="009B3899">
        <w:rPr>
          <w:sz w:val="24"/>
          <w:szCs w:val="24"/>
        </w:rPr>
        <w:tab/>
      </w:r>
      <w:r w:rsidRPr="009B3899">
        <w:t>Regeringens budgetproposition 2008 – en nedmontering av bostadspolitiken</w:t>
      </w:r>
      <w:r w:rsidRPr="009B3899">
        <w:tab/>
      </w:r>
      <w:r w:rsidR="00B071E8" w:rsidRPr="009B3899">
        <w:fldChar w:fldCharType="begin" w:fldLock="1"/>
      </w:r>
      <w:r w:rsidRPr="009B3899">
        <w:instrText xml:space="preserve"> PAGEREF _Toc179614096 \h </w:instrText>
      </w:r>
      <w:r w:rsidR="00B071E8" w:rsidRPr="009B3899">
        <w:fldChar w:fldCharType="separate"/>
      </w:r>
      <w:r w:rsidR="002459F9" w:rsidRPr="009B3899">
        <w:t>5</w:t>
      </w:r>
      <w:r w:rsidR="00B071E8" w:rsidRPr="009B3899">
        <w:fldChar w:fldCharType="end"/>
      </w:r>
    </w:p>
    <w:p w:rsidR="00C9119B" w:rsidRPr="009B3899" w:rsidRDefault="00C9119B">
      <w:pPr>
        <w:pStyle w:val="Innehll1"/>
        <w:shd w:val="clear" w:color="000000" w:fill="auto"/>
        <w:tabs>
          <w:tab w:val="left" w:pos="240"/>
          <w:tab w:val="left" w:pos="720"/>
        </w:tabs>
        <w:rPr>
          <w:sz w:val="24"/>
          <w:szCs w:val="24"/>
        </w:rPr>
      </w:pPr>
      <w:r w:rsidRPr="009B3899">
        <w:t>5</w:t>
      </w:r>
      <w:r w:rsidRPr="009B3899">
        <w:rPr>
          <w:sz w:val="24"/>
          <w:szCs w:val="24"/>
        </w:rPr>
        <w:tab/>
      </w:r>
      <w:r w:rsidRPr="009B3899">
        <w:t>Vänsterpartiets budgetförslag</w:t>
      </w:r>
      <w:r w:rsidRPr="009B3899">
        <w:tab/>
      </w:r>
      <w:r w:rsidR="00B071E8" w:rsidRPr="009B3899">
        <w:fldChar w:fldCharType="begin" w:fldLock="1"/>
      </w:r>
      <w:r w:rsidRPr="009B3899">
        <w:instrText xml:space="preserve"> PAGEREF _Toc179614097 \h </w:instrText>
      </w:r>
      <w:r w:rsidR="00B071E8" w:rsidRPr="009B3899">
        <w:fldChar w:fldCharType="separate"/>
      </w:r>
      <w:r w:rsidR="002459F9" w:rsidRPr="009B3899">
        <w:t>6</w:t>
      </w:r>
      <w:r w:rsidR="00B071E8" w:rsidRPr="009B3899">
        <w:fldChar w:fldCharType="end"/>
      </w:r>
    </w:p>
    <w:p w:rsidR="00C9119B" w:rsidRPr="009B3899" w:rsidRDefault="00C9119B">
      <w:pPr>
        <w:pStyle w:val="Innehll2"/>
        <w:shd w:val="clear" w:color="000000" w:fill="auto"/>
        <w:tabs>
          <w:tab w:val="left" w:pos="120"/>
          <w:tab w:val="left" w:pos="600"/>
          <w:tab w:val="left" w:pos="1200"/>
        </w:tabs>
        <w:ind w:left="120"/>
      </w:pPr>
      <w:r w:rsidRPr="009B3899">
        <w:t>5.1</w:t>
      </w:r>
      <w:r w:rsidRPr="009B3899">
        <w:rPr>
          <w:sz w:val="24"/>
          <w:szCs w:val="24"/>
        </w:rPr>
        <w:tab/>
      </w:r>
      <w:r w:rsidRPr="009B3899">
        <w:t>Statlig bostadsfond</w:t>
      </w:r>
      <w:r w:rsidRPr="009B3899">
        <w:tab/>
      </w:r>
      <w:r w:rsidR="00B071E8" w:rsidRPr="009B3899">
        <w:fldChar w:fldCharType="begin" w:fldLock="1"/>
      </w:r>
      <w:r w:rsidRPr="009B3899">
        <w:instrText xml:space="preserve"> PAGEREF _Toc179614098 \h </w:instrText>
      </w:r>
      <w:r w:rsidR="00B071E8" w:rsidRPr="009B3899">
        <w:fldChar w:fldCharType="separate"/>
      </w:r>
      <w:r w:rsidR="002459F9" w:rsidRPr="009B3899">
        <w:t>6</w:t>
      </w:r>
      <w:r w:rsidR="00B071E8" w:rsidRPr="009B3899">
        <w:fldChar w:fldCharType="end"/>
      </w:r>
    </w:p>
    <w:p w:rsidR="00C9119B" w:rsidRPr="009B3899" w:rsidRDefault="00C9119B">
      <w:pPr>
        <w:pStyle w:val="Innehll2"/>
        <w:shd w:val="clear" w:color="000000" w:fill="auto"/>
        <w:tabs>
          <w:tab w:val="left" w:pos="120"/>
          <w:tab w:val="left" w:pos="600"/>
          <w:tab w:val="left" w:pos="1200"/>
        </w:tabs>
        <w:ind w:left="120"/>
      </w:pPr>
      <w:r w:rsidRPr="009B3899">
        <w:t>5.2</w:t>
      </w:r>
      <w:r w:rsidRPr="009B3899">
        <w:tab/>
        <w:t>Nationell samordnare kooperativa hyresrätter</w:t>
      </w:r>
      <w:r w:rsidRPr="009B3899">
        <w:tab/>
      </w:r>
      <w:r w:rsidR="00B071E8" w:rsidRPr="009B3899">
        <w:fldChar w:fldCharType="begin" w:fldLock="1"/>
      </w:r>
      <w:r w:rsidRPr="009B3899">
        <w:instrText xml:space="preserve"> PAGEREF _Toc179614099 \h </w:instrText>
      </w:r>
      <w:r w:rsidR="00B071E8" w:rsidRPr="009B3899">
        <w:fldChar w:fldCharType="separate"/>
      </w:r>
      <w:r w:rsidR="002459F9" w:rsidRPr="009B3899">
        <w:t>8</w:t>
      </w:r>
      <w:r w:rsidR="00B071E8" w:rsidRPr="009B3899">
        <w:fldChar w:fldCharType="end"/>
      </w:r>
    </w:p>
    <w:p w:rsidR="00C9119B" w:rsidRPr="009B3899" w:rsidRDefault="00C9119B">
      <w:pPr>
        <w:pStyle w:val="Innehll2"/>
        <w:shd w:val="clear" w:color="000000" w:fill="auto"/>
        <w:tabs>
          <w:tab w:val="left" w:pos="120"/>
          <w:tab w:val="left" w:pos="600"/>
          <w:tab w:val="left" w:pos="1200"/>
        </w:tabs>
        <w:ind w:left="120"/>
      </w:pPr>
      <w:r w:rsidRPr="009B3899">
        <w:t>5.3</w:t>
      </w:r>
      <w:r w:rsidRPr="009B3899">
        <w:tab/>
        <w:t>Sanering av förorenade områden i tätort</w:t>
      </w:r>
      <w:r w:rsidRPr="009B3899">
        <w:tab/>
      </w:r>
      <w:r w:rsidR="00B071E8" w:rsidRPr="009B3899">
        <w:fldChar w:fldCharType="begin" w:fldLock="1"/>
      </w:r>
      <w:r w:rsidRPr="009B3899">
        <w:instrText xml:space="preserve"> PAGEREF _Toc179614100 \h </w:instrText>
      </w:r>
      <w:r w:rsidR="00B071E8" w:rsidRPr="009B3899">
        <w:fldChar w:fldCharType="separate"/>
      </w:r>
      <w:r w:rsidR="002459F9" w:rsidRPr="009B3899">
        <w:t>8</w:t>
      </w:r>
      <w:r w:rsidR="00B071E8" w:rsidRPr="009B3899">
        <w:fldChar w:fldCharType="end"/>
      </w:r>
    </w:p>
    <w:p w:rsidR="00C9119B" w:rsidRPr="009B3899" w:rsidRDefault="00C9119B">
      <w:pPr>
        <w:pStyle w:val="Innehll2"/>
        <w:shd w:val="clear" w:color="000000" w:fill="auto"/>
        <w:tabs>
          <w:tab w:val="left" w:pos="120"/>
          <w:tab w:val="left" w:pos="600"/>
          <w:tab w:val="left" w:pos="1200"/>
        </w:tabs>
        <w:ind w:left="120"/>
      </w:pPr>
      <w:r w:rsidRPr="009B3899">
        <w:t>5.4</w:t>
      </w:r>
      <w:r w:rsidRPr="009B3899">
        <w:tab/>
        <w:t>Anslag Passivhus</w:t>
      </w:r>
      <w:r w:rsidRPr="009B3899">
        <w:tab/>
      </w:r>
      <w:r w:rsidR="00B071E8" w:rsidRPr="009B3899">
        <w:fldChar w:fldCharType="begin" w:fldLock="1"/>
      </w:r>
      <w:r w:rsidRPr="009B3899">
        <w:instrText xml:space="preserve"> PAGEREF _Toc179614101 \h </w:instrText>
      </w:r>
      <w:r w:rsidR="00B071E8" w:rsidRPr="009B3899">
        <w:fldChar w:fldCharType="separate"/>
      </w:r>
      <w:r w:rsidR="002459F9" w:rsidRPr="009B3899">
        <w:t>9</w:t>
      </w:r>
      <w:r w:rsidR="00B071E8" w:rsidRPr="009B3899">
        <w:fldChar w:fldCharType="end"/>
      </w:r>
    </w:p>
    <w:p w:rsidR="00C9119B" w:rsidRPr="009B3899" w:rsidRDefault="00C9119B">
      <w:pPr>
        <w:pStyle w:val="Innehll2"/>
        <w:shd w:val="clear" w:color="000000" w:fill="auto"/>
        <w:tabs>
          <w:tab w:val="left" w:pos="120"/>
          <w:tab w:val="left" w:pos="600"/>
          <w:tab w:val="left" w:pos="1200"/>
        </w:tabs>
        <w:ind w:left="120"/>
      </w:pPr>
      <w:r w:rsidRPr="009B3899">
        <w:t>5.5</w:t>
      </w:r>
      <w:r w:rsidRPr="009B3899">
        <w:tab/>
        <w:t>Anslag Fonden för fukt- och mögelskador</w:t>
      </w:r>
      <w:r w:rsidRPr="009B3899">
        <w:tab/>
      </w:r>
      <w:r w:rsidR="00B071E8" w:rsidRPr="009B3899">
        <w:fldChar w:fldCharType="begin" w:fldLock="1"/>
      </w:r>
      <w:r w:rsidRPr="009B3899">
        <w:instrText xml:space="preserve"> PAGEREF _Toc179614102 \h </w:instrText>
      </w:r>
      <w:r w:rsidR="00B071E8" w:rsidRPr="009B3899">
        <w:fldChar w:fldCharType="separate"/>
      </w:r>
      <w:r w:rsidR="002459F9" w:rsidRPr="009B3899">
        <w:t>9</w:t>
      </w:r>
      <w:r w:rsidR="00B071E8" w:rsidRPr="009B3899">
        <w:fldChar w:fldCharType="end"/>
      </w:r>
    </w:p>
    <w:p w:rsidR="00C9119B" w:rsidRPr="009B3899" w:rsidRDefault="00C9119B">
      <w:pPr>
        <w:pStyle w:val="Innehll2"/>
        <w:shd w:val="clear" w:color="000000" w:fill="auto"/>
        <w:tabs>
          <w:tab w:val="left" w:pos="120"/>
          <w:tab w:val="left" w:pos="600"/>
          <w:tab w:val="left" w:pos="1200"/>
        </w:tabs>
        <w:ind w:left="120"/>
      </w:pPr>
      <w:r w:rsidRPr="009B3899">
        <w:t>5.6</w:t>
      </w:r>
      <w:r w:rsidRPr="009B3899">
        <w:tab/>
        <w:t>Bostadsbidraget</w:t>
      </w:r>
      <w:r w:rsidRPr="009B3899">
        <w:tab/>
      </w:r>
      <w:r w:rsidR="00B071E8" w:rsidRPr="009B3899">
        <w:fldChar w:fldCharType="begin" w:fldLock="1"/>
      </w:r>
      <w:r w:rsidRPr="009B3899">
        <w:instrText xml:space="preserve"> PAGEREF _Toc179614103 \h </w:instrText>
      </w:r>
      <w:r w:rsidR="00B071E8" w:rsidRPr="009B3899">
        <w:fldChar w:fldCharType="separate"/>
      </w:r>
      <w:r w:rsidR="002459F9" w:rsidRPr="009B3899">
        <w:t>10</w:t>
      </w:r>
      <w:r w:rsidR="00B071E8" w:rsidRPr="009B3899">
        <w:fldChar w:fldCharType="end"/>
      </w:r>
    </w:p>
    <w:p w:rsidR="00C9119B" w:rsidRPr="009B3899" w:rsidRDefault="00C9119B">
      <w:pPr>
        <w:pStyle w:val="Innehll2"/>
        <w:shd w:val="clear" w:color="000000" w:fill="auto"/>
        <w:tabs>
          <w:tab w:val="left" w:pos="120"/>
          <w:tab w:val="left" w:pos="600"/>
          <w:tab w:val="left" w:pos="1200"/>
        </w:tabs>
        <w:ind w:left="120"/>
      </w:pPr>
      <w:r w:rsidRPr="009B3899">
        <w:t>5.7</w:t>
      </w:r>
      <w:r w:rsidRPr="009B3899">
        <w:tab/>
        <w:t>Bostadskreditnämndens (BKN) kreditgarantier</w:t>
      </w:r>
      <w:r w:rsidRPr="009B3899">
        <w:tab/>
      </w:r>
      <w:r w:rsidR="00B071E8" w:rsidRPr="009B3899">
        <w:fldChar w:fldCharType="begin" w:fldLock="1"/>
      </w:r>
      <w:r w:rsidRPr="009B3899">
        <w:instrText xml:space="preserve"> PAGEREF _Toc179614104 \h </w:instrText>
      </w:r>
      <w:r w:rsidR="00B071E8" w:rsidRPr="009B3899">
        <w:fldChar w:fldCharType="separate"/>
      </w:r>
      <w:r w:rsidR="002459F9" w:rsidRPr="009B3899">
        <w:t>10</w:t>
      </w:r>
      <w:r w:rsidR="00B071E8" w:rsidRPr="009B3899">
        <w:fldChar w:fldCharType="end"/>
      </w:r>
    </w:p>
    <w:p w:rsidR="00C9119B" w:rsidRPr="009B3899" w:rsidRDefault="00C9119B">
      <w:pPr>
        <w:pStyle w:val="Innehll2"/>
        <w:shd w:val="clear" w:color="000000" w:fill="auto"/>
        <w:tabs>
          <w:tab w:val="left" w:pos="120"/>
          <w:tab w:val="left" w:pos="600"/>
          <w:tab w:val="left" w:pos="1200"/>
        </w:tabs>
        <w:ind w:left="120"/>
      </w:pPr>
      <w:r w:rsidRPr="009B3899">
        <w:t>5.8</w:t>
      </w:r>
      <w:r w:rsidRPr="009B3899">
        <w:tab/>
        <w:t>Konsumentverket, Kilen</w:t>
      </w:r>
      <w:r w:rsidRPr="009B3899">
        <w:tab/>
      </w:r>
      <w:r w:rsidR="00B071E8" w:rsidRPr="009B3899">
        <w:fldChar w:fldCharType="begin" w:fldLock="1"/>
      </w:r>
      <w:r w:rsidRPr="009B3899">
        <w:instrText xml:space="preserve"> PAGEREF _Toc179614105 \h </w:instrText>
      </w:r>
      <w:r w:rsidR="00B071E8" w:rsidRPr="009B3899">
        <w:fldChar w:fldCharType="separate"/>
      </w:r>
      <w:r w:rsidR="002459F9" w:rsidRPr="009B3899">
        <w:t>11</w:t>
      </w:r>
      <w:r w:rsidR="00B071E8" w:rsidRPr="009B3899">
        <w:fldChar w:fldCharType="end"/>
      </w:r>
    </w:p>
    <w:p w:rsidR="00C9119B" w:rsidRPr="009B3899" w:rsidRDefault="00C9119B">
      <w:pPr>
        <w:pStyle w:val="Innehll2"/>
        <w:shd w:val="clear" w:color="000000" w:fill="auto"/>
        <w:tabs>
          <w:tab w:val="left" w:pos="120"/>
          <w:tab w:val="left" w:pos="600"/>
          <w:tab w:val="left" w:pos="1200"/>
        </w:tabs>
        <w:ind w:left="120"/>
        <w:rPr>
          <w:sz w:val="24"/>
          <w:szCs w:val="24"/>
        </w:rPr>
      </w:pPr>
      <w:r w:rsidRPr="009B3899">
        <w:t>5.9</w:t>
      </w:r>
      <w:r w:rsidRPr="009B3899">
        <w:tab/>
        <w:t>Konsumentvägledare för kommunerna</w:t>
      </w:r>
      <w:r w:rsidRPr="009B3899">
        <w:tab/>
      </w:r>
      <w:r w:rsidR="00B071E8" w:rsidRPr="009B3899">
        <w:fldChar w:fldCharType="begin" w:fldLock="1"/>
      </w:r>
      <w:r w:rsidRPr="009B3899">
        <w:instrText xml:space="preserve"> PAGEREF _Toc179614106 \h </w:instrText>
      </w:r>
      <w:r w:rsidR="00B071E8" w:rsidRPr="009B3899">
        <w:fldChar w:fldCharType="separate"/>
      </w:r>
      <w:r w:rsidR="002459F9" w:rsidRPr="009B3899">
        <w:t>11</w:t>
      </w:r>
      <w:r w:rsidR="00B071E8" w:rsidRPr="009B3899">
        <w:fldChar w:fldCharType="end"/>
      </w:r>
    </w:p>
    <w:p w:rsidR="00B071E8" w:rsidRPr="009B3899" w:rsidRDefault="00B071E8">
      <w:r w:rsidRPr="009B3899">
        <w:fldChar w:fldCharType="end"/>
      </w:r>
      <w:bookmarkStart w:id="0" w:name="_Toc179614092"/>
    </w:p>
    <w:p w:rsidR="00B5134A" w:rsidRPr="009B3899" w:rsidRDefault="0097770D">
      <w:pPr>
        <w:pStyle w:val="Hemstlrubrik"/>
        <w:pageBreakBefore/>
        <w:shd w:val="clear" w:color="000000" w:fill="auto"/>
        <w:spacing w:before="0"/>
      </w:pPr>
      <w:r w:rsidRPr="009B3899">
        <w:lastRenderedPageBreak/>
        <w:t>Förslag till riksdagsbeslut</w:t>
      </w:r>
      <w:bookmarkEnd w:id="0"/>
    </w:p>
    <w:p w:rsidR="00B071E8" w:rsidRPr="009B3899" w:rsidRDefault="00B071E8">
      <w:pPr>
        <w:pStyle w:val="Hemstlatt"/>
        <w:numPr>
          <w:ilvl w:val="0"/>
          <w:numId w:val="1"/>
        </w:numPr>
        <w:shd w:val="clear" w:color="000000" w:fill="auto"/>
      </w:pPr>
      <w:r w:rsidRPr="009B3899">
        <w:t>Riksdagen avslår vad regeringen föreslår om upphävandet av det nuvarande målet för politikområde Bostadspol</w:t>
      </w:r>
      <w:r w:rsidRPr="009B3899">
        <w:t>i</w:t>
      </w:r>
      <w:r w:rsidRPr="009B3899">
        <w:t>tik.</w:t>
      </w:r>
    </w:p>
    <w:p w:rsidR="00B071E8" w:rsidRPr="009B3899" w:rsidRDefault="00B071E8">
      <w:pPr>
        <w:pStyle w:val="Hemstlatt"/>
        <w:numPr>
          <w:ilvl w:val="0"/>
          <w:numId w:val="1"/>
        </w:numPr>
        <w:shd w:val="clear" w:color="000000" w:fill="auto"/>
      </w:pPr>
      <w:r w:rsidRPr="009B3899">
        <w:t>Riksdagen avslår vad regeringen föreslår om att avveckla det ekonomiska stödet för att avhjälpa fukt- och mögelskador i sm</w:t>
      </w:r>
      <w:r w:rsidRPr="009B3899">
        <w:t>å</w:t>
      </w:r>
      <w:r w:rsidRPr="009B3899">
        <w:t>hus.</w:t>
      </w:r>
    </w:p>
    <w:p w:rsidR="00B071E8" w:rsidRPr="009B3899" w:rsidRDefault="00B071E8">
      <w:pPr>
        <w:pStyle w:val="Hemstlatt"/>
        <w:numPr>
          <w:ilvl w:val="0"/>
          <w:numId w:val="1"/>
        </w:numPr>
        <w:shd w:val="clear" w:color="000000" w:fill="auto"/>
      </w:pPr>
      <w:r w:rsidRPr="009B3899">
        <w:t>Riksdagen avslår vad regeringen föreslår om upphävandet av det nuvarande målet för politikområde Bostadspolitik och k</w:t>
      </w:r>
      <w:r w:rsidRPr="009B3899">
        <w:rPr>
          <w:szCs w:val="22"/>
        </w:rPr>
        <w:t>onsument</w:t>
      </w:r>
      <w:r w:rsidRPr="009B3899">
        <w:rPr>
          <w:szCs w:val="22"/>
        </w:rPr>
        <w:softHyphen/>
        <w:t>politik.</w:t>
      </w:r>
    </w:p>
    <w:p w:rsidR="00B071E8" w:rsidRPr="009B3899" w:rsidRDefault="00B071E8">
      <w:pPr>
        <w:pStyle w:val="Hemstlatt"/>
        <w:numPr>
          <w:ilvl w:val="0"/>
          <w:numId w:val="1"/>
        </w:numPr>
        <w:shd w:val="clear" w:color="000000" w:fill="auto"/>
      </w:pPr>
      <w:r w:rsidRPr="009B3899">
        <w:t>Riksdagen anvisar med följande ändringar i förhållande till regeringens förslag anslagen under utgiftsområde 18 Samhällsplanering, byggande samt konsumentpolitik enligt uppställning:</w:t>
      </w:r>
    </w:p>
    <w:tbl>
      <w:tblPr>
        <w:tblW w:w="5954" w:type="dxa"/>
        <w:tblInd w:w="70" w:type="dxa"/>
        <w:tblLayout w:type="fixed"/>
        <w:tblCellMar>
          <w:left w:w="70" w:type="dxa"/>
          <w:right w:w="70" w:type="dxa"/>
        </w:tblCellMar>
        <w:tblLook w:val="0000" w:firstRow="0" w:lastRow="0" w:firstColumn="0" w:lastColumn="0" w:noHBand="0" w:noVBand="0"/>
      </w:tblPr>
      <w:tblGrid>
        <w:gridCol w:w="715"/>
        <w:gridCol w:w="2903"/>
        <w:gridCol w:w="1291"/>
        <w:gridCol w:w="1045"/>
      </w:tblGrid>
      <w:tr w:rsidR="00040F18" w:rsidRPr="009B3899">
        <w:trPr>
          <w:trHeight w:val="20"/>
        </w:trPr>
        <w:tc>
          <w:tcPr>
            <w:tcW w:w="708" w:type="dxa"/>
            <w:tcBorders>
              <w:top w:val="single" w:sz="4" w:space="0" w:color="auto"/>
              <w:left w:val="nil"/>
              <w:bottom w:val="single" w:sz="8" w:space="0" w:color="000000"/>
              <w:right w:val="nil"/>
            </w:tcBorders>
          </w:tcPr>
          <w:p w:rsidR="00B071E8" w:rsidRPr="009B3899" w:rsidRDefault="00B071E8">
            <w:pPr>
              <w:shd w:val="clear" w:color="000000" w:fill="auto"/>
              <w:spacing w:before="60" w:line="200" w:lineRule="exact"/>
              <w:rPr>
                <w:b/>
                <w:bCs/>
                <w:color w:val="000000"/>
                <w:sz w:val="18"/>
                <w:szCs w:val="18"/>
              </w:rPr>
            </w:pPr>
            <w:r w:rsidRPr="009B3899">
              <w:rPr>
                <w:b/>
                <w:bCs/>
                <w:color w:val="000000"/>
                <w:sz w:val="18"/>
                <w:szCs w:val="18"/>
              </w:rPr>
              <w:t>Anslag</w:t>
            </w:r>
          </w:p>
        </w:tc>
        <w:tc>
          <w:tcPr>
            <w:tcW w:w="2875" w:type="dxa"/>
            <w:tcBorders>
              <w:top w:val="single" w:sz="4" w:space="0" w:color="auto"/>
              <w:left w:val="nil"/>
              <w:bottom w:val="single" w:sz="8" w:space="0" w:color="000000"/>
              <w:right w:val="nil"/>
            </w:tcBorders>
          </w:tcPr>
          <w:p w:rsidR="00B071E8" w:rsidRPr="009B3899" w:rsidRDefault="00B071E8">
            <w:pPr>
              <w:shd w:val="clear" w:color="000000" w:fill="auto"/>
              <w:spacing w:before="60" w:line="200" w:lineRule="exact"/>
              <w:rPr>
                <w:b/>
                <w:bCs/>
                <w:color w:val="000000"/>
                <w:sz w:val="18"/>
                <w:szCs w:val="18"/>
              </w:rPr>
            </w:pPr>
          </w:p>
        </w:tc>
        <w:tc>
          <w:tcPr>
            <w:tcW w:w="1279" w:type="dxa"/>
            <w:tcBorders>
              <w:top w:val="single" w:sz="4" w:space="0" w:color="auto"/>
              <w:left w:val="nil"/>
              <w:bottom w:val="single" w:sz="8" w:space="0" w:color="000000"/>
              <w:right w:val="nil"/>
            </w:tcBorders>
          </w:tcPr>
          <w:p w:rsidR="00B071E8" w:rsidRPr="009B3899" w:rsidRDefault="00B071E8">
            <w:pPr>
              <w:shd w:val="clear" w:color="000000" w:fill="auto"/>
              <w:spacing w:before="60" w:line="200" w:lineRule="exact"/>
              <w:jc w:val="right"/>
              <w:rPr>
                <w:b/>
                <w:bCs/>
                <w:color w:val="000000"/>
                <w:sz w:val="18"/>
                <w:szCs w:val="18"/>
              </w:rPr>
            </w:pPr>
            <w:r w:rsidRPr="009B3899">
              <w:rPr>
                <w:b/>
                <w:bCs/>
                <w:color w:val="000000"/>
                <w:sz w:val="18"/>
                <w:szCs w:val="18"/>
              </w:rPr>
              <w:t>Regeringens förslag</w:t>
            </w:r>
          </w:p>
        </w:tc>
        <w:tc>
          <w:tcPr>
            <w:tcW w:w="1035" w:type="dxa"/>
            <w:tcBorders>
              <w:top w:val="single" w:sz="4" w:space="0" w:color="auto"/>
              <w:left w:val="nil"/>
              <w:bottom w:val="single" w:sz="8" w:space="0" w:color="000000"/>
              <w:right w:val="nil"/>
            </w:tcBorders>
          </w:tcPr>
          <w:p w:rsidR="00B071E8" w:rsidRPr="009B3899" w:rsidRDefault="00B071E8">
            <w:pPr>
              <w:shd w:val="clear" w:color="000000" w:fill="auto"/>
              <w:spacing w:before="60" w:line="200" w:lineRule="exact"/>
              <w:jc w:val="right"/>
              <w:rPr>
                <w:b/>
                <w:bCs/>
                <w:color w:val="000000"/>
                <w:sz w:val="18"/>
                <w:szCs w:val="18"/>
              </w:rPr>
            </w:pPr>
            <w:r w:rsidRPr="009B3899">
              <w:rPr>
                <w:b/>
                <w:bCs/>
                <w:color w:val="000000"/>
                <w:sz w:val="18"/>
                <w:szCs w:val="18"/>
              </w:rPr>
              <w:t>Anslagsför</w:t>
            </w:r>
            <w:r w:rsidRPr="009B3899">
              <w:rPr>
                <w:b/>
                <w:bCs/>
                <w:color w:val="000000"/>
                <w:sz w:val="18"/>
                <w:szCs w:val="18"/>
              </w:rPr>
              <w:softHyphen/>
              <w:t>ändring</w:t>
            </w:r>
          </w:p>
        </w:tc>
      </w:tr>
      <w:tr w:rsidR="00040F18" w:rsidRPr="009B3899">
        <w:trPr>
          <w:trHeight w:val="20"/>
        </w:trPr>
        <w:tc>
          <w:tcPr>
            <w:tcW w:w="708" w:type="dxa"/>
            <w:tcBorders>
              <w:top w:val="nil"/>
              <w:left w:val="nil"/>
              <w:bottom w:val="nil"/>
              <w:right w:val="nil"/>
            </w:tcBorders>
          </w:tcPr>
          <w:p w:rsidR="00B071E8" w:rsidRPr="009B3899" w:rsidRDefault="00B071E8">
            <w:pPr>
              <w:shd w:val="clear" w:color="000000" w:fill="auto"/>
              <w:spacing w:before="60" w:line="200" w:lineRule="exact"/>
              <w:rPr>
                <w:color w:val="000000"/>
                <w:sz w:val="18"/>
                <w:szCs w:val="18"/>
              </w:rPr>
            </w:pPr>
            <w:r w:rsidRPr="009B3899">
              <w:rPr>
                <w:color w:val="000000"/>
                <w:sz w:val="18"/>
                <w:szCs w:val="18"/>
              </w:rPr>
              <w:t>31:1</w:t>
            </w:r>
          </w:p>
        </w:tc>
        <w:tc>
          <w:tcPr>
            <w:tcW w:w="2875" w:type="dxa"/>
            <w:tcBorders>
              <w:top w:val="nil"/>
              <w:left w:val="nil"/>
              <w:bottom w:val="nil"/>
              <w:right w:val="nil"/>
            </w:tcBorders>
            <w:vAlign w:val="bottom"/>
          </w:tcPr>
          <w:p w:rsidR="00B071E8" w:rsidRPr="009B3899" w:rsidRDefault="00B071E8">
            <w:pPr>
              <w:shd w:val="clear" w:color="000000" w:fill="auto"/>
              <w:spacing w:before="60" w:line="200" w:lineRule="exact"/>
              <w:rPr>
                <w:color w:val="000000"/>
                <w:sz w:val="18"/>
                <w:szCs w:val="18"/>
              </w:rPr>
            </w:pPr>
            <w:r w:rsidRPr="009B3899">
              <w:rPr>
                <w:color w:val="000000"/>
                <w:sz w:val="18"/>
                <w:szCs w:val="18"/>
              </w:rPr>
              <w:t>Stöd för ökat byggande av passivhus (Boverket)</w:t>
            </w:r>
          </w:p>
        </w:tc>
        <w:tc>
          <w:tcPr>
            <w:tcW w:w="1279" w:type="dxa"/>
            <w:tcBorders>
              <w:top w:val="nil"/>
              <w:left w:val="nil"/>
              <w:bottom w:val="nil"/>
              <w:right w:val="nil"/>
            </w:tcBorders>
            <w:vAlign w:val="bottom"/>
          </w:tcPr>
          <w:p w:rsidR="00B071E8" w:rsidRPr="009B3899" w:rsidRDefault="00B071E8">
            <w:pPr>
              <w:shd w:val="clear" w:color="000000" w:fill="auto"/>
              <w:spacing w:before="60" w:line="200" w:lineRule="exact"/>
              <w:jc w:val="right"/>
              <w:rPr>
                <w:color w:val="000000"/>
                <w:sz w:val="18"/>
                <w:szCs w:val="18"/>
              </w:rPr>
            </w:pPr>
          </w:p>
        </w:tc>
        <w:tc>
          <w:tcPr>
            <w:tcW w:w="1035" w:type="dxa"/>
            <w:tcBorders>
              <w:top w:val="nil"/>
              <w:left w:val="nil"/>
              <w:bottom w:val="nil"/>
              <w:right w:val="nil"/>
            </w:tcBorders>
            <w:vAlign w:val="bottom"/>
          </w:tcPr>
          <w:p w:rsidR="00B071E8" w:rsidRPr="009B3899" w:rsidRDefault="00B071E8">
            <w:pPr>
              <w:shd w:val="clear" w:color="000000" w:fill="auto"/>
              <w:spacing w:before="60" w:line="200" w:lineRule="exact"/>
              <w:jc w:val="right"/>
              <w:rPr>
                <w:color w:val="000000"/>
                <w:sz w:val="18"/>
                <w:szCs w:val="18"/>
              </w:rPr>
            </w:pPr>
            <w:r w:rsidRPr="009B3899">
              <w:rPr>
                <w:color w:val="000000"/>
                <w:sz w:val="18"/>
                <w:szCs w:val="18"/>
              </w:rPr>
              <w:t>30</w:t>
            </w:r>
            <w:r w:rsidRPr="009B3899">
              <w:rPr>
                <w:bCs/>
                <w:color w:val="000000"/>
                <w:sz w:val="18"/>
                <w:szCs w:val="18"/>
              </w:rPr>
              <w:t> </w:t>
            </w:r>
            <w:r w:rsidRPr="009B3899">
              <w:rPr>
                <w:color w:val="000000"/>
                <w:sz w:val="18"/>
                <w:szCs w:val="18"/>
              </w:rPr>
              <w:t>000</w:t>
            </w:r>
          </w:p>
        </w:tc>
      </w:tr>
      <w:tr w:rsidR="00040F18" w:rsidRPr="009B3899">
        <w:trPr>
          <w:trHeight w:val="20"/>
        </w:trPr>
        <w:tc>
          <w:tcPr>
            <w:tcW w:w="708" w:type="dxa"/>
            <w:tcBorders>
              <w:top w:val="nil"/>
              <w:left w:val="nil"/>
              <w:bottom w:val="nil"/>
              <w:right w:val="nil"/>
            </w:tcBorders>
            <w:vAlign w:val="bottom"/>
          </w:tcPr>
          <w:p w:rsidR="00B071E8" w:rsidRPr="009B3899" w:rsidRDefault="00B071E8">
            <w:pPr>
              <w:shd w:val="clear" w:color="000000" w:fill="auto"/>
              <w:spacing w:before="60" w:line="200" w:lineRule="exact"/>
              <w:rPr>
                <w:color w:val="000000"/>
                <w:sz w:val="18"/>
                <w:szCs w:val="18"/>
              </w:rPr>
            </w:pPr>
          </w:p>
        </w:tc>
        <w:tc>
          <w:tcPr>
            <w:tcW w:w="2875" w:type="dxa"/>
            <w:tcBorders>
              <w:top w:val="nil"/>
              <w:left w:val="nil"/>
              <w:bottom w:val="nil"/>
              <w:right w:val="nil"/>
            </w:tcBorders>
            <w:vAlign w:val="bottom"/>
          </w:tcPr>
          <w:p w:rsidR="00B071E8" w:rsidRPr="009B3899" w:rsidRDefault="00B071E8">
            <w:pPr>
              <w:shd w:val="clear" w:color="000000" w:fill="auto"/>
              <w:spacing w:before="60" w:line="200" w:lineRule="exact"/>
              <w:rPr>
                <w:color w:val="000000"/>
                <w:sz w:val="18"/>
                <w:szCs w:val="18"/>
              </w:rPr>
            </w:pPr>
            <w:r w:rsidRPr="009B3899">
              <w:rPr>
                <w:color w:val="000000"/>
                <w:sz w:val="18"/>
                <w:szCs w:val="18"/>
              </w:rPr>
              <w:t>Nationell samordnare kooperativa hyresrätter</w:t>
            </w:r>
          </w:p>
        </w:tc>
        <w:tc>
          <w:tcPr>
            <w:tcW w:w="1279" w:type="dxa"/>
            <w:tcBorders>
              <w:top w:val="nil"/>
              <w:left w:val="nil"/>
              <w:bottom w:val="nil"/>
              <w:right w:val="nil"/>
            </w:tcBorders>
            <w:vAlign w:val="bottom"/>
          </w:tcPr>
          <w:p w:rsidR="00B071E8" w:rsidRPr="009B3899" w:rsidRDefault="00B071E8">
            <w:pPr>
              <w:shd w:val="clear" w:color="000000" w:fill="auto"/>
              <w:spacing w:before="60" w:line="200" w:lineRule="exact"/>
              <w:jc w:val="right"/>
              <w:rPr>
                <w:color w:val="000000"/>
                <w:sz w:val="18"/>
                <w:szCs w:val="18"/>
              </w:rPr>
            </w:pPr>
          </w:p>
        </w:tc>
        <w:tc>
          <w:tcPr>
            <w:tcW w:w="1035" w:type="dxa"/>
            <w:tcBorders>
              <w:top w:val="nil"/>
              <w:left w:val="nil"/>
              <w:bottom w:val="nil"/>
              <w:right w:val="nil"/>
            </w:tcBorders>
            <w:vAlign w:val="bottom"/>
          </w:tcPr>
          <w:p w:rsidR="00B071E8" w:rsidRPr="009B3899" w:rsidRDefault="00B071E8">
            <w:pPr>
              <w:shd w:val="clear" w:color="000000" w:fill="auto"/>
              <w:spacing w:before="60" w:line="200" w:lineRule="exact"/>
              <w:jc w:val="right"/>
              <w:rPr>
                <w:color w:val="000000"/>
                <w:sz w:val="18"/>
                <w:szCs w:val="18"/>
              </w:rPr>
            </w:pPr>
            <w:r w:rsidRPr="009B3899">
              <w:rPr>
                <w:color w:val="000000"/>
                <w:sz w:val="18"/>
                <w:szCs w:val="18"/>
              </w:rPr>
              <w:t>1</w:t>
            </w:r>
            <w:r w:rsidRPr="009B3899">
              <w:rPr>
                <w:bCs/>
                <w:color w:val="000000"/>
                <w:sz w:val="18"/>
                <w:szCs w:val="18"/>
              </w:rPr>
              <w:t> </w:t>
            </w:r>
            <w:r w:rsidRPr="009B3899">
              <w:rPr>
                <w:color w:val="000000"/>
                <w:sz w:val="18"/>
                <w:szCs w:val="18"/>
              </w:rPr>
              <w:t>600</w:t>
            </w:r>
          </w:p>
        </w:tc>
      </w:tr>
      <w:tr w:rsidR="00040F18" w:rsidRPr="009B3899">
        <w:trPr>
          <w:trHeight w:val="20"/>
        </w:trPr>
        <w:tc>
          <w:tcPr>
            <w:tcW w:w="708" w:type="dxa"/>
            <w:tcBorders>
              <w:top w:val="nil"/>
              <w:left w:val="nil"/>
              <w:bottom w:val="nil"/>
              <w:right w:val="nil"/>
            </w:tcBorders>
          </w:tcPr>
          <w:p w:rsidR="00B071E8" w:rsidRPr="009B3899" w:rsidRDefault="00B071E8">
            <w:pPr>
              <w:shd w:val="clear" w:color="000000" w:fill="auto"/>
              <w:spacing w:before="60" w:line="200" w:lineRule="exact"/>
              <w:rPr>
                <w:color w:val="000000"/>
                <w:sz w:val="18"/>
                <w:szCs w:val="18"/>
              </w:rPr>
            </w:pPr>
            <w:r w:rsidRPr="009B3899">
              <w:rPr>
                <w:color w:val="000000"/>
                <w:sz w:val="18"/>
                <w:szCs w:val="18"/>
              </w:rPr>
              <w:t>31:1</w:t>
            </w:r>
          </w:p>
        </w:tc>
        <w:tc>
          <w:tcPr>
            <w:tcW w:w="2875" w:type="dxa"/>
            <w:tcBorders>
              <w:top w:val="nil"/>
              <w:left w:val="nil"/>
              <w:bottom w:val="nil"/>
              <w:right w:val="nil"/>
            </w:tcBorders>
            <w:vAlign w:val="bottom"/>
          </w:tcPr>
          <w:p w:rsidR="00B071E8" w:rsidRPr="009B3899" w:rsidRDefault="00B071E8">
            <w:pPr>
              <w:shd w:val="clear" w:color="000000" w:fill="auto"/>
              <w:spacing w:before="60" w:line="200" w:lineRule="exact"/>
              <w:rPr>
                <w:color w:val="000000"/>
                <w:sz w:val="18"/>
                <w:szCs w:val="18"/>
              </w:rPr>
            </w:pPr>
            <w:r w:rsidRPr="009B3899">
              <w:rPr>
                <w:color w:val="000000"/>
                <w:sz w:val="18"/>
                <w:szCs w:val="18"/>
              </w:rPr>
              <w:t>Sanering av förorenade områden i tätort (Boverket)</w:t>
            </w:r>
          </w:p>
        </w:tc>
        <w:tc>
          <w:tcPr>
            <w:tcW w:w="1279" w:type="dxa"/>
            <w:tcBorders>
              <w:top w:val="nil"/>
              <w:left w:val="nil"/>
              <w:bottom w:val="nil"/>
              <w:right w:val="nil"/>
            </w:tcBorders>
            <w:vAlign w:val="bottom"/>
          </w:tcPr>
          <w:p w:rsidR="00B071E8" w:rsidRPr="009B3899" w:rsidRDefault="00B071E8">
            <w:pPr>
              <w:shd w:val="clear" w:color="000000" w:fill="auto"/>
              <w:spacing w:before="60" w:line="200" w:lineRule="exact"/>
              <w:jc w:val="right"/>
              <w:rPr>
                <w:color w:val="000000"/>
                <w:sz w:val="18"/>
                <w:szCs w:val="18"/>
              </w:rPr>
            </w:pPr>
          </w:p>
        </w:tc>
        <w:tc>
          <w:tcPr>
            <w:tcW w:w="1035" w:type="dxa"/>
            <w:tcBorders>
              <w:top w:val="nil"/>
              <w:left w:val="nil"/>
              <w:bottom w:val="nil"/>
              <w:right w:val="nil"/>
            </w:tcBorders>
            <w:vAlign w:val="bottom"/>
          </w:tcPr>
          <w:p w:rsidR="00B071E8" w:rsidRPr="009B3899" w:rsidRDefault="00B071E8">
            <w:pPr>
              <w:shd w:val="clear" w:color="000000" w:fill="auto"/>
              <w:spacing w:before="60" w:line="200" w:lineRule="exact"/>
              <w:jc w:val="right"/>
              <w:rPr>
                <w:color w:val="000000"/>
                <w:sz w:val="18"/>
                <w:szCs w:val="18"/>
              </w:rPr>
            </w:pPr>
            <w:r w:rsidRPr="009B3899">
              <w:rPr>
                <w:color w:val="000000"/>
                <w:sz w:val="18"/>
                <w:szCs w:val="18"/>
              </w:rPr>
              <w:t>150</w:t>
            </w:r>
            <w:r w:rsidRPr="009B3899">
              <w:rPr>
                <w:bCs/>
                <w:color w:val="000000"/>
                <w:sz w:val="18"/>
                <w:szCs w:val="18"/>
              </w:rPr>
              <w:t> </w:t>
            </w:r>
            <w:r w:rsidRPr="009B3899">
              <w:rPr>
                <w:color w:val="000000"/>
                <w:sz w:val="18"/>
                <w:szCs w:val="18"/>
              </w:rPr>
              <w:t>000</w:t>
            </w:r>
          </w:p>
        </w:tc>
      </w:tr>
      <w:tr w:rsidR="00040F18" w:rsidRPr="009B3899">
        <w:trPr>
          <w:trHeight w:val="20"/>
        </w:trPr>
        <w:tc>
          <w:tcPr>
            <w:tcW w:w="708" w:type="dxa"/>
            <w:tcBorders>
              <w:top w:val="nil"/>
              <w:left w:val="nil"/>
              <w:bottom w:val="nil"/>
              <w:right w:val="nil"/>
            </w:tcBorders>
            <w:vAlign w:val="bottom"/>
          </w:tcPr>
          <w:p w:rsidR="00B071E8" w:rsidRPr="009B3899" w:rsidRDefault="00B071E8">
            <w:pPr>
              <w:shd w:val="clear" w:color="000000" w:fill="auto"/>
              <w:spacing w:before="60" w:line="200" w:lineRule="exact"/>
              <w:rPr>
                <w:bCs/>
                <w:color w:val="000000"/>
                <w:sz w:val="18"/>
                <w:szCs w:val="18"/>
              </w:rPr>
            </w:pPr>
          </w:p>
        </w:tc>
        <w:tc>
          <w:tcPr>
            <w:tcW w:w="2875" w:type="dxa"/>
            <w:tcBorders>
              <w:top w:val="nil"/>
              <w:left w:val="nil"/>
              <w:bottom w:val="nil"/>
              <w:right w:val="nil"/>
            </w:tcBorders>
            <w:vAlign w:val="bottom"/>
          </w:tcPr>
          <w:p w:rsidR="00B071E8" w:rsidRPr="009B3899" w:rsidRDefault="00B071E8">
            <w:pPr>
              <w:shd w:val="clear" w:color="000000" w:fill="auto"/>
              <w:spacing w:before="60" w:line="200" w:lineRule="exact"/>
              <w:rPr>
                <w:bCs/>
                <w:color w:val="000000"/>
                <w:sz w:val="18"/>
                <w:szCs w:val="18"/>
              </w:rPr>
            </w:pPr>
            <w:r w:rsidRPr="009B3899">
              <w:rPr>
                <w:bCs/>
                <w:color w:val="000000"/>
                <w:sz w:val="18"/>
                <w:szCs w:val="18"/>
              </w:rPr>
              <w:t>Bostadsbidrag</w:t>
            </w:r>
          </w:p>
        </w:tc>
        <w:tc>
          <w:tcPr>
            <w:tcW w:w="1279" w:type="dxa"/>
            <w:tcBorders>
              <w:top w:val="nil"/>
              <w:left w:val="nil"/>
              <w:bottom w:val="nil"/>
              <w:right w:val="nil"/>
            </w:tcBorders>
            <w:vAlign w:val="bottom"/>
          </w:tcPr>
          <w:p w:rsidR="00B071E8" w:rsidRPr="009B3899" w:rsidRDefault="00B071E8">
            <w:pPr>
              <w:shd w:val="clear" w:color="000000" w:fill="auto"/>
              <w:spacing w:before="60" w:line="200" w:lineRule="exact"/>
              <w:jc w:val="right"/>
              <w:rPr>
                <w:bCs/>
                <w:color w:val="000000"/>
                <w:sz w:val="18"/>
                <w:szCs w:val="18"/>
              </w:rPr>
            </w:pPr>
          </w:p>
        </w:tc>
        <w:tc>
          <w:tcPr>
            <w:tcW w:w="1035" w:type="dxa"/>
            <w:tcBorders>
              <w:top w:val="nil"/>
              <w:left w:val="nil"/>
              <w:bottom w:val="nil"/>
              <w:right w:val="nil"/>
            </w:tcBorders>
            <w:vAlign w:val="bottom"/>
          </w:tcPr>
          <w:p w:rsidR="00B071E8" w:rsidRPr="009B3899" w:rsidRDefault="00B071E8">
            <w:pPr>
              <w:shd w:val="clear" w:color="000000" w:fill="auto"/>
              <w:spacing w:before="60" w:line="200" w:lineRule="exact"/>
              <w:jc w:val="right"/>
              <w:rPr>
                <w:bCs/>
                <w:color w:val="000000"/>
                <w:sz w:val="18"/>
                <w:szCs w:val="18"/>
              </w:rPr>
            </w:pPr>
            <w:r w:rsidRPr="009B3899">
              <w:rPr>
                <w:bCs/>
                <w:color w:val="000000"/>
                <w:sz w:val="18"/>
                <w:szCs w:val="18"/>
              </w:rPr>
              <w:t>4 353 000</w:t>
            </w:r>
          </w:p>
        </w:tc>
      </w:tr>
      <w:tr w:rsidR="00040F18" w:rsidRPr="009B3899">
        <w:trPr>
          <w:trHeight w:val="20"/>
        </w:trPr>
        <w:tc>
          <w:tcPr>
            <w:tcW w:w="708" w:type="dxa"/>
            <w:tcBorders>
              <w:top w:val="nil"/>
              <w:left w:val="nil"/>
              <w:bottom w:val="nil"/>
              <w:right w:val="nil"/>
            </w:tcBorders>
            <w:vAlign w:val="bottom"/>
          </w:tcPr>
          <w:p w:rsidR="00B071E8" w:rsidRPr="009B3899" w:rsidRDefault="00B071E8">
            <w:pPr>
              <w:shd w:val="clear" w:color="000000" w:fill="auto"/>
              <w:spacing w:before="60" w:line="200" w:lineRule="exact"/>
              <w:rPr>
                <w:bCs/>
                <w:color w:val="000000"/>
                <w:sz w:val="18"/>
                <w:szCs w:val="18"/>
              </w:rPr>
            </w:pPr>
            <w:r w:rsidRPr="009B3899">
              <w:rPr>
                <w:bCs/>
                <w:color w:val="000000"/>
                <w:sz w:val="18"/>
                <w:szCs w:val="18"/>
              </w:rPr>
              <w:t>31:10</w:t>
            </w:r>
          </w:p>
        </w:tc>
        <w:tc>
          <w:tcPr>
            <w:tcW w:w="2875" w:type="dxa"/>
            <w:tcBorders>
              <w:top w:val="nil"/>
              <w:left w:val="nil"/>
              <w:bottom w:val="nil"/>
              <w:right w:val="nil"/>
            </w:tcBorders>
            <w:vAlign w:val="bottom"/>
          </w:tcPr>
          <w:p w:rsidR="00B071E8" w:rsidRPr="009B3899" w:rsidRDefault="00B071E8">
            <w:pPr>
              <w:shd w:val="clear" w:color="000000" w:fill="auto"/>
              <w:spacing w:before="60" w:line="200" w:lineRule="exact"/>
              <w:rPr>
                <w:bCs/>
                <w:color w:val="000000"/>
                <w:sz w:val="18"/>
                <w:szCs w:val="18"/>
              </w:rPr>
            </w:pPr>
            <w:r w:rsidRPr="009B3899">
              <w:rPr>
                <w:bCs/>
                <w:color w:val="000000"/>
                <w:sz w:val="18"/>
                <w:szCs w:val="18"/>
              </w:rPr>
              <w:t>Fonden för fukt- och mögelskador</w:t>
            </w:r>
          </w:p>
        </w:tc>
        <w:tc>
          <w:tcPr>
            <w:tcW w:w="1279" w:type="dxa"/>
            <w:tcBorders>
              <w:top w:val="nil"/>
              <w:left w:val="nil"/>
              <w:bottom w:val="nil"/>
              <w:right w:val="nil"/>
            </w:tcBorders>
            <w:vAlign w:val="bottom"/>
          </w:tcPr>
          <w:p w:rsidR="00B071E8" w:rsidRPr="009B3899" w:rsidRDefault="00B071E8">
            <w:pPr>
              <w:shd w:val="clear" w:color="000000" w:fill="auto"/>
              <w:spacing w:before="60" w:line="200" w:lineRule="exact"/>
              <w:jc w:val="right"/>
              <w:rPr>
                <w:bCs/>
                <w:color w:val="000000"/>
                <w:sz w:val="18"/>
                <w:szCs w:val="18"/>
              </w:rPr>
            </w:pPr>
            <w:r w:rsidRPr="009B3899">
              <w:rPr>
                <w:bCs/>
                <w:color w:val="000000"/>
                <w:sz w:val="18"/>
                <w:szCs w:val="18"/>
              </w:rPr>
              <w:t>16 500</w:t>
            </w:r>
          </w:p>
        </w:tc>
        <w:tc>
          <w:tcPr>
            <w:tcW w:w="1035" w:type="dxa"/>
            <w:tcBorders>
              <w:top w:val="nil"/>
              <w:left w:val="nil"/>
              <w:bottom w:val="nil"/>
              <w:right w:val="nil"/>
            </w:tcBorders>
            <w:vAlign w:val="bottom"/>
          </w:tcPr>
          <w:p w:rsidR="00B071E8" w:rsidRPr="009B3899" w:rsidRDefault="00B071E8">
            <w:pPr>
              <w:shd w:val="clear" w:color="000000" w:fill="auto"/>
              <w:spacing w:before="60" w:line="200" w:lineRule="exact"/>
              <w:jc w:val="right"/>
              <w:rPr>
                <w:bCs/>
                <w:color w:val="000000"/>
                <w:sz w:val="18"/>
                <w:szCs w:val="18"/>
              </w:rPr>
            </w:pPr>
            <w:r w:rsidRPr="009B3899">
              <w:rPr>
                <w:bCs/>
                <w:color w:val="000000"/>
                <w:sz w:val="18"/>
                <w:szCs w:val="18"/>
              </w:rPr>
              <w:t>6 500</w:t>
            </w:r>
          </w:p>
        </w:tc>
      </w:tr>
      <w:tr w:rsidR="00040F18" w:rsidRPr="009B3899">
        <w:trPr>
          <w:trHeight w:val="20"/>
        </w:trPr>
        <w:tc>
          <w:tcPr>
            <w:tcW w:w="708" w:type="dxa"/>
            <w:tcBorders>
              <w:top w:val="nil"/>
              <w:left w:val="nil"/>
              <w:bottom w:val="nil"/>
              <w:right w:val="nil"/>
            </w:tcBorders>
            <w:vAlign w:val="bottom"/>
          </w:tcPr>
          <w:p w:rsidR="00B071E8" w:rsidRPr="009B3899" w:rsidRDefault="00B071E8">
            <w:pPr>
              <w:shd w:val="clear" w:color="000000" w:fill="auto"/>
              <w:spacing w:before="60" w:line="200" w:lineRule="exact"/>
              <w:rPr>
                <w:bCs/>
                <w:color w:val="000000"/>
                <w:sz w:val="18"/>
                <w:szCs w:val="18"/>
              </w:rPr>
            </w:pPr>
          </w:p>
        </w:tc>
        <w:tc>
          <w:tcPr>
            <w:tcW w:w="2875" w:type="dxa"/>
            <w:tcBorders>
              <w:top w:val="nil"/>
              <w:left w:val="nil"/>
              <w:bottom w:val="nil"/>
              <w:right w:val="nil"/>
            </w:tcBorders>
            <w:vAlign w:val="bottom"/>
          </w:tcPr>
          <w:p w:rsidR="00B071E8" w:rsidRPr="009B3899" w:rsidRDefault="00B071E8">
            <w:pPr>
              <w:shd w:val="clear" w:color="000000" w:fill="auto"/>
              <w:spacing w:before="60" w:line="200" w:lineRule="exact"/>
              <w:rPr>
                <w:bCs/>
                <w:color w:val="000000"/>
                <w:sz w:val="18"/>
                <w:szCs w:val="18"/>
              </w:rPr>
            </w:pPr>
            <w:r w:rsidRPr="009B3899">
              <w:rPr>
                <w:bCs/>
                <w:color w:val="000000"/>
                <w:sz w:val="18"/>
                <w:szCs w:val="18"/>
              </w:rPr>
              <w:t>Kommunala konsumentvägledare</w:t>
            </w:r>
          </w:p>
        </w:tc>
        <w:tc>
          <w:tcPr>
            <w:tcW w:w="1279" w:type="dxa"/>
            <w:tcBorders>
              <w:top w:val="nil"/>
              <w:left w:val="nil"/>
              <w:bottom w:val="nil"/>
              <w:right w:val="nil"/>
            </w:tcBorders>
            <w:vAlign w:val="bottom"/>
          </w:tcPr>
          <w:p w:rsidR="00B071E8" w:rsidRPr="009B3899" w:rsidRDefault="00B071E8">
            <w:pPr>
              <w:shd w:val="clear" w:color="000000" w:fill="auto"/>
              <w:spacing w:before="60" w:line="200" w:lineRule="exact"/>
              <w:jc w:val="right"/>
              <w:rPr>
                <w:bCs/>
                <w:color w:val="000000"/>
                <w:sz w:val="18"/>
                <w:szCs w:val="18"/>
              </w:rPr>
            </w:pPr>
          </w:p>
        </w:tc>
        <w:tc>
          <w:tcPr>
            <w:tcW w:w="1035" w:type="dxa"/>
            <w:tcBorders>
              <w:top w:val="nil"/>
              <w:left w:val="nil"/>
              <w:bottom w:val="nil"/>
              <w:right w:val="nil"/>
            </w:tcBorders>
            <w:vAlign w:val="bottom"/>
          </w:tcPr>
          <w:p w:rsidR="00B071E8" w:rsidRPr="009B3899" w:rsidRDefault="00B071E8">
            <w:pPr>
              <w:shd w:val="clear" w:color="000000" w:fill="auto"/>
              <w:spacing w:before="60" w:line="200" w:lineRule="exact"/>
              <w:jc w:val="right"/>
              <w:rPr>
                <w:bCs/>
                <w:color w:val="000000"/>
                <w:sz w:val="18"/>
                <w:szCs w:val="18"/>
              </w:rPr>
            </w:pPr>
            <w:r w:rsidRPr="009B3899">
              <w:rPr>
                <w:bCs/>
                <w:color w:val="000000"/>
                <w:sz w:val="18"/>
                <w:szCs w:val="18"/>
              </w:rPr>
              <w:t>45 000</w:t>
            </w:r>
          </w:p>
        </w:tc>
      </w:tr>
      <w:tr w:rsidR="00040F18" w:rsidRPr="009B3899">
        <w:trPr>
          <w:trHeight w:val="20"/>
        </w:trPr>
        <w:tc>
          <w:tcPr>
            <w:tcW w:w="708" w:type="dxa"/>
            <w:tcBorders>
              <w:top w:val="nil"/>
              <w:left w:val="nil"/>
              <w:bottom w:val="nil"/>
              <w:right w:val="nil"/>
            </w:tcBorders>
            <w:vAlign w:val="bottom"/>
          </w:tcPr>
          <w:p w:rsidR="00B071E8" w:rsidRPr="009B3899" w:rsidRDefault="00B071E8">
            <w:pPr>
              <w:shd w:val="clear" w:color="000000" w:fill="auto"/>
              <w:spacing w:before="60" w:line="200" w:lineRule="exact"/>
              <w:rPr>
                <w:bCs/>
                <w:color w:val="000000"/>
                <w:sz w:val="18"/>
                <w:szCs w:val="18"/>
              </w:rPr>
            </w:pPr>
            <w:r w:rsidRPr="009B3899">
              <w:rPr>
                <w:bCs/>
                <w:color w:val="000000"/>
                <w:sz w:val="18"/>
                <w:szCs w:val="18"/>
              </w:rPr>
              <w:t>40:2</w:t>
            </w:r>
          </w:p>
        </w:tc>
        <w:tc>
          <w:tcPr>
            <w:tcW w:w="2875" w:type="dxa"/>
            <w:tcBorders>
              <w:top w:val="nil"/>
              <w:left w:val="nil"/>
              <w:bottom w:val="nil"/>
              <w:right w:val="nil"/>
            </w:tcBorders>
            <w:vAlign w:val="bottom"/>
          </w:tcPr>
          <w:p w:rsidR="00B071E8" w:rsidRPr="009B3899" w:rsidRDefault="00B071E8">
            <w:pPr>
              <w:shd w:val="clear" w:color="000000" w:fill="auto"/>
              <w:spacing w:before="60" w:line="200" w:lineRule="exact"/>
              <w:rPr>
                <w:bCs/>
                <w:color w:val="000000"/>
                <w:sz w:val="18"/>
                <w:szCs w:val="18"/>
              </w:rPr>
            </w:pPr>
            <w:r w:rsidRPr="009B3899">
              <w:rPr>
                <w:bCs/>
                <w:color w:val="000000"/>
                <w:sz w:val="18"/>
                <w:szCs w:val="18"/>
              </w:rPr>
              <w:t>Kilen (Konsumentverket)</w:t>
            </w:r>
          </w:p>
        </w:tc>
        <w:tc>
          <w:tcPr>
            <w:tcW w:w="1279" w:type="dxa"/>
            <w:tcBorders>
              <w:top w:val="nil"/>
              <w:left w:val="nil"/>
              <w:bottom w:val="nil"/>
              <w:right w:val="nil"/>
            </w:tcBorders>
            <w:vAlign w:val="bottom"/>
          </w:tcPr>
          <w:p w:rsidR="00B071E8" w:rsidRPr="009B3899" w:rsidRDefault="00B071E8">
            <w:pPr>
              <w:shd w:val="clear" w:color="000000" w:fill="auto"/>
              <w:spacing w:before="60" w:line="200" w:lineRule="exact"/>
              <w:jc w:val="right"/>
              <w:rPr>
                <w:bCs/>
                <w:color w:val="000000"/>
                <w:sz w:val="18"/>
                <w:szCs w:val="18"/>
              </w:rPr>
            </w:pPr>
          </w:p>
        </w:tc>
        <w:tc>
          <w:tcPr>
            <w:tcW w:w="1035" w:type="dxa"/>
            <w:tcBorders>
              <w:top w:val="nil"/>
              <w:left w:val="nil"/>
              <w:bottom w:val="nil"/>
              <w:right w:val="nil"/>
            </w:tcBorders>
            <w:vAlign w:val="bottom"/>
          </w:tcPr>
          <w:p w:rsidR="00B071E8" w:rsidRPr="009B3899" w:rsidRDefault="00B071E8">
            <w:pPr>
              <w:shd w:val="clear" w:color="000000" w:fill="auto"/>
              <w:spacing w:before="60" w:line="200" w:lineRule="exact"/>
              <w:jc w:val="right"/>
              <w:rPr>
                <w:bCs/>
                <w:color w:val="000000"/>
                <w:sz w:val="18"/>
                <w:szCs w:val="18"/>
              </w:rPr>
            </w:pPr>
            <w:r w:rsidRPr="009B3899">
              <w:rPr>
                <w:bCs/>
                <w:color w:val="000000"/>
                <w:sz w:val="18"/>
                <w:szCs w:val="18"/>
              </w:rPr>
              <w:t>3 000</w:t>
            </w:r>
          </w:p>
        </w:tc>
      </w:tr>
      <w:tr w:rsidR="00040F18" w:rsidRPr="009B3899">
        <w:trPr>
          <w:trHeight w:val="20"/>
        </w:trPr>
        <w:tc>
          <w:tcPr>
            <w:tcW w:w="708" w:type="dxa"/>
            <w:tcBorders>
              <w:top w:val="nil"/>
              <w:left w:val="nil"/>
              <w:right w:val="nil"/>
            </w:tcBorders>
            <w:vAlign w:val="bottom"/>
          </w:tcPr>
          <w:p w:rsidR="00B071E8" w:rsidRPr="009B3899" w:rsidRDefault="00B071E8">
            <w:pPr>
              <w:shd w:val="clear" w:color="000000" w:fill="auto"/>
              <w:spacing w:before="60" w:line="200" w:lineRule="exact"/>
              <w:rPr>
                <w:bCs/>
                <w:color w:val="000000"/>
                <w:sz w:val="18"/>
                <w:szCs w:val="18"/>
              </w:rPr>
            </w:pPr>
            <w:r w:rsidRPr="009B3899">
              <w:rPr>
                <w:bCs/>
                <w:color w:val="000000"/>
                <w:sz w:val="18"/>
                <w:szCs w:val="18"/>
              </w:rPr>
              <w:t>31:3</w:t>
            </w:r>
          </w:p>
        </w:tc>
        <w:tc>
          <w:tcPr>
            <w:tcW w:w="2875" w:type="dxa"/>
            <w:tcBorders>
              <w:top w:val="nil"/>
              <w:left w:val="nil"/>
              <w:right w:val="nil"/>
            </w:tcBorders>
            <w:vAlign w:val="bottom"/>
          </w:tcPr>
          <w:p w:rsidR="00B071E8" w:rsidRPr="009B3899" w:rsidRDefault="00B071E8">
            <w:pPr>
              <w:shd w:val="clear" w:color="000000" w:fill="auto"/>
              <w:spacing w:before="60" w:line="200" w:lineRule="exact"/>
              <w:rPr>
                <w:bCs/>
                <w:color w:val="000000"/>
                <w:sz w:val="18"/>
                <w:szCs w:val="18"/>
              </w:rPr>
            </w:pPr>
            <w:r w:rsidRPr="009B3899">
              <w:rPr>
                <w:bCs/>
                <w:color w:val="000000"/>
                <w:sz w:val="18"/>
                <w:szCs w:val="18"/>
              </w:rPr>
              <w:t>Bostadskreditnämnden</w:t>
            </w:r>
          </w:p>
        </w:tc>
        <w:tc>
          <w:tcPr>
            <w:tcW w:w="1279" w:type="dxa"/>
            <w:tcBorders>
              <w:top w:val="nil"/>
              <w:left w:val="nil"/>
              <w:right w:val="nil"/>
            </w:tcBorders>
            <w:vAlign w:val="bottom"/>
          </w:tcPr>
          <w:p w:rsidR="00B071E8" w:rsidRPr="009B3899" w:rsidRDefault="00B071E8">
            <w:pPr>
              <w:shd w:val="clear" w:color="000000" w:fill="auto"/>
              <w:spacing w:before="60" w:line="200" w:lineRule="exact"/>
              <w:jc w:val="right"/>
              <w:rPr>
                <w:bCs/>
                <w:color w:val="000000"/>
                <w:sz w:val="18"/>
                <w:szCs w:val="18"/>
              </w:rPr>
            </w:pPr>
          </w:p>
        </w:tc>
        <w:tc>
          <w:tcPr>
            <w:tcW w:w="1035" w:type="dxa"/>
            <w:tcBorders>
              <w:top w:val="nil"/>
              <w:left w:val="nil"/>
              <w:right w:val="nil"/>
            </w:tcBorders>
            <w:vAlign w:val="bottom"/>
          </w:tcPr>
          <w:p w:rsidR="00B071E8" w:rsidRPr="009B3899" w:rsidRDefault="00B071E8">
            <w:pPr>
              <w:shd w:val="clear" w:color="000000" w:fill="auto"/>
              <w:spacing w:before="60" w:line="200" w:lineRule="exact"/>
              <w:jc w:val="right"/>
              <w:rPr>
                <w:bCs/>
                <w:color w:val="000000"/>
                <w:sz w:val="18"/>
                <w:szCs w:val="18"/>
              </w:rPr>
            </w:pPr>
            <w:r w:rsidRPr="009B3899">
              <w:rPr>
                <w:bCs/>
                <w:color w:val="000000"/>
                <w:sz w:val="18"/>
                <w:szCs w:val="18"/>
              </w:rPr>
              <w:t>50 000</w:t>
            </w:r>
          </w:p>
        </w:tc>
      </w:tr>
      <w:tr w:rsidR="00040F18" w:rsidRPr="009B3899">
        <w:trPr>
          <w:trHeight w:val="20"/>
        </w:trPr>
        <w:tc>
          <w:tcPr>
            <w:tcW w:w="3583" w:type="dxa"/>
            <w:gridSpan w:val="2"/>
            <w:tcBorders>
              <w:top w:val="nil"/>
              <w:left w:val="nil"/>
              <w:bottom w:val="single" w:sz="4" w:space="0" w:color="auto"/>
              <w:right w:val="nil"/>
            </w:tcBorders>
            <w:vAlign w:val="bottom"/>
          </w:tcPr>
          <w:p w:rsidR="00B071E8" w:rsidRPr="009B3899" w:rsidRDefault="00B071E8">
            <w:pPr>
              <w:shd w:val="clear" w:color="000000" w:fill="auto"/>
              <w:spacing w:before="60" w:line="200" w:lineRule="exact"/>
              <w:rPr>
                <w:b/>
                <w:bCs/>
                <w:color w:val="000000"/>
                <w:sz w:val="18"/>
                <w:szCs w:val="18"/>
              </w:rPr>
            </w:pPr>
            <w:r w:rsidRPr="009B3899">
              <w:rPr>
                <w:b/>
                <w:bCs/>
                <w:color w:val="000000"/>
                <w:sz w:val="18"/>
                <w:szCs w:val="18"/>
              </w:rPr>
              <w:t>Summa:</w:t>
            </w:r>
          </w:p>
        </w:tc>
        <w:tc>
          <w:tcPr>
            <w:tcW w:w="1279" w:type="dxa"/>
            <w:tcBorders>
              <w:top w:val="nil"/>
              <w:left w:val="nil"/>
              <w:bottom w:val="single" w:sz="4" w:space="0" w:color="auto"/>
              <w:right w:val="nil"/>
            </w:tcBorders>
            <w:vAlign w:val="bottom"/>
          </w:tcPr>
          <w:p w:rsidR="00B071E8" w:rsidRPr="009B3899" w:rsidRDefault="00B071E8">
            <w:pPr>
              <w:shd w:val="clear" w:color="000000" w:fill="auto"/>
              <w:spacing w:before="60" w:line="200" w:lineRule="exact"/>
              <w:jc w:val="right"/>
              <w:rPr>
                <w:b/>
                <w:bCs/>
                <w:color w:val="000000"/>
                <w:sz w:val="18"/>
                <w:szCs w:val="18"/>
              </w:rPr>
            </w:pPr>
          </w:p>
        </w:tc>
        <w:tc>
          <w:tcPr>
            <w:tcW w:w="1035" w:type="dxa"/>
            <w:tcBorders>
              <w:top w:val="nil"/>
              <w:left w:val="nil"/>
              <w:bottom w:val="single" w:sz="4" w:space="0" w:color="auto"/>
              <w:right w:val="nil"/>
            </w:tcBorders>
            <w:vAlign w:val="bottom"/>
          </w:tcPr>
          <w:p w:rsidR="00B071E8" w:rsidRPr="009B3899" w:rsidRDefault="00B071E8">
            <w:pPr>
              <w:shd w:val="clear" w:color="000000" w:fill="auto"/>
              <w:spacing w:before="60" w:line="200" w:lineRule="exact"/>
              <w:jc w:val="right"/>
              <w:rPr>
                <w:b/>
                <w:bCs/>
                <w:color w:val="000000"/>
                <w:sz w:val="18"/>
                <w:szCs w:val="18"/>
              </w:rPr>
            </w:pPr>
            <w:r w:rsidRPr="009B3899">
              <w:rPr>
                <w:b/>
                <w:sz w:val="18"/>
                <w:szCs w:val="18"/>
              </w:rPr>
              <w:t>4 639 100</w:t>
            </w:r>
          </w:p>
        </w:tc>
      </w:tr>
    </w:tbl>
    <w:p w:rsidR="00B071E8" w:rsidRPr="009B3899" w:rsidRDefault="00B071E8">
      <w:pPr>
        <w:shd w:val="clear" w:color="000000" w:fill="auto"/>
      </w:pPr>
    </w:p>
    <w:p w:rsidR="00E96A9C" w:rsidRPr="009B3899" w:rsidRDefault="00E96A9C">
      <w:pPr>
        <w:pStyle w:val="Rubrik1"/>
        <w:shd w:val="clear" w:color="000000" w:fill="auto"/>
        <w:spacing w:before="240" w:after="120" w:line="360" w:lineRule="auto"/>
      </w:pPr>
      <w:bookmarkStart w:id="1" w:name="_Toc179020254"/>
      <w:bookmarkStart w:id="2" w:name="_Toc179614093"/>
      <w:r w:rsidRPr="009B3899">
        <w:t>Sammanfattning av Vänsterpartiets förslag</w:t>
      </w:r>
      <w:bookmarkEnd w:id="1"/>
      <w:bookmarkEnd w:id="2"/>
    </w:p>
    <w:p w:rsidR="00596171" w:rsidRPr="009B3899" w:rsidRDefault="00596171">
      <w:pPr>
        <w:pStyle w:val="Rubrik2"/>
        <w:shd w:val="clear" w:color="000000" w:fill="auto"/>
        <w:spacing w:before="0"/>
      </w:pPr>
      <w:bookmarkStart w:id="3" w:name="_Toc179614094"/>
      <w:r w:rsidRPr="009B3899">
        <w:t>Bostadspolitik</w:t>
      </w:r>
      <w:bookmarkEnd w:id="3"/>
    </w:p>
    <w:p w:rsidR="00612740" w:rsidRPr="009B3899" w:rsidRDefault="00FD2416">
      <w:pPr>
        <w:shd w:val="clear" w:color="000000" w:fill="auto"/>
      </w:pPr>
      <w:r w:rsidRPr="009B3899">
        <w:t>E</w:t>
      </w:r>
      <w:r w:rsidR="00612740" w:rsidRPr="009B3899">
        <w:t xml:space="preserve">n god bostad till en rimlig kostnad är en social rättighet och </w:t>
      </w:r>
      <w:r w:rsidRPr="009B3899">
        <w:t xml:space="preserve">grundläggande för </w:t>
      </w:r>
      <w:r w:rsidR="00612740" w:rsidRPr="009B3899">
        <w:t xml:space="preserve">ett välfärdssamhälle. Årtionden av en aktiv statlig bostadspolitik har lett till </w:t>
      </w:r>
      <w:r w:rsidR="00250108" w:rsidRPr="009B3899">
        <w:t>att Sverige i</w:t>
      </w:r>
      <w:r w:rsidR="00057183" w:rsidRPr="009B3899">
        <w:t xml:space="preserve"> </w:t>
      </w:r>
      <w:r w:rsidR="00250108" w:rsidRPr="009B3899">
        <w:t xml:space="preserve">dag har </w:t>
      </w:r>
      <w:r w:rsidR="00612740" w:rsidRPr="009B3899">
        <w:t>en relativt hög boendestandard och liten trångbod</w:t>
      </w:r>
      <w:r w:rsidR="00612740" w:rsidRPr="009B3899">
        <w:t>d</w:t>
      </w:r>
      <w:r w:rsidR="00612740" w:rsidRPr="009B3899">
        <w:t>het. Grupper som haft det svårt att hävda sig på bostadsmarknaden har hist</w:t>
      </w:r>
      <w:r w:rsidR="00612740" w:rsidRPr="009B3899">
        <w:t>o</w:t>
      </w:r>
      <w:r w:rsidR="00612740" w:rsidRPr="009B3899">
        <w:t>riskt sett fått ett starkt stöd. Underhållsåtgärder som förhindrat förfall och kapitalförstörelse i fastighetsbeståndet har prioriterats.</w:t>
      </w:r>
    </w:p>
    <w:p w:rsidR="0095669A" w:rsidRPr="009B3899" w:rsidRDefault="000C5993">
      <w:pPr>
        <w:pStyle w:val="Normaltindrag"/>
        <w:shd w:val="clear" w:color="000000" w:fill="auto"/>
      </w:pPr>
      <w:r w:rsidRPr="009B3899">
        <w:t>En hållbar utveckling omfattar inte bara ekonomiska och ekologiska aspe</w:t>
      </w:r>
      <w:r w:rsidRPr="009B3899">
        <w:t>k</w:t>
      </w:r>
      <w:r w:rsidRPr="009B3899">
        <w:t>ter utan även sociala</w:t>
      </w:r>
      <w:r w:rsidR="00250108" w:rsidRPr="009B3899">
        <w:t xml:space="preserve">. </w:t>
      </w:r>
      <w:r w:rsidR="0095669A" w:rsidRPr="009B3899">
        <w:t>A</w:t>
      </w:r>
      <w:r w:rsidR="0095669A" w:rsidRPr="009B3899">
        <w:rPr>
          <w:spacing w:val="-2"/>
        </w:rPr>
        <w:t xml:space="preserve">lla </w:t>
      </w:r>
      <w:r w:rsidRPr="009B3899">
        <w:rPr>
          <w:spacing w:val="-2"/>
        </w:rPr>
        <w:t xml:space="preserve">ska </w:t>
      </w:r>
      <w:r w:rsidR="0095669A" w:rsidRPr="009B3899">
        <w:rPr>
          <w:spacing w:val="-2"/>
        </w:rPr>
        <w:t>ha rätt till en bra</w:t>
      </w:r>
      <w:r w:rsidR="0095669A" w:rsidRPr="009B3899">
        <w:t xml:space="preserve"> bostad utan krav på </w:t>
      </w:r>
      <w:r w:rsidRPr="009B3899">
        <w:t>en e</w:t>
      </w:r>
      <w:r w:rsidR="0095669A" w:rsidRPr="009B3899">
        <w:t xml:space="preserve">konomisk insats. </w:t>
      </w:r>
      <w:r w:rsidR="00612740" w:rsidRPr="009B3899">
        <w:t>V</w:t>
      </w:r>
      <w:r w:rsidR="00FD2416" w:rsidRPr="009B3899">
        <w:t>änsterpartiet</w:t>
      </w:r>
      <w:r w:rsidR="00612740" w:rsidRPr="009B3899">
        <w:t xml:space="preserve"> vill </w:t>
      </w:r>
      <w:r w:rsidR="00250108" w:rsidRPr="009B3899">
        <w:t>se</w:t>
      </w:r>
      <w:r w:rsidR="00612740" w:rsidRPr="009B3899">
        <w:t xml:space="preserve"> en a</w:t>
      </w:r>
      <w:r w:rsidR="0095669A" w:rsidRPr="009B3899">
        <w:t xml:space="preserve">nsvarsfull bostadspolitik </w:t>
      </w:r>
      <w:r w:rsidR="00612740" w:rsidRPr="009B3899">
        <w:t xml:space="preserve">som </w:t>
      </w:r>
      <w:r w:rsidR="0095669A" w:rsidRPr="009B3899">
        <w:t>sätt</w:t>
      </w:r>
      <w:r w:rsidR="00612740" w:rsidRPr="009B3899">
        <w:t>er</w:t>
      </w:r>
      <w:r w:rsidR="0095669A" w:rsidRPr="009B3899">
        <w:t xml:space="preserve"> de mänskliga behoven före krav</w:t>
      </w:r>
      <w:r w:rsidRPr="009B3899">
        <w:t xml:space="preserve">en </w:t>
      </w:r>
      <w:r w:rsidR="0095669A" w:rsidRPr="009B3899">
        <w:t xml:space="preserve">på </w:t>
      </w:r>
      <w:r w:rsidRPr="009B3899">
        <w:t xml:space="preserve">den enskildas </w:t>
      </w:r>
      <w:r w:rsidR="0095669A" w:rsidRPr="009B3899">
        <w:t>kortsiktig</w:t>
      </w:r>
      <w:r w:rsidRPr="009B3899">
        <w:t>a</w:t>
      </w:r>
      <w:r w:rsidR="0095669A" w:rsidRPr="009B3899">
        <w:t xml:space="preserve"> v</w:t>
      </w:r>
      <w:r w:rsidR="00612740" w:rsidRPr="009B3899">
        <w:t>inning</w:t>
      </w:r>
      <w:r w:rsidRPr="009B3899">
        <w:t>.</w:t>
      </w:r>
    </w:p>
    <w:p w:rsidR="0095669A" w:rsidRPr="009B3899" w:rsidRDefault="0095669A">
      <w:pPr>
        <w:pStyle w:val="Normaltindrag"/>
        <w:shd w:val="clear" w:color="000000" w:fill="auto"/>
      </w:pPr>
      <w:r w:rsidRPr="009B3899">
        <w:rPr>
          <w:bCs/>
        </w:rPr>
        <w:t xml:space="preserve">Vänsterpartiets </w:t>
      </w:r>
      <w:r w:rsidR="00255E87" w:rsidRPr="009B3899">
        <w:rPr>
          <w:bCs/>
        </w:rPr>
        <w:t xml:space="preserve">övergripande </w:t>
      </w:r>
      <w:r w:rsidRPr="009B3899">
        <w:rPr>
          <w:bCs/>
        </w:rPr>
        <w:t xml:space="preserve">bostadspolitiska mål är att utveckla </w:t>
      </w:r>
      <w:r w:rsidRPr="009B3899">
        <w:rPr>
          <w:spacing w:val="-2"/>
        </w:rPr>
        <w:t>en flex</w:t>
      </w:r>
      <w:r w:rsidRPr="009B3899">
        <w:rPr>
          <w:spacing w:val="-2"/>
        </w:rPr>
        <w:t>i</w:t>
      </w:r>
      <w:r w:rsidRPr="009B3899">
        <w:rPr>
          <w:spacing w:val="-2"/>
        </w:rPr>
        <w:t>bel bostadsmarknad med</w:t>
      </w:r>
      <w:r w:rsidRPr="009B3899">
        <w:t xml:space="preserve"> olika upplåtelseformer som skapar socialt hållbara boendemiljöer där alla får plats. I denna strävan har de allmännyttiga bostad</w:t>
      </w:r>
      <w:r w:rsidRPr="009B3899">
        <w:t>s</w:t>
      </w:r>
      <w:r w:rsidRPr="009B3899">
        <w:t>bolagen, de privata hyresvärdarna och marknadens produktion av villor, ra</w:t>
      </w:r>
      <w:r w:rsidRPr="009B3899">
        <w:t>d</w:t>
      </w:r>
      <w:r w:rsidRPr="009B3899">
        <w:t>hus och bostadsrätter samma dignitet. Allmännyttan, med dess hyresnorm</w:t>
      </w:r>
      <w:r w:rsidRPr="009B3899">
        <w:t>e</w:t>
      </w:r>
      <w:r w:rsidRPr="009B3899">
        <w:t xml:space="preserve">rande roll, ska </w:t>
      </w:r>
      <w:r w:rsidR="000C5993" w:rsidRPr="009B3899">
        <w:t xml:space="preserve">inte minst </w:t>
      </w:r>
      <w:r w:rsidRPr="009B3899">
        <w:t>garantera att även människor utan kapital får til</w:t>
      </w:r>
      <w:r w:rsidRPr="009B3899">
        <w:t>l</w:t>
      </w:r>
      <w:r w:rsidRPr="009B3899">
        <w:t xml:space="preserve">gång till alla </w:t>
      </w:r>
      <w:r w:rsidRPr="009B3899">
        <w:rPr>
          <w:spacing w:val="-2"/>
        </w:rPr>
        <w:t>bostadsområden. För oss är det därför av största vikt att stärka de</w:t>
      </w:r>
      <w:r w:rsidR="000C5993" w:rsidRPr="009B3899">
        <w:rPr>
          <w:spacing w:val="-2"/>
        </w:rPr>
        <w:t>ssa</w:t>
      </w:r>
      <w:r w:rsidRPr="009B3899">
        <w:rPr>
          <w:spacing w:val="-2"/>
        </w:rPr>
        <w:t xml:space="preserve"> bostadsbolags </w:t>
      </w:r>
      <w:r w:rsidRPr="009B3899">
        <w:t xml:space="preserve">ställning och stoppa framtida utförsäljningar av våra gemensamma tillgångar. </w:t>
      </w:r>
      <w:r w:rsidR="00624C23" w:rsidRPr="009B3899">
        <w:t xml:space="preserve">Likaså är det </w:t>
      </w:r>
      <w:r w:rsidR="000C5993" w:rsidRPr="009B3899">
        <w:t>viktigt att y</w:t>
      </w:r>
      <w:r w:rsidRPr="009B3899">
        <w:t>tterligare spekulationsfria upplåtelseformer uppmuntras</w:t>
      </w:r>
      <w:r w:rsidR="00624C23" w:rsidRPr="009B3899">
        <w:t>. V</w:t>
      </w:r>
      <w:r w:rsidRPr="009B3899">
        <w:t xml:space="preserve">i aviserar därför </w:t>
      </w:r>
      <w:r w:rsidR="00BF6F54" w:rsidRPr="009B3899">
        <w:t xml:space="preserve">bl.a. </w:t>
      </w:r>
      <w:r w:rsidRPr="009B3899">
        <w:t>ett nytt anslag för inrä</w:t>
      </w:r>
      <w:r w:rsidRPr="009B3899">
        <w:t>t</w:t>
      </w:r>
      <w:r w:rsidRPr="009B3899">
        <w:t>tandet av en nationell samordnare för kooperativa hyresrätter</w:t>
      </w:r>
      <w:r w:rsidR="00C2140C" w:rsidRPr="009B3899">
        <w:t>.</w:t>
      </w:r>
    </w:p>
    <w:p w:rsidR="00612740" w:rsidRPr="009B3899" w:rsidRDefault="002531FC">
      <w:pPr>
        <w:pStyle w:val="Normaltindrag"/>
        <w:shd w:val="clear" w:color="000000" w:fill="auto"/>
      </w:pPr>
      <w:r w:rsidRPr="009B3899">
        <w:t xml:space="preserve">För en social bostadspolitik är det </w:t>
      </w:r>
      <w:r w:rsidR="00FD2416" w:rsidRPr="009B3899">
        <w:t xml:space="preserve">fundamentalt </w:t>
      </w:r>
      <w:r w:rsidRPr="009B3899">
        <w:t xml:space="preserve">att </w:t>
      </w:r>
      <w:r w:rsidR="0095669A" w:rsidRPr="009B3899">
        <w:t xml:space="preserve">hyrorna </w:t>
      </w:r>
      <w:r w:rsidRPr="009B3899">
        <w:t>håll</w:t>
      </w:r>
      <w:r w:rsidR="0095669A" w:rsidRPr="009B3899">
        <w:t>s på en s</w:t>
      </w:r>
      <w:r w:rsidR="0095669A" w:rsidRPr="009B3899">
        <w:t>å</w:t>
      </w:r>
      <w:r w:rsidR="0095669A" w:rsidRPr="009B3899">
        <w:t xml:space="preserve">dan nivå att de kan efterfrågas även av hushåll med de lägsta inkomsterna. För detta krävs bl.a. att hyrestaket garanteras men också att </w:t>
      </w:r>
      <w:r w:rsidR="00624C23" w:rsidRPr="009B3899">
        <w:t>det finns p</w:t>
      </w:r>
      <w:r w:rsidR="0095669A" w:rsidRPr="009B3899">
        <w:t>rodu</w:t>
      </w:r>
      <w:r w:rsidR="0095669A" w:rsidRPr="009B3899">
        <w:t>k</w:t>
      </w:r>
      <w:r w:rsidR="0095669A" w:rsidRPr="009B3899">
        <w:t>tionsstöd</w:t>
      </w:r>
      <w:r w:rsidR="00624C23" w:rsidRPr="009B3899">
        <w:t xml:space="preserve"> som långsiktigt främjar </w:t>
      </w:r>
      <w:r w:rsidR="0095669A" w:rsidRPr="009B3899">
        <w:t>byggandet av hyresrätter</w:t>
      </w:r>
      <w:r w:rsidR="00624C23" w:rsidRPr="009B3899">
        <w:t xml:space="preserve"> med rimliga hyror.</w:t>
      </w:r>
    </w:p>
    <w:p w:rsidR="00FD2416" w:rsidRPr="009B3899" w:rsidRDefault="00C2140C">
      <w:pPr>
        <w:pStyle w:val="Normaltindrag"/>
        <w:shd w:val="clear" w:color="000000" w:fill="auto"/>
      </w:pPr>
      <w:r w:rsidRPr="009B3899">
        <w:t xml:space="preserve">Vänsterpartiet har under flera år medverkat till att främja ett ökat byggande av hyresrätter. </w:t>
      </w:r>
      <w:r w:rsidR="00F900F6" w:rsidRPr="009B3899">
        <w:t>In på 200</w:t>
      </w:r>
      <w:r w:rsidR="00FD2416" w:rsidRPr="009B3899">
        <w:t>0-</w:t>
      </w:r>
      <w:r w:rsidR="00F900F6" w:rsidRPr="009B3899">
        <w:t>talet började p</w:t>
      </w:r>
      <w:r w:rsidRPr="009B3899">
        <w:t xml:space="preserve">roduktionskostnaderna successivt </w:t>
      </w:r>
      <w:r w:rsidR="00F900F6" w:rsidRPr="009B3899">
        <w:t xml:space="preserve">att </w:t>
      </w:r>
      <w:r w:rsidRPr="009B3899">
        <w:t>sj</w:t>
      </w:r>
      <w:r w:rsidRPr="009B3899">
        <w:rPr>
          <w:spacing w:val="-2"/>
        </w:rPr>
        <w:t>unk</w:t>
      </w:r>
      <w:r w:rsidR="00F900F6" w:rsidRPr="009B3899">
        <w:rPr>
          <w:spacing w:val="-2"/>
        </w:rPr>
        <w:t xml:space="preserve">a och hyrorna </w:t>
      </w:r>
      <w:r w:rsidRPr="009B3899">
        <w:rPr>
          <w:spacing w:val="-2"/>
        </w:rPr>
        <w:t xml:space="preserve">i de nya bostäderna </w:t>
      </w:r>
      <w:r w:rsidR="00F900F6" w:rsidRPr="009B3899">
        <w:rPr>
          <w:spacing w:val="-2"/>
        </w:rPr>
        <w:t>blev lägre</w:t>
      </w:r>
      <w:r w:rsidRPr="009B3899">
        <w:rPr>
          <w:spacing w:val="-2"/>
        </w:rPr>
        <w:t xml:space="preserve">. </w:t>
      </w:r>
      <w:r w:rsidR="00F900F6" w:rsidRPr="009B3899">
        <w:rPr>
          <w:spacing w:val="-2"/>
        </w:rPr>
        <w:t>Men trots att bostadsby</w:t>
      </w:r>
      <w:r w:rsidR="00F900F6" w:rsidRPr="009B3899">
        <w:rPr>
          <w:spacing w:val="-2"/>
        </w:rPr>
        <w:t>g</w:t>
      </w:r>
      <w:r w:rsidR="00F900F6" w:rsidRPr="009B3899">
        <w:t>gandet har ökat sedan 1999 har det fortfarande inte nått upp till de nivåer som krävs för att möta efterfrågan i framför</w:t>
      </w:r>
      <w:r w:rsidR="00057183" w:rsidRPr="009B3899">
        <w:t xml:space="preserve"> </w:t>
      </w:r>
      <w:r w:rsidR="00F900F6" w:rsidRPr="009B3899">
        <w:t>allt tillväxtregioner.</w:t>
      </w:r>
    </w:p>
    <w:p w:rsidR="00F900F6" w:rsidRPr="009B3899" w:rsidRDefault="00F900F6">
      <w:pPr>
        <w:pStyle w:val="Normaltindrag"/>
        <w:shd w:val="clear" w:color="000000" w:fill="auto"/>
      </w:pPr>
      <w:r w:rsidRPr="009B3899">
        <w:t>Boverkets bostadsmarknadsenkät för 2006, som är en sammanställning av kommunernas egna bedömningar, pekar på att bostadsbristen fortsätter att öka. I</w:t>
      </w:r>
      <w:r w:rsidR="00057183" w:rsidRPr="009B3899">
        <w:t xml:space="preserve"> </w:t>
      </w:r>
      <w:r w:rsidRPr="009B3899">
        <w:t>dag bor drygt 60</w:t>
      </w:r>
      <w:r w:rsidR="005373DA" w:rsidRPr="009B3899">
        <w:rPr>
          <w:szCs w:val="24"/>
        </w:rPr>
        <w:t> </w:t>
      </w:r>
      <w:r w:rsidR="00D55C3C" w:rsidRPr="009B3899">
        <w:t>%</w:t>
      </w:r>
      <w:r w:rsidRPr="009B3899">
        <w:t xml:space="preserve"> av Sveriges befolkning i någon av de 119 komm</w:t>
      </w:r>
      <w:r w:rsidRPr="009B3899">
        <w:t>u</w:t>
      </w:r>
      <w:r w:rsidRPr="009B3899">
        <w:t xml:space="preserve">ner som uppger att de har bostadsbrist. </w:t>
      </w:r>
      <w:r w:rsidR="00FD2416" w:rsidRPr="009B3899">
        <w:t>Enligt kommunerna är u</w:t>
      </w:r>
      <w:r w:rsidRPr="009B3899">
        <w:t>nga och äldre de värst drabbade grupper</w:t>
      </w:r>
      <w:r w:rsidR="00FD2416" w:rsidRPr="009B3899">
        <w:t>na.</w:t>
      </w:r>
    </w:p>
    <w:p w:rsidR="00F900F6" w:rsidRPr="009B3899" w:rsidRDefault="00C2140C">
      <w:pPr>
        <w:pStyle w:val="Normaltindrag"/>
        <w:shd w:val="clear" w:color="000000" w:fill="auto"/>
      </w:pPr>
      <w:r w:rsidRPr="009B3899">
        <w:t>För att tydliggöra att både nyproduktionen och ombyggnationen av bost</w:t>
      </w:r>
      <w:r w:rsidRPr="009B3899">
        <w:t>ä</w:t>
      </w:r>
      <w:r w:rsidRPr="009B3899">
        <w:t xml:space="preserve">der måste fortsätta att öka vill </w:t>
      </w:r>
      <w:r w:rsidR="00F900F6" w:rsidRPr="009B3899">
        <w:t xml:space="preserve">Vänsterpartiet </w:t>
      </w:r>
      <w:r w:rsidRPr="009B3899">
        <w:t>sätta upp tydliga produktion</w:t>
      </w:r>
      <w:r w:rsidRPr="009B3899">
        <w:t>s</w:t>
      </w:r>
      <w:r w:rsidRPr="009B3899">
        <w:t>mål. Under den närmaste tioårsperioden bör det tillkomma 40 000 bostäder per år, av vilka hälften är hyresrätter. Dessutom bör 65 000 bostäder per år renoveras under samma period.</w:t>
      </w:r>
    </w:p>
    <w:p w:rsidR="00FD2416" w:rsidRPr="009B3899" w:rsidRDefault="00C2140C">
      <w:pPr>
        <w:pStyle w:val="Normaltindrag"/>
        <w:shd w:val="clear" w:color="000000" w:fill="auto"/>
      </w:pPr>
      <w:r w:rsidRPr="009B3899">
        <w:t xml:space="preserve">Staten har en självklar uppgift i att garantera alla invånare en god bostad och ska således även medverka till att produktionsmålen uppnås. </w:t>
      </w:r>
      <w:r w:rsidR="00FD2416" w:rsidRPr="009B3899">
        <w:rPr>
          <w:szCs w:val="24"/>
        </w:rPr>
        <w:t>Lågkonjun</w:t>
      </w:r>
      <w:r w:rsidR="00FD2416" w:rsidRPr="009B3899">
        <w:rPr>
          <w:szCs w:val="24"/>
        </w:rPr>
        <w:t>k</w:t>
      </w:r>
      <w:r w:rsidR="00FD2416" w:rsidRPr="009B3899">
        <w:rPr>
          <w:szCs w:val="24"/>
        </w:rPr>
        <w:t>turen under 1990-talet ledde till kraftiga neddragningar av stödet till bostad</w:t>
      </w:r>
      <w:r w:rsidR="00FD2416" w:rsidRPr="009B3899">
        <w:rPr>
          <w:szCs w:val="24"/>
        </w:rPr>
        <w:t>s</w:t>
      </w:r>
      <w:r w:rsidR="00FD2416" w:rsidRPr="009B3899">
        <w:rPr>
          <w:szCs w:val="24"/>
        </w:rPr>
        <w:t>produktionen och politiken riktade alltmer in sig på helt marknadsbaserade lösningar. Perioden visar tydligt vilken negativ inverkan ett minskat statligt engagemang har på nyproduktionen av bostäder, på underhållet av det redan byggda och på en social bostadspolitik.</w:t>
      </w:r>
    </w:p>
    <w:p w:rsidR="00FD2416" w:rsidRPr="009B3899" w:rsidRDefault="00C2140C">
      <w:pPr>
        <w:pStyle w:val="Normaltindrag"/>
        <w:shd w:val="clear" w:color="000000" w:fill="auto"/>
      </w:pPr>
      <w:r w:rsidRPr="009B3899">
        <w:t>Vänsterpartiet var dri</w:t>
      </w:r>
      <w:r w:rsidRPr="009B3899">
        <w:rPr>
          <w:spacing w:val="-2"/>
        </w:rPr>
        <w:t>vande då de tidigare produktionsstöd</w:t>
      </w:r>
      <w:r w:rsidR="00A9152E" w:rsidRPr="009B3899">
        <w:rPr>
          <w:spacing w:val="-2"/>
        </w:rPr>
        <w:t>en</w:t>
      </w:r>
      <w:r w:rsidRPr="009B3899">
        <w:rPr>
          <w:spacing w:val="-2"/>
        </w:rPr>
        <w:t xml:space="preserve"> för hyresrät</w:t>
      </w:r>
      <w:r w:rsidRPr="009B3899">
        <w:t xml:space="preserve">ter infördes och även när de förlängdes till 2008. Tanken med avvecklingen av stöden år 2008 var att systemet skulle komma att ersättas med ett jämförbart </w:t>
      </w:r>
      <w:r w:rsidR="00BF6F54" w:rsidRPr="009B3899">
        <w:t xml:space="preserve">permanent </w:t>
      </w:r>
      <w:r w:rsidRPr="009B3899">
        <w:t>system</w:t>
      </w:r>
      <w:r w:rsidRPr="009B3899">
        <w:rPr>
          <w:spacing w:val="-2"/>
        </w:rPr>
        <w:t xml:space="preserve"> som skulle garantera en fortsatt produktion av billiga hy</w:t>
      </w:r>
      <w:r w:rsidRPr="009B3899">
        <w:t>re</w:t>
      </w:r>
      <w:r w:rsidRPr="009B3899">
        <w:t>s</w:t>
      </w:r>
      <w:r w:rsidRPr="009B3899">
        <w:t xml:space="preserve">rätter. </w:t>
      </w:r>
      <w:r w:rsidR="00FD2416" w:rsidRPr="009B3899">
        <w:t xml:space="preserve">Tvärtemot detta har den borgerliga regeringen på kort tid </w:t>
      </w:r>
      <w:r w:rsidR="00FD2416" w:rsidRPr="009B3899">
        <w:rPr>
          <w:szCs w:val="24"/>
        </w:rPr>
        <w:t>hunnit a</w:t>
      </w:r>
      <w:r w:rsidR="00FD2416" w:rsidRPr="009B3899">
        <w:rPr>
          <w:szCs w:val="24"/>
        </w:rPr>
        <w:t>v</w:t>
      </w:r>
      <w:r w:rsidR="00FD2416" w:rsidRPr="009B3899">
        <w:rPr>
          <w:spacing w:val="-2"/>
        </w:rPr>
        <w:t>skaffa produktionsstöd</w:t>
      </w:r>
      <w:r w:rsidR="00A9152E" w:rsidRPr="009B3899">
        <w:rPr>
          <w:spacing w:val="-2"/>
        </w:rPr>
        <w:t>en</w:t>
      </w:r>
      <w:r w:rsidR="00FD2416" w:rsidRPr="009B3899">
        <w:rPr>
          <w:spacing w:val="-2"/>
        </w:rPr>
        <w:t>, samtidigt som avtrappningen av räntebidraget start</w:t>
      </w:r>
      <w:r w:rsidR="00FD2416" w:rsidRPr="009B3899">
        <w:rPr>
          <w:spacing w:val="-2"/>
        </w:rPr>
        <w:t>a</w:t>
      </w:r>
      <w:r w:rsidR="00FD2416" w:rsidRPr="009B3899">
        <w:rPr>
          <w:szCs w:val="24"/>
        </w:rPr>
        <w:t>de</w:t>
      </w:r>
      <w:r w:rsidR="00A9152E" w:rsidRPr="009B3899">
        <w:rPr>
          <w:szCs w:val="24"/>
        </w:rPr>
        <w:t>,</w:t>
      </w:r>
      <w:r w:rsidR="00FD2416" w:rsidRPr="009B3899">
        <w:rPr>
          <w:szCs w:val="24"/>
        </w:rPr>
        <w:t xml:space="preserve"> </w:t>
      </w:r>
      <w:r w:rsidR="00BF6F54" w:rsidRPr="009B3899">
        <w:rPr>
          <w:szCs w:val="24"/>
        </w:rPr>
        <w:t xml:space="preserve">redan </w:t>
      </w:r>
      <w:r w:rsidR="00FD2416" w:rsidRPr="009B3899">
        <w:rPr>
          <w:szCs w:val="24"/>
        </w:rPr>
        <w:t>vid årsskiftet 2006/2007. Detta utan att något nytt bostadsfinansi</w:t>
      </w:r>
      <w:r w:rsidR="00FD2416" w:rsidRPr="009B3899">
        <w:rPr>
          <w:szCs w:val="24"/>
        </w:rPr>
        <w:t>e</w:t>
      </w:r>
      <w:r w:rsidR="00FD2416" w:rsidRPr="009B3899">
        <w:rPr>
          <w:szCs w:val="24"/>
        </w:rPr>
        <w:t>ringssystem har presenteras.</w:t>
      </w:r>
    </w:p>
    <w:p w:rsidR="00C2140C" w:rsidRPr="009B3899" w:rsidRDefault="00C2140C">
      <w:pPr>
        <w:pStyle w:val="Normaltindrag"/>
        <w:shd w:val="clear" w:color="000000" w:fill="auto"/>
      </w:pPr>
      <w:r w:rsidRPr="009B3899">
        <w:t xml:space="preserve">Vänsterpartiet föreslår </w:t>
      </w:r>
      <w:r w:rsidR="007369E9" w:rsidRPr="009B3899">
        <w:t xml:space="preserve">att </w:t>
      </w:r>
      <w:r w:rsidRPr="009B3899">
        <w:t>en långsiktig satsning på nyproduktion av bill</w:t>
      </w:r>
      <w:r w:rsidRPr="009B3899">
        <w:t>i</w:t>
      </w:r>
      <w:r w:rsidRPr="009B3899">
        <w:t>ga, energisnåla</w:t>
      </w:r>
      <w:r w:rsidR="00A9152E" w:rsidRPr="009B3899">
        <w:t>,</w:t>
      </w:r>
      <w:r w:rsidRPr="009B3899">
        <w:t xml:space="preserve"> bostäder</w:t>
      </w:r>
      <w:r w:rsidR="007369E9" w:rsidRPr="009B3899">
        <w:t xml:space="preserve"> görs</w:t>
      </w:r>
      <w:r w:rsidRPr="009B3899">
        <w:t xml:space="preserve">. </w:t>
      </w:r>
      <w:r w:rsidR="00FD2416" w:rsidRPr="009B3899">
        <w:t>V</w:t>
      </w:r>
      <w:r w:rsidR="007369E9" w:rsidRPr="009B3899">
        <w:t>i</w:t>
      </w:r>
      <w:r w:rsidR="00FD2416" w:rsidRPr="009B3899">
        <w:t xml:space="preserve"> vill inrätta e</w:t>
      </w:r>
      <w:r w:rsidRPr="009B3899">
        <w:t>n statlig bostadsfond med syfte att stödja nyproduktion av hyresrätter och nödvändiga ombyggnationer i det befintliga beståndet. För att berättigas stöd ska högt ställda krav på energi</w:t>
      </w:r>
      <w:r w:rsidR="00B85AC1" w:rsidRPr="009B3899">
        <w:softHyphen/>
      </w:r>
      <w:r w:rsidRPr="009B3899">
        <w:t>effektivitet ställas på producenterna. Hyrorna ska framförhandlas i förväg och ligga på en rimlig nivå. 100 miljarder kronor (10 miljarder per år) avsätts i en fond som finansieras med medel från Riksgäldskontoret. Fonden hanteras utanför statsbudgeten och staten betalar amorterings- och räntekostnader under 30 år.</w:t>
      </w:r>
    </w:p>
    <w:p w:rsidR="00C2140C" w:rsidRPr="009B3899" w:rsidRDefault="00C2140C">
      <w:pPr>
        <w:pStyle w:val="Normaltindrag"/>
        <w:shd w:val="clear" w:color="000000" w:fill="auto"/>
      </w:pPr>
      <w:r w:rsidRPr="009B3899">
        <w:t>För att ytterligare öka produktionen av hyresbostäder och främja en ekol</w:t>
      </w:r>
      <w:r w:rsidRPr="009B3899">
        <w:t>o</w:t>
      </w:r>
      <w:r w:rsidRPr="009B3899">
        <w:t xml:space="preserve">giskt hållbar utveckling anvisar vi ett nytt anslag med syftet att styra medel mot marksanering i tätorter </w:t>
      </w:r>
      <w:r w:rsidRPr="009B3899">
        <w:rPr>
          <w:color w:val="000000"/>
        </w:rPr>
        <w:t>till byggande av flerbostadshus med hyresrätt.</w:t>
      </w:r>
      <w:r w:rsidRPr="009B3899">
        <w:t xml:space="preserve"> Ytterligare en miljöinriktad åtgärd är ett nytt anslag inom Boverkets ram, som syftar till att öka byggandet av energisnåla s.k. passivhus. För att underlätta byggandet i glesbygd får Statens bostadskreditnämnd något ökade resurser.</w:t>
      </w:r>
    </w:p>
    <w:p w:rsidR="00C2140C" w:rsidRPr="009B3899" w:rsidRDefault="000E52A4">
      <w:pPr>
        <w:pStyle w:val="Normaltindrag"/>
        <w:shd w:val="clear" w:color="000000" w:fill="auto"/>
      </w:pPr>
      <w:r w:rsidRPr="009B3899">
        <w:t xml:space="preserve">Även </w:t>
      </w:r>
      <w:r w:rsidR="00FD2416" w:rsidRPr="009B3899">
        <w:t>b</w:t>
      </w:r>
      <w:r w:rsidR="000C2E69" w:rsidRPr="009B3899">
        <w:t>ostadsbidrage</w:t>
      </w:r>
      <w:r w:rsidR="00FD2416" w:rsidRPr="009B3899">
        <w:t xml:space="preserve">t har en viktig roll att fylla för att möjliggöra en social bostadspolitik. </w:t>
      </w:r>
      <w:r w:rsidR="00C2140C" w:rsidRPr="009B3899">
        <w:t xml:space="preserve">I dag har bostadsbidraget både en familjepolitisk och </w:t>
      </w:r>
      <w:r w:rsidR="00A9152E" w:rsidRPr="009B3899">
        <w:t xml:space="preserve">en </w:t>
      </w:r>
      <w:r w:rsidR="00C2140C" w:rsidRPr="009B3899">
        <w:t>b</w:t>
      </w:r>
      <w:r w:rsidR="00C2140C" w:rsidRPr="009B3899">
        <w:t>o</w:t>
      </w:r>
      <w:r w:rsidR="00C2140C" w:rsidRPr="009B3899">
        <w:t xml:space="preserve">stadspolitisk målsättning. Vänsterpartiet anser att målet ska förtydligas så att bidragen endast förhåller sig till de bostadspolitiska målen. Trångboddheten i Sverige ökar och bidragens uppgift </w:t>
      </w:r>
      <w:r w:rsidR="00D55C3C" w:rsidRPr="009B3899">
        <w:t>ska</w:t>
      </w:r>
      <w:r w:rsidR="00C2140C" w:rsidRPr="009B3899">
        <w:t xml:space="preserve"> vara att ge ekonomiskt svaga hushåll möjlighet att efterfråga goda och tillräckligt rymliga bostäder. För att klargöra bidragens roll som bostadspolitiskt instrument </w:t>
      </w:r>
      <w:r w:rsidR="00FD2416" w:rsidRPr="009B3899">
        <w:t>bör</w:t>
      </w:r>
      <w:r w:rsidR="00C2140C" w:rsidRPr="009B3899">
        <w:t xml:space="preserve"> anslaget </w:t>
      </w:r>
      <w:r w:rsidR="00FD2416" w:rsidRPr="009B3899">
        <w:t>för bostadsbidrag</w:t>
      </w:r>
      <w:r w:rsidR="00C2140C" w:rsidRPr="009B3899">
        <w:t xml:space="preserve"> kvarstå under utgiftsområde 18. I syfte att stärka bidragens roll som en viktig del av bostadspolitiken avvisar vi </w:t>
      </w:r>
      <w:r w:rsidR="00FD2416" w:rsidRPr="009B3899">
        <w:t xml:space="preserve">därför </w:t>
      </w:r>
      <w:r w:rsidR="00C2140C" w:rsidRPr="009B3899">
        <w:t>regeringens förslag om att flytta anslaget för bostadsbidragen från utgiftsområde 18 till utgiftsområde 12.</w:t>
      </w:r>
    </w:p>
    <w:p w:rsidR="000C2E69" w:rsidRPr="009B3899" w:rsidRDefault="000C2E69">
      <w:pPr>
        <w:pStyle w:val="Normaltindrag"/>
        <w:shd w:val="clear" w:color="000000" w:fill="auto"/>
        <w:rPr>
          <w:color w:val="000000"/>
        </w:rPr>
      </w:pPr>
      <w:r w:rsidRPr="009B3899">
        <w:t xml:space="preserve">På sikt vill vi att fler grupper ska omfattas av bidraget än vad dagens regler medger. </w:t>
      </w:r>
      <w:r w:rsidR="00FD2416" w:rsidRPr="009B3899">
        <w:t xml:space="preserve">Vi tar därför bort den </w:t>
      </w:r>
      <w:r w:rsidRPr="009B3899">
        <w:rPr>
          <w:color w:val="000000"/>
        </w:rPr>
        <w:t>regel som i</w:t>
      </w:r>
      <w:r w:rsidR="00057183" w:rsidRPr="009B3899">
        <w:rPr>
          <w:color w:val="000000"/>
        </w:rPr>
        <w:t xml:space="preserve"> </w:t>
      </w:r>
      <w:r w:rsidRPr="009B3899">
        <w:rPr>
          <w:color w:val="000000"/>
        </w:rPr>
        <w:t>dag hindrar barnlösa personer över 28 år att söka bostadsbidrag. I framtiden måste sys</w:t>
      </w:r>
      <w:r w:rsidRPr="009B3899">
        <w:t>temet dessutom ta</w:t>
      </w:r>
      <w:r w:rsidRPr="009B3899">
        <w:rPr>
          <w:color w:val="000000"/>
        </w:rPr>
        <w:t xml:space="preserve"> större hänsyn till inkomst- och boendekostnadsutvecklingen än i dag. </w:t>
      </w:r>
      <w:r w:rsidR="00FD2416" w:rsidRPr="009B3899">
        <w:rPr>
          <w:color w:val="000000"/>
        </w:rPr>
        <w:t xml:space="preserve">Vi vill </w:t>
      </w:r>
      <w:r w:rsidRPr="009B3899">
        <w:rPr>
          <w:color w:val="000000"/>
        </w:rPr>
        <w:t xml:space="preserve">att någon form av indexering av bidragen ska </w:t>
      </w:r>
      <w:r w:rsidR="00C2140C" w:rsidRPr="009B3899">
        <w:rPr>
          <w:color w:val="000000"/>
        </w:rPr>
        <w:t>möjliggöras</w:t>
      </w:r>
      <w:r w:rsidRPr="009B3899">
        <w:rPr>
          <w:color w:val="000000"/>
        </w:rPr>
        <w:t>.</w:t>
      </w:r>
    </w:p>
    <w:p w:rsidR="0019555E" w:rsidRPr="009B3899" w:rsidRDefault="0019555E">
      <w:pPr>
        <w:pStyle w:val="Rubrik2"/>
        <w:shd w:val="clear" w:color="000000" w:fill="auto"/>
      </w:pPr>
      <w:bookmarkStart w:id="4" w:name="_Toc179614095"/>
      <w:r w:rsidRPr="009B3899">
        <w:t>Konsumentpolitik</w:t>
      </w:r>
      <w:bookmarkEnd w:id="4"/>
    </w:p>
    <w:p w:rsidR="0019555E" w:rsidRPr="009B3899" w:rsidRDefault="0019555E">
      <w:pPr>
        <w:shd w:val="clear" w:color="000000" w:fill="auto"/>
      </w:pPr>
      <w:r w:rsidRPr="009B3899">
        <w:t xml:space="preserve">Regeringen upphäver i sin budget (prop. 2007/08:1, </w:t>
      </w:r>
      <w:r w:rsidR="00A9152E" w:rsidRPr="009B3899">
        <w:t xml:space="preserve">utg.omr. </w:t>
      </w:r>
      <w:r w:rsidRPr="009B3899">
        <w:t>18) den nu gä</w:t>
      </w:r>
      <w:r w:rsidRPr="009B3899">
        <w:t>l</w:t>
      </w:r>
      <w:r w:rsidRPr="009B3899">
        <w:t>lande handlingsplanen för konsumentpolitiken (prop. 2005/06:105 Trygga konsumenter som handlar hållbart – Konsumentpolitikens mål och inriktning) och ersätter den med ett antal diffusa mål utan att presentera någon ny genomarbetad handlingsplan. Den borgerliga regeringen presenterar inte några som helst visioner för konsumentpolitiken.</w:t>
      </w:r>
      <w:r w:rsidR="0097770D" w:rsidRPr="009B3899">
        <w:t xml:space="preserve"> </w:t>
      </w:r>
      <w:r w:rsidRPr="009B3899">
        <w:t>Detta trots att konsumente</w:t>
      </w:r>
      <w:r w:rsidRPr="009B3899">
        <w:t>r</w:t>
      </w:r>
      <w:r w:rsidRPr="009B3899">
        <w:t>na förlorar ca 20 m</w:t>
      </w:r>
      <w:r w:rsidR="00A9152E" w:rsidRPr="009B3899">
        <w:t>iljar</w:t>
      </w:r>
      <w:r w:rsidRPr="009B3899">
        <w:t>d</w:t>
      </w:r>
      <w:r w:rsidR="00A9152E" w:rsidRPr="009B3899">
        <w:t xml:space="preserve">er </w:t>
      </w:r>
      <w:r w:rsidRPr="009B3899">
        <w:t>kr</w:t>
      </w:r>
      <w:r w:rsidR="00A9152E" w:rsidRPr="009B3899">
        <w:t>onor</w:t>
      </w:r>
      <w:r w:rsidRPr="009B3899">
        <w:t xml:space="preserve"> per år till följd av bristande upplysning och dåliga köp.</w:t>
      </w:r>
    </w:p>
    <w:p w:rsidR="0019555E" w:rsidRPr="009B3899" w:rsidRDefault="0019555E">
      <w:pPr>
        <w:pStyle w:val="Normaltindrag"/>
        <w:shd w:val="clear" w:color="000000" w:fill="auto"/>
      </w:pPr>
      <w:r w:rsidRPr="009B3899">
        <w:t>Vi anser att den tidigare handlingsplanen bör gälla fortsättningsvis. På konsumentpolitikens område anvisar vi liksom tidigare år ett anslag till Ko</w:t>
      </w:r>
      <w:r w:rsidRPr="009B3899">
        <w:t>n</w:t>
      </w:r>
      <w:r w:rsidRPr="009B3899">
        <w:t xml:space="preserve">sumentverket för en satsning på kommunala konsumentvägledare. Vi anslår även fortsättningsvis pengar till </w:t>
      </w:r>
      <w:r w:rsidR="00A9152E" w:rsidRPr="009B3899">
        <w:t xml:space="preserve">Konsumentföreningen </w:t>
      </w:r>
      <w:r w:rsidRPr="009B3899">
        <w:t>läkemedel och hälsa (</w:t>
      </w:r>
      <w:r w:rsidR="00A9152E" w:rsidRPr="009B3899">
        <w:t>Kilen</w:t>
      </w:r>
      <w:r w:rsidRPr="009B3899">
        <w:t>).</w:t>
      </w:r>
    </w:p>
    <w:p w:rsidR="000C5993" w:rsidRPr="009B3899" w:rsidRDefault="000C5993">
      <w:pPr>
        <w:pStyle w:val="Rubrik1"/>
        <w:shd w:val="clear" w:color="000000" w:fill="auto"/>
      </w:pPr>
      <w:bookmarkStart w:id="5" w:name="_Toc179614096"/>
      <w:r w:rsidRPr="009B3899">
        <w:t xml:space="preserve">Regeringens </w:t>
      </w:r>
      <w:r w:rsidR="007369E9" w:rsidRPr="009B3899">
        <w:t xml:space="preserve">budgetproposition 2008 – en </w:t>
      </w:r>
      <w:r w:rsidRPr="009B3899">
        <w:t>nedmontering av bostadspolitiken</w:t>
      </w:r>
      <w:bookmarkEnd w:id="5"/>
    </w:p>
    <w:p w:rsidR="00550E51" w:rsidRPr="009B3899" w:rsidRDefault="00550E51">
      <w:pPr>
        <w:shd w:val="clear" w:color="000000" w:fill="auto"/>
      </w:pPr>
      <w:r w:rsidRPr="009B3899">
        <w:t>I 2008 års budgetproposition ser Vänsterpartiet en bostadspolitik som saknar alla sociala ambitioner – en politik som formulerat om vårt hem till ännu en kapitalvara. Ledorden är att vi ska konsumera vår bostad. För den som klarar detta ska valfriheten hägra. Men valfrihet för de besuttna är varken en nyhet eller en framtid. Vad marknaden aldrig kan garantera är allas rätt till en god bostad</w:t>
      </w:r>
      <w:r w:rsidR="007369E9" w:rsidRPr="009B3899">
        <w:t>. M</w:t>
      </w:r>
      <w:r w:rsidRPr="009B3899">
        <w:t>en detta är heller inte längre ett huvudbry för regeringen. Man h</w:t>
      </w:r>
      <w:r w:rsidRPr="009B3899">
        <w:rPr>
          <w:spacing w:val="-2"/>
        </w:rPr>
        <w:t>ar nu lämnat sin första budget med nyuppsatta mål för bostadspolitiken, och borta är målet att</w:t>
      </w:r>
      <w:r w:rsidRPr="009B3899">
        <w:t xml:space="preserve"> </w:t>
      </w:r>
      <w:r w:rsidRPr="009B3899">
        <w:rPr>
          <w:spacing w:val="-2"/>
        </w:rPr>
        <w:t>tillfreds</w:t>
      </w:r>
      <w:r w:rsidR="00A9152E" w:rsidRPr="009B3899">
        <w:rPr>
          <w:spacing w:val="-2"/>
        </w:rPr>
        <w:t>s</w:t>
      </w:r>
      <w:r w:rsidRPr="009B3899">
        <w:rPr>
          <w:spacing w:val="-2"/>
        </w:rPr>
        <w:t>tälla allas behov av en god bostad. Man har med all öns</w:t>
      </w:r>
      <w:r w:rsidRPr="009B3899">
        <w:rPr>
          <w:spacing w:val="-2"/>
        </w:rPr>
        <w:t>k</w:t>
      </w:r>
      <w:r w:rsidRPr="009B3899">
        <w:rPr>
          <w:spacing w:val="-2"/>
        </w:rPr>
        <w:t>värd tydlighet klargjort att det</w:t>
      </w:r>
      <w:r w:rsidRPr="009B3899">
        <w:t xml:space="preserve"> är en politik för utvalda som man för.</w:t>
      </w:r>
    </w:p>
    <w:p w:rsidR="00145A42" w:rsidRPr="009B3899" w:rsidRDefault="00145A42">
      <w:pPr>
        <w:pStyle w:val="Normaltindrag"/>
        <w:shd w:val="clear" w:color="000000" w:fill="auto"/>
      </w:pPr>
      <w:r w:rsidRPr="009B3899">
        <w:t>Sammanfattningsvis består utgiftsområde 18</w:t>
      </w:r>
      <w:r w:rsidR="00BF6F54" w:rsidRPr="009B3899">
        <w:t xml:space="preserve"> i budgetpropositionen </w:t>
      </w:r>
      <w:r w:rsidRPr="009B3899">
        <w:t>av ko</w:t>
      </w:r>
      <w:r w:rsidRPr="009B3899">
        <w:t>r</w:t>
      </w:r>
      <w:r w:rsidRPr="009B3899">
        <w:t>rekta beskrivningar av problem på bostadsmarknaden, men saknar helt up</w:t>
      </w:r>
      <w:r w:rsidRPr="009B3899">
        <w:t>p</w:t>
      </w:r>
      <w:r w:rsidRPr="009B3899">
        <w:t xml:space="preserve">följande åtgärder eller förslag för att lösa problemen. Svaret från regeringen är </w:t>
      </w:r>
      <w:r w:rsidR="00BF6F54" w:rsidRPr="009B3899">
        <w:t xml:space="preserve">i princip </w:t>
      </w:r>
      <w:r w:rsidRPr="009B3899">
        <w:t>att stabila villkor nås om man avvecklar politikområdet.</w:t>
      </w:r>
    </w:p>
    <w:p w:rsidR="00BF6F54" w:rsidRPr="009B3899" w:rsidRDefault="00BF6F54">
      <w:pPr>
        <w:pStyle w:val="Normaltindrag"/>
        <w:shd w:val="clear" w:color="000000" w:fill="auto"/>
      </w:pPr>
      <w:r w:rsidRPr="009B3899">
        <w:rPr>
          <w:spacing w:val="-4"/>
        </w:rPr>
        <w:t>Regeringen saknar lösningar för hur samhället</w:t>
      </w:r>
      <w:r w:rsidRPr="009B3899">
        <w:t xml:space="preserve"> ska klara en nyproduktion av hyresrätter på en acceptabel nivå. Inte heller finns det några förslag på hur en tillfredsställande omfattning av underhåll och ombyggnation i det redan byggda ska tryggas. Denna brist på politiska ambitioner drabbar alla som inte har goda ekonomiska förutsättningar.</w:t>
      </w:r>
    </w:p>
    <w:p w:rsidR="00BF6F54" w:rsidRPr="009B3899" w:rsidRDefault="00BF6F54">
      <w:pPr>
        <w:pStyle w:val="Normaltindrag"/>
        <w:shd w:val="clear" w:color="000000" w:fill="auto"/>
      </w:pPr>
      <w:r w:rsidRPr="009B3899">
        <w:t>Regeringens linje slår väldigt olika mellan boendeformerna, och medför därmed ytterligare skillnader i utvecklingen av hushållens konsumtions</w:t>
      </w:r>
      <w:r w:rsidR="00B85AC1" w:rsidRPr="009B3899">
        <w:softHyphen/>
      </w:r>
      <w:r w:rsidRPr="009B3899">
        <w:t>utrymme</w:t>
      </w:r>
      <w:r w:rsidR="00A9152E" w:rsidRPr="009B3899">
        <w:t>;</w:t>
      </w:r>
      <w:r w:rsidRPr="009B3899">
        <w:t xml:space="preserve"> med oro ser vi hur </w:t>
      </w:r>
      <w:r w:rsidR="000C2E69" w:rsidRPr="009B3899">
        <w:t>en politik som inte har plats för de mest utsatta i samhället ta</w:t>
      </w:r>
      <w:r w:rsidR="004147A2" w:rsidRPr="009B3899">
        <w:t>r</w:t>
      </w:r>
      <w:r w:rsidR="000C2E69" w:rsidRPr="009B3899">
        <w:t xml:space="preserve"> form. </w:t>
      </w:r>
      <w:r w:rsidR="00550E51" w:rsidRPr="009B3899">
        <w:t>Framtid</w:t>
      </w:r>
      <w:r w:rsidR="00FD2416" w:rsidRPr="009B3899">
        <w:t xml:space="preserve">en </w:t>
      </w:r>
      <w:r w:rsidR="00550E51" w:rsidRPr="009B3899">
        <w:t xml:space="preserve">och </w:t>
      </w:r>
      <w:r w:rsidR="00FD2416" w:rsidRPr="009B3899">
        <w:t xml:space="preserve">de </w:t>
      </w:r>
      <w:r w:rsidR="00550E51" w:rsidRPr="009B3899">
        <w:t>borgerliga visioner</w:t>
      </w:r>
      <w:r w:rsidR="00FD2416" w:rsidRPr="009B3899">
        <w:t>na</w:t>
      </w:r>
      <w:r w:rsidR="00550E51" w:rsidRPr="009B3899">
        <w:t xml:space="preserve"> nämns uteslutande då det handlar om dem som redan har såväl en bostad som kapital</w:t>
      </w:r>
      <w:r w:rsidR="007369E9" w:rsidRPr="009B3899">
        <w:t>.</w:t>
      </w:r>
      <w:r w:rsidR="00550E51" w:rsidRPr="009B3899">
        <w:t xml:space="preserve"> Utförsäl</w:t>
      </w:r>
      <w:r w:rsidR="00550E51" w:rsidRPr="009B3899">
        <w:t>j</w:t>
      </w:r>
      <w:r w:rsidR="00550E51" w:rsidRPr="009B3899">
        <w:t>ningarna av allmännyttan och ”fler ekonomiska incitament för den som hyr ut i andra</w:t>
      </w:r>
      <w:r w:rsidR="00A9152E" w:rsidRPr="009B3899">
        <w:t xml:space="preserve"> </w:t>
      </w:r>
      <w:r w:rsidR="00550E51" w:rsidRPr="009B3899">
        <w:t>hand” är några exempel på detta. För den som varken har kapital eller bostad är i princip inga förbättringar att vänta.</w:t>
      </w:r>
    </w:p>
    <w:p w:rsidR="004147A2" w:rsidRPr="009B3899" w:rsidRDefault="004147A2">
      <w:pPr>
        <w:pStyle w:val="Normaltindrag"/>
        <w:shd w:val="clear" w:color="000000" w:fill="auto"/>
        <w:rPr>
          <w:spacing w:val="-2"/>
        </w:rPr>
      </w:pPr>
      <w:r w:rsidRPr="009B3899">
        <w:t>Generellt har landets hyresgäster de högsta boendekostnaderna i förhålla</w:t>
      </w:r>
      <w:r w:rsidRPr="009B3899">
        <w:t>n</w:t>
      </w:r>
      <w:r w:rsidRPr="009B3899">
        <w:t>de till den disponibla inkomsten och det är dessa, hyresrättsinnehavarna, som är de stora förlorarna även i 200</w:t>
      </w:r>
      <w:r w:rsidRPr="009B3899">
        <w:rPr>
          <w:spacing w:val="-2"/>
        </w:rPr>
        <w:t xml:space="preserve">8 års budgetmotion. </w:t>
      </w:r>
      <w:r w:rsidR="00550E51" w:rsidRPr="009B3899">
        <w:rPr>
          <w:spacing w:val="-2"/>
        </w:rPr>
        <w:t>Högre hyror för de hy</w:t>
      </w:r>
      <w:r w:rsidR="00550E51" w:rsidRPr="009B3899">
        <w:t>re</w:t>
      </w:r>
      <w:r w:rsidR="00550E51" w:rsidRPr="009B3899">
        <w:t>s</w:t>
      </w:r>
      <w:r w:rsidR="00550E51" w:rsidRPr="009B3899">
        <w:t>gäster som inte kan konsumera sitt hem och högre hyror för de</w:t>
      </w:r>
      <w:r w:rsidR="00A9152E" w:rsidRPr="009B3899">
        <w:t>m</w:t>
      </w:r>
      <w:r w:rsidR="00550E51" w:rsidRPr="009B3899">
        <w:t xml:space="preserve"> som inte har någon bostad alls</w:t>
      </w:r>
      <w:r w:rsidR="00A9152E" w:rsidRPr="009B3899">
        <w:t>, dvs</w:t>
      </w:r>
      <w:r w:rsidR="0024065C" w:rsidRPr="009B3899">
        <w:t>.</w:t>
      </w:r>
      <w:r w:rsidR="00F85E37" w:rsidRPr="009B3899">
        <w:t xml:space="preserve"> de som hyr i andra</w:t>
      </w:r>
      <w:r w:rsidR="00A9152E" w:rsidRPr="009B3899">
        <w:t xml:space="preserve"> </w:t>
      </w:r>
      <w:r w:rsidR="00F85E37" w:rsidRPr="009B3899">
        <w:t>hand,</w:t>
      </w:r>
      <w:r w:rsidR="00A9152E" w:rsidRPr="009B3899">
        <w:t xml:space="preserve"> är några av resultaten</w:t>
      </w:r>
      <w:r w:rsidR="00550E51" w:rsidRPr="009B3899">
        <w:t xml:space="preserve"> av år</w:t>
      </w:r>
      <w:r w:rsidR="00FD2416" w:rsidRPr="009B3899">
        <w:t>et</w:t>
      </w:r>
      <w:r w:rsidR="00550E51" w:rsidRPr="009B3899">
        <w:t>s budgetproposition.</w:t>
      </w:r>
      <w:r w:rsidRPr="009B3899">
        <w:t xml:space="preserve"> </w:t>
      </w:r>
      <w:r w:rsidRPr="009B3899">
        <w:rPr>
          <w:spacing w:val="-4"/>
        </w:rPr>
        <w:t>Situationen för ungdomar</w:t>
      </w:r>
      <w:r w:rsidRPr="009B3899">
        <w:t xml:space="preserve"> </w:t>
      </w:r>
      <w:r w:rsidRPr="009B3899">
        <w:rPr>
          <w:spacing w:val="-4"/>
        </w:rPr>
        <w:t>och andra som inte har kap</w:t>
      </w:r>
      <w:r w:rsidRPr="009B3899">
        <w:rPr>
          <w:spacing w:val="-4"/>
        </w:rPr>
        <w:t>i</w:t>
      </w:r>
      <w:r w:rsidRPr="009B3899">
        <w:rPr>
          <w:spacing w:val="-4"/>
        </w:rPr>
        <w:t>tal eller önskan att efterfråga bostäder utanför hyresmarknaden blir</w:t>
      </w:r>
      <w:r w:rsidRPr="009B3899">
        <w:t xml:space="preserve"> </w:t>
      </w:r>
      <w:r w:rsidRPr="009B3899">
        <w:rPr>
          <w:spacing w:val="-2"/>
        </w:rPr>
        <w:t>alltmer ohål</w:t>
      </w:r>
      <w:r w:rsidRPr="009B3899">
        <w:rPr>
          <w:spacing w:val="-2"/>
        </w:rPr>
        <w:t>l</w:t>
      </w:r>
      <w:r w:rsidRPr="009B3899">
        <w:rPr>
          <w:spacing w:val="-2"/>
        </w:rPr>
        <w:t>bar.</w:t>
      </w:r>
    </w:p>
    <w:p w:rsidR="00D55C3C" w:rsidRPr="009B3899" w:rsidRDefault="007369E9">
      <w:pPr>
        <w:pStyle w:val="Normaltindrag"/>
        <w:shd w:val="clear" w:color="000000" w:fill="auto"/>
      </w:pPr>
      <w:r w:rsidRPr="009B3899">
        <w:rPr>
          <w:spacing w:val="-2"/>
        </w:rPr>
        <w:t>Sett i detta perspektiv är det naturligtvis ingen överraskning att regeringen i årets budgetproposition väljer att omformulera det tidigare målet för bostads</w:t>
      </w:r>
      <w:r w:rsidR="00B85AC1" w:rsidRPr="009B3899">
        <w:rPr>
          <w:spacing w:val="-2"/>
        </w:rPr>
        <w:softHyphen/>
      </w:r>
      <w:r w:rsidRPr="009B3899">
        <w:rPr>
          <w:spacing w:val="-2"/>
        </w:rPr>
        <w:t>politiken</w:t>
      </w:r>
      <w:r w:rsidR="00145A42" w:rsidRPr="009B3899">
        <w:rPr>
          <w:spacing w:val="-2"/>
        </w:rPr>
        <w:t xml:space="preserve">. När </w:t>
      </w:r>
      <w:r w:rsidRPr="009B3899">
        <w:t>”</w:t>
      </w:r>
      <w:r w:rsidR="00145A42" w:rsidRPr="009B3899">
        <w:t>a</w:t>
      </w:r>
      <w:r w:rsidRPr="009B3899">
        <w:t xml:space="preserve">lla” byts ut mot ”vissa” </w:t>
      </w:r>
      <w:r w:rsidR="00145A42" w:rsidRPr="009B3899">
        <w:t xml:space="preserve">är det </w:t>
      </w:r>
      <w:r w:rsidRPr="009B3899">
        <w:t>enda som uppnås att s</w:t>
      </w:r>
      <w:r w:rsidR="00550E51" w:rsidRPr="009B3899">
        <w:rPr>
          <w:spacing w:val="-4"/>
        </w:rPr>
        <w:t>egreg</w:t>
      </w:r>
      <w:r w:rsidR="00550E51" w:rsidRPr="009B3899">
        <w:rPr>
          <w:spacing w:val="-4"/>
        </w:rPr>
        <w:t>a</w:t>
      </w:r>
      <w:r w:rsidR="00550E51" w:rsidRPr="009B3899">
        <w:rPr>
          <w:spacing w:val="-4"/>
        </w:rPr>
        <w:t xml:space="preserve">tion och utanförskap </w:t>
      </w:r>
      <w:r w:rsidR="00830959" w:rsidRPr="009B3899">
        <w:t>cementeras ytterligare.</w:t>
      </w:r>
    </w:p>
    <w:p w:rsidR="004147A2" w:rsidRPr="009B3899" w:rsidRDefault="004147A2">
      <w:pPr>
        <w:pStyle w:val="Rubrik1"/>
        <w:shd w:val="clear" w:color="000000" w:fill="auto"/>
      </w:pPr>
      <w:bookmarkStart w:id="6" w:name="_Toc179614097"/>
      <w:r w:rsidRPr="009B3899">
        <w:t>Vänsterpartiets budgetförslag</w:t>
      </w:r>
      <w:bookmarkEnd w:id="6"/>
    </w:p>
    <w:p w:rsidR="00145A42" w:rsidRPr="009B3899" w:rsidRDefault="00D55C3C">
      <w:pPr>
        <w:pStyle w:val="Rubrik2"/>
        <w:shd w:val="clear" w:color="000000" w:fill="auto"/>
        <w:spacing w:before="120"/>
      </w:pPr>
      <w:bookmarkStart w:id="7" w:name="_Toc177894353"/>
      <w:bookmarkStart w:id="8" w:name="_Toc179614098"/>
      <w:r w:rsidRPr="009B3899">
        <w:t>Stat</w:t>
      </w:r>
      <w:r w:rsidR="00145A42" w:rsidRPr="009B3899">
        <w:t>lig bostadsfond</w:t>
      </w:r>
      <w:bookmarkEnd w:id="7"/>
      <w:bookmarkEnd w:id="8"/>
    </w:p>
    <w:p w:rsidR="00DA10E4" w:rsidRPr="009B3899" w:rsidRDefault="00DA10E4">
      <w:pPr>
        <w:shd w:val="clear" w:color="000000" w:fill="auto"/>
      </w:pPr>
      <w:r w:rsidRPr="009B3899">
        <w:t>Drygt 60</w:t>
      </w:r>
      <w:r w:rsidR="00D55C3C" w:rsidRPr="009B3899">
        <w:rPr>
          <w:szCs w:val="24"/>
        </w:rPr>
        <w:t> </w:t>
      </w:r>
      <w:r w:rsidR="00D55C3C" w:rsidRPr="009B3899">
        <w:t>%</w:t>
      </w:r>
      <w:r w:rsidRPr="009B3899">
        <w:t xml:space="preserve"> av Sveriges befolkning bor i kommuner med bostadsbrist. Främst är det hyresbostäder som saknas och enligt kommunerna är unga och äldre de värst drabbade grupperna. Samtidigt står vi inför enorma renoveringsbehov i det befintliga beståndet.</w:t>
      </w:r>
    </w:p>
    <w:p w:rsidR="00DA10E4" w:rsidRPr="009B3899" w:rsidRDefault="00DA10E4">
      <w:pPr>
        <w:pStyle w:val="Normaltindrag"/>
        <w:shd w:val="clear" w:color="000000" w:fill="auto"/>
      </w:pPr>
      <w:r w:rsidRPr="009B3899">
        <w:t>För att tydliggöra att både nyproduktionen och ombyggnationen av bost</w:t>
      </w:r>
      <w:r w:rsidRPr="009B3899">
        <w:t>ä</w:t>
      </w:r>
      <w:r w:rsidRPr="009B3899">
        <w:t>der måste fortsätta att öka vill Vänsterpartiet sätta upp tydliga produktion</w:t>
      </w:r>
      <w:r w:rsidRPr="009B3899">
        <w:t>s</w:t>
      </w:r>
      <w:r w:rsidRPr="009B3899">
        <w:t>mål. Under den närmaste tioårsperioden bör det tillkomma 40 000 bostäder per år, av vilka hälften är hyresrätter. Dessutom bör 65 000 bostäder per år renoveras under samma period.</w:t>
      </w:r>
    </w:p>
    <w:p w:rsidR="00DA10E4" w:rsidRPr="009B3899" w:rsidRDefault="00DA10E4">
      <w:pPr>
        <w:pStyle w:val="Normaltindrag"/>
        <w:shd w:val="clear" w:color="000000" w:fill="auto"/>
      </w:pPr>
      <w:r w:rsidRPr="009B3899">
        <w:t>I de uttalande</w:t>
      </w:r>
      <w:r w:rsidR="00A9152E" w:rsidRPr="009B3899">
        <w:t>n</w:t>
      </w:r>
      <w:r w:rsidRPr="009B3899">
        <w:t xml:space="preserve"> som Boverket gjorde under 2006 rörande det framtida b</w:t>
      </w:r>
      <w:r w:rsidRPr="009B3899">
        <w:t>o</w:t>
      </w:r>
      <w:r w:rsidRPr="009B3899">
        <w:t>stadsbyggandet reserverade man sig vid ett flertal tillfällen för att försämrade produktionsstöd på längre sikt kan leda till avsevärt lägre siffror då det gäller just hyresrätter. En minskning av nyproducerade hyresrätter skulle vara mycket olycklig för många gruppers möjlighet att ta sig in på den reguljära bostadsmarknaden. Det gälle</w:t>
      </w:r>
      <w:r w:rsidRPr="009B3899">
        <w:rPr>
          <w:spacing w:val="-2"/>
        </w:rPr>
        <w:t>r naturligtvis främst de</w:t>
      </w:r>
      <w:r w:rsidR="00A9152E" w:rsidRPr="009B3899">
        <w:rPr>
          <w:spacing w:val="-2"/>
        </w:rPr>
        <w:t>m</w:t>
      </w:r>
      <w:r w:rsidRPr="009B3899">
        <w:rPr>
          <w:spacing w:val="-2"/>
        </w:rPr>
        <w:t xml:space="preserve"> som saknar ekonomis</w:t>
      </w:r>
      <w:r w:rsidRPr="009B3899">
        <w:t>ka tillgångar.</w:t>
      </w:r>
    </w:p>
    <w:p w:rsidR="00DA10E4" w:rsidRPr="009B3899" w:rsidRDefault="00DA10E4">
      <w:pPr>
        <w:pStyle w:val="Normaltindrag"/>
        <w:shd w:val="clear" w:color="000000" w:fill="auto"/>
      </w:pPr>
      <w:r w:rsidRPr="009B3899">
        <w:t>Staten måste ta sin del av ansvaret för att uppnå produktionsmålen och för att ge Sverige ett långsiktigt och trovärdigt bostadsfinansieringssystem. St</w:t>
      </w:r>
      <w:r w:rsidRPr="009B3899">
        <w:t>a</w:t>
      </w:r>
      <w:r w:rsidRPr="009B3899">
        <w:t>tens möjlighet att bidra till ökad ny- och ombyggnad, lägre boendekostnader och ökad kvalitet i boendet är stor.</w:t>
      </w:r>
      <w:r w:rsidRPr="009B3899">
        <w:rPr>
          <w:spacing w:val="-2"/>
        </w:rPr>
        <w:t xml:space="preserve"> Bostadspolitiken får inte heller isoleras från andra politiska områden. E</w:t>
      </w:r>
      <w:r w:rsidRPr="009B3899">
        <w:rPr>
          <w:spacing w:val="-4"/>
        </w:rPr>
        <w:t>xempelvis finns det stora miljö- och energikonsekve</w:t>
      </w:r>
      <w:r w:rsidRPr="009B3899">
        <w:rPr>
          <w:spacing w:val="-4"/>
        </w:rPr>
        <w:t>n</w:t>
      </w:r>
      <w:r w:rsidRPr="009B3899">
        <w:rPr>
          <w:spacing w:val="-4"/>
        </w:rPr>
        <w:t>ser av bostadsbyggandet, vilka är genuina</w:t>
      </w:r>
      <w:r w:rsidRPr="009B3899">
        <w:t xml:space="preserve"> </w:t>
      </w:r>
      <w:r w:rsidRPr="009B3899">
        <w:rPr>
          <w:spacing w:val="-4"/>
        </w:rPr>
        <w:t xml:space="preserve">samhällsangelägenheter. </w:t>
      </w:r>
      <w:r w:rsidRPr="009B3899">
        <w:t>Det fulla ansvaret för allas rätt till en bostad kan aldrig fullt ut överlåtas på den fria marknaden.</w:t>
      </w:r>
    </w:p>
    <w:p w:rsidR="00DA10E4" w:rsidRPr="009B3899" w:rsidRDefault="00DA10E4">
      <w:pPr>
        <w:pStyle w:val="Normaltindrag"/>
        <w:shd w:val="clear" w:color="000000" w:fill="auto"/>
      </w:pPr>
      <w:r w:rsidRPr="009B3899">
        <w:t>Osäkerheten om hur de framtida produktionsvillkoren ska formas är stor</w:t>
      </w:r>
      <w:r w:rsidR="00A9152E" w:rsidRPr="009B3899">
        <w:t>,</w:t>
      </w:r>
      <w:r w:rsidRPr="009B3899">
        <w:t xml:space="preserve"> och behovet av ett nytt finansieringssystem och en mer permanent förändring av statens bostadsfinansieringsinsatser är angelägen. Staten bör ge långsiktiga ekonomiska förutsättningar för bostadsbyggandet och genomföra åtgärder som stimulerar nyproduktion och ombyggnation av framför</w:t>
      </w:r>
      <w:r w:rsidR="00057183" w:rsidRPr="009B3899">
        <w:t xml:space="preserve"> </w:t>
      </w:r>
      <w:r w:rsidRPr="009B3899">
        <w:t>allt hyresrätter. Engagemanget måste visa på handlingskraft och långsiktighet om bostad</w:t>
      </w:r>
      <w:r w:rsidRPr="009B3899">
        <w:t>s</w:t>
      </w:r>
      <w:r w:rsidRPr="009B3899">
        <w:t xml:space="preserve">byggandet </w:t>
      </w:r>
      <w:r w:rsidR="00D55C3C" w:rsidRPr="009B3899">
        <w:t>ska</w:t>
      </w:r>
      <w:r w:rsidRPr="009B3899">
        <w:t xml:space="preserve"> ha möjlighet att etableras på en nivå som är godtagbar och stabil. Genom att i kvantitativa termer lägga fast det antal bostäder som bör produceras, liksom det antal som bör renoveras, ges ett tydligt uttryck för den höga ambition som krävs för att få till stånd ett bostadsbyggande i en tillräc</w:t>
      </w:r>
      <w:r w:rsidRPr="009B3899">
        <w:t>k</w:t>
      </w:r>
      <w:r w:rsidRPr="009B3899">
        <w:t>lig omfattning.</w:t>
      </w:r>
    </w:p>
    <w:p w:rsidR="00DA10E4" w:rsidRPr="009B3899" w:rsidRDefault="00DA10E4">
      <w:pPr>
        <w:pStyle w:val="Normaltindrag"/>
        <w:shd w:val="clear" w:color="000000" w:fill="auto"/>
      </w:pPr>
      <w:r w:rsidRPr="009B3899">
        <w:t>För att uppnå målet om 40</w:t>
      </w:r>
      <w:r w:rsidR="009058C2" w:rsidRPr="009B3899">
        <w:t> </w:t>
      </w:r>
      <w:r w:rsidRPr="009B3899">
        <w:t>000 nya bostäder per år under en tioårsperiod, och 65 000 helrenoverade lägenheter per år under samma period, föreslår Vänsterpartiet att en statlig bostadsfond inrättas. Grunden i förslaget är att fonden disponerar medel som utgår till fastighetsägare i form av investering</w:t>
      </w:r>
      <w:r w:rsidRPr="009B3899">
        <w:t>s</w:t>
      </w:r>
      <w:r w:rsidRPr="009B3899">
        <w:t>bidrag för ny- och ombyggnation av hyresrätter. Stöden ska innehålla krav på tak för produktionskostnaden samt rimliga hyror som förhandlats fram i fö</w:t>
      </w:r>
      <w:r w:rsidRPr="009B3899">
        <w:t>r</w:t>
      </w:r>
      <w:r w:rsidRPr="009B3899">
        <w:t>väg. Beviljande av stöd från fonden ska även vara förenat med högt ställda krav på att bästa miljöteknik för energiomställning och energieffektivitet i boendet används.</w:t>
      </w:r>
    </w:p>
    <w:p w:rsidR="00DA10E4" w:rsidRPr="009B3899" w:rsidRDefault="00DA10E4">
      <w:pPr>
        <w:pStyle w:val="Normaltindrag"/>
        <w:shd w:val="clear" w:color="000000" w:fill="auto"/>
        <w:tabs>
          <w:tab w:val="left" w:pos="5040"/>
        </w:tabs>
        <w:rPr>
          <w:bCs/>
          <w:iCs/>
        </w:rPr>
      </w:pPr>
      <w:r w:rsidRPr="009B3899">
        <w:t>Fonden tillförs årligen 10</w:t>
      </w:r>
      <w:r w:rsidR="009058C2" w:rsidRPr="009B3899">
        <w:t> </w:t>
      </w:r>
      <w:r w:rsidRPr="009B3899">
        <w:t>miljarder kronor, via lån som tas upp av Rik</w:t>
      </w:r>
      <w:r w:rsidRPr="009B3899">
        <w:t>s</w:t>
      </w:r>
      <w:r w:rsidRPr="009B3899">
        <w:t>gäldskontoret med en avskrivningstid på 30</w:t>
      </w:r>
      <w:r w:rsidR="009058C2" w:rsidRPr="009B3899">
        <w:t> </w:t>
      </w:r>
      <w:r w:rsidRPr="009B3899">
        <w:t>år. Fonden hanteras därmed uta</w:t>
      </w:r>
      <w:r w:rsidRPr="009B3899">
        <w:t>n</w:t>
      </w:r>
      <w:r w:rsidRPr="009B3899">
        <w:t>för statsbudgeten. Kortfattat innebär förslaget att ett bostadsinstitut inrättas och staten betalar fondens ränte- och amorteringskostnader.</w:t>
      </w:r>
      <w:r w:rsidR="009058C2" w:rsidRPr="009B3899">
        <w:t xml:space="preserve"> </w:t>
      </w:r>
      <w:r w:rsidRPr="009B3899">
        <w:rPr>
          <w:spacing w:val="-2"/>
        </w:rPr>
        <w:t xml:space="preserve">Nedan presenteras ett räkneexempel för investeringskostnaderna. </w:t>
      </w:r>
      <w:r w:rsidR="009058C2" w:rsidRPr="009B3899">
        <w:rPr>
          <w:spacing w:val="-2"/>
        </w:rPr>
        <w:t xml:space="preserve">Tabellen </w:t>
      </w:r>
      <w:r w:rsidRPr="009B3899">
        <w:rPr>
          <w:spacing w:val="-2"/>
        </w:rPr>
        <w:t>bygger på en räntesats på</w:t>
      </w:r>
      <w:r w:rsidR="009058C2" w:rsidRPr="009B3899">
        <w:t xml:space="preserve"> 5 </w:t>
      </w:r>
      <w:r w:rsidR="00D55C3C" w:rsidRPr="009B3899">
        <w:t>%</w:t>
      </w:r>
      <w:r w:rsidRPr="009B3899">
        <w:t>. Den aktuella räntesatsen för en 10-årig obligation ligger vid dagens datum på 4,32</w:t>
      </w:r>
      <w:r w:rsidR="009058C2" w:rsidRPr="009B3899">
        <w:t> </w:t>
      </w:r>
      <w:r w:rsidR="00D55C3C" w:rsidRPr="009B3899">
        <w:t>%</w:t>
      </w:r>
      <w:r w:rsidRPr="009B3899">
        <w:rPr>
          <w:spacing w:val="-2"/>
        </w:rPr>
        <w:t>. Kostnaderna för satsningen blir som högst efter tio år,</w:t>
      </w:r>
      <w:r w:rsidRPr="009B3899">
        <w:t xml:space="preserve"> varpå kostnaderna åter sjunker</w:t>
      </w:r>
      <w:r w:rsidRPr="009B3899">
        <w:rPr>
          <w:spacing w:val="-2"/>
        </w:rPr>
        <w:t xml:space="preserve">. </w:t>
      </w:r>
      <w:r w:rsidRPr="009B3899">
        <w:t>Baserat på 3</w:t>
      </w:r>
      <w:r w:rsidR="009058C2" w:rsidRPr="009B3899">
        <w:t> </w:t>
      </w:r>
      <w:r w:rsidRPr="009B3899">
        <w:t>% ränta, skulle påverkan på statsbudg</w:t>
      </w:r>
      <w:r w:rsidRPr="009B3899">
        <w:t>e</w:t>
      </w:r>
      <w:r w:rsidRPr="009B3899">
        <w:t>ten nå 4,48</w:t>
      </w:r>
      <w:r w:rsidR="009058C2" w:rsidRPr="009B3899">
        <w:t> </w:t>
      </w:r>
      <w:r w:rsidRPr="009B3899">
        <w:t>miljarder kronor efter tio år. I</w:t>
      </w:r>
      <w:r w:rsidRPr="009B3899">
        <w:rPr>
          <w:spacing w:val="-2"/>
        </w:rPr>
        <w:t xml:space="preserve"> vårt exempel nedan, med </w:t>
      </w:r>
      <w:r w:rsidR="009058C2" w:rsidRPr="009B3899">
        <w:rPr>
          <w:spacing w:val="-2"/>
        </w:rPr>
        <w:t>5</w:t>
      </w:r>
      <w:r w:rsidR="009058C2" w:rsidRPr="009B3899">
        <w:t> </w:t>
      </w:r>
      <w:r w:rsidR="00D55C3C" w:rsidRPr="009B3899">
        <w:rPr>
          <w:spacing w:val="-2"/>
        </w:rPr>
        <w:t>%</w:t>
      </w:r>
      <w:r w:rsidRPr="009B3899">
        <w:rPr>
          <w:spacing w:val="-2"/>
        </w:rPr>
        <w:t xml:space="preserve"> ränta, uppgår de till 6,07</w:t>
      </w:r>
      <w:r w:rsidR="009058C2" w:rsidRPr="009B3899">
        <w:t> </w:t>
      </w:r>
      <w:r w:rsidRPr="009B3899">
        <w:rPr>
          <w:spacing w:val="-2"/>
        </w:rPr>
        <w:t xml:space="preserve">miljarder </w:t>
      </w:r>
      <w:r w:rsidR="00A9152E" w:rsidRPr="009B3899">
        <w:rPr>
          <w:spacing w:val="-2"/>
        </w:rPr>
        <w:t xml:space="preserve">kronor </w:t>
      </w:r>
      <w:r w:rsidRPr="009B3899">
        <w:rPr>
          <w:spacing w:val="-2"/>
        </w:rPr>
        <w:t>år 2018. Mot dessa kostnader ska ställas de sociala vinster som följer av minskad ekonomisk stress och minskad segreg</w:t>
      </w:r>
      <w:r w:rsidRPr="009B3899">
        <w:rPr>
          <w:spacing w:val="-2"/>
        </w:rPr>
        <w:t>a</w:t>
      </w:r>
      <w:r w:rsidRPr="009B3899">
        <w:rPr>
          <w:spacing w:val="-2"/>
        </w:rPr>
        <w:t>tion, men också de svårberäknade men uppenbara samhällsekonomiska vins</w:t>
      </w:r>
      <w:r w:rsidRPr="009B3899">
        <w:t>te</w:t>
      </w:r>
      <w:r w:rsidRPr="009B3899">
        <w:t>r</w:t>
      </w:r>
      <w:r w:rsidRPr="009B3899">
        <w:t>na av att öka den geografiska rörligheten och åtgärda trängseleffekterna i storstäder och på universitetsorter.</w:t>
      </w:r>
    </w:p>
    <w:p w:rsidR="00DA10E4" w:rsidRPr="009B3899" w:rsidRDefault="00DA10E4">
      <w:pPr>
        <w:shd w:val="clear" w:color="000000" w:fill="auto"/>
        <w:rPr>
          <w:b/>
          <w:szCs w:val="22"/>
        </w:rPr>
      </w:pPr>
      <w:r w:rsidRPr="009B3899">
        <w:rPr>
          <w:b/>
          <w:bCs/>
          <w:iCs/>
        </w:rPr>
        <w:t>Tabell 1. Boinstitutets/BKN</w:t>
      </w:r>
      <w:r w:rsidR="00A9152E" w:rsidRPr="009B3899">
        <w:rPr>
          <w:b/>
          <w:bCs/>
          <w:iCs/>
        </w:rPr>
        <w:t>:</w:t>
      </w:r>
      <w:r w:rsidRPr="009B3899">
        <w:rPr>
          <w:b/>
          <w:bCs/>
          <w:iCs/>
        </w:rPr>
        <w:t>s kostnader år, 5</w:t>
      </w:r>
      <w:r w:rsidR="005373DA" w:rsidRPr="009B3899">
        <w:rPr>
          <w:b/>
          <w:szCs w:val="24"/>
        </w:rPr>
        <w:t> </w:t>
      </w:r>
      <w:r w:rsidRPr="009B3899">
        <w:rPr>
          <w:b/>
          <w:bCs/>
          <w:iCs/>
        </w:rPr>
        <w:t>%</w:t>
      </w:r>
      <w:r w:rsidR="009058C2" w:rsidRPr="009B3899">
        <w:rPr>
          <w:b/>
        </w:rPr>
        <w:t> </w:t>
      </w:r>
      <w:r w:rsidRPr="009B3899">
        <w:rPr>
          <w:b/>
          <w:bCs/>
          <w:iCs/>
        </w:rPr>
        <w:t>ränta, md</w:t>
      </w:r>
      <w:r w:rsidR="00A9152E" w:rsidRPr="009B3899">
        <w:rPr>
          <w:b/>
          <w:bCs/>
          <w:iCs/>
        </w:rPr>
        <w:t>k</w:t>
      </w:r>
      <w:r w:rsidRPr="009B3899">
        <w:rPr>
          <w:b/>
          <w:bCs/>
          <w:iCs/>
        </w:rPr>
        <w:t>r</w:t>
      </w:r>
    </w:p>
    <w:tbl>
      <w:tblPr>
        <w:tblStyle w:val="Enkeltabell1"/>
        <w:tblW w:w="5925" w:type="dxa"/>
        <w:tblInd w:w="108" w:type="dxa"/>
        <w:tblLayout w:type="fixed"/>
        <w:tblLook w:val="01E0" w:firstRow="1" w:lastRow="1" w:firstColumn="1" w:lastColumn="1" w:noHBand="0" w:noVBand="0"/>
      </w:tblPr>
      <w:tblGrid>
        <w:gridCol w:w="616"/>
        <w:gridCol w:w="752"/>
        <w:gridCol w:w="720"/>
        <w:gridCol w:w="686"/>
        <w:gridCol w:w="811"/>
        <w:gridCol w:w="839"/>
        <w:gridCol w:w="781"/>
        <w:gridCol w:w="720"/>
      </w:tblGrid>
      <w:tr w:rsidR="00A9152E" w:rsidRPr="009B3899" w:rsidTr="0024065C">
        <w:trPr>
          <w:cnfStyle w:val="100000000000" w:firstRow="1" w:lastRow="0" w:firstColumn="0" w:lastColumn="0" w:oddVBand="0" w:evenVBand="0" w:oddHBand="0" w:evenHBand="0" w:firstRowFirstColumn="0" w:firstRowLastColumn="0" w:lastRowFirstColumn="0" w:lastRowLastColumn="0"/>
        </w:trPr>
        <w:tc>
          <w:tcPr>
            <w:tcW w:w="616" w:type="dxa"/>
            <w:tcBorders>
              <w:top w:val="single" w:sz="6" w:space="0" w:color="auto"/>
              <w:bottom w:val="single" w:sz="6" w:space="0" w:color="auto"/>
            </w:tcBorders>
          </w:tcPr>
          <w:p w:rsidR="00DA10E4" w:rsidRPr="009B3899" w:rsidRDefault="00DA10E4">
            <w:pPr>
              <w:shd w:val="clear" w:color="000000" w:fill="auto"/>
              <w:spacing w:before="0" w:line="180" w:lineRule="exact"/>
              <w:jc w:val="center"/>
              <w:rPr>
                <w:b/>
                <w:sz w:val="16"/>
                <w:szCs w:val="16"/>
              </w:rPr>
            </w:pPr>
            <w:r w:rsidRPr="009B3899">
              <w:rPr>
                <w:b/>
                <w:sz w:val="16"/>
                <w:szCs w:val="16"/>
              </w:rPr>
              <w:t>År</w:t>
            </w:r>
          </w:p>
        </w:tc>
        <w:tc>
          <w:tcPr>
            <w:tcW w:w="752" w:type="dxa"/>
            <w:tcBorders>
              <w:top w:val="single" w:sz="6" w:space="0" w:color="auto"/>
              <w:bottom w:val="single" w:sz="6" w:space="0" w:color="auto"/>
            </w:tcBorders>
          </w:tcPr>
          <w:p w:rsidR="00DA10E4" w:rsidRPr="009B3899" w:rsidRDefault="00A9152E">
            <w:pPr>
              <w:shd w:val="clear" w:color="000000" w:fill="auto"/>
              <w:spacing w:before="0" w:line="180" w:lineRule="exact"/>
              <w:jc w:val="right"/>
              <w:rPr>
                <w:b/>
                <w:sz w:val="16"/>
                <w:szCs w:val="16"/>
              </w:rPr>
            </w:pPr>
            <w:r w:rsidRPr="009B3899">
              <w:rPr>
                <w:b/>
                <w:sz w:val="16"/>
                <w:szCs w:val="16"/>
              </w:rPr>
              <w:t>Brutto</w:t>
            </w:r>
            <w:r w:rsidR="00C9119B" w:rsidRPr="009B3899">
              <w:rPr>
                <w:b/>
                <w:sz w:val="16"/>
                <w:szCs w:val="16"/>
              </w:rPr>
              <w:softHyphen/>
            </w:r>
            <w:r w:rsidR="00DA10E4" w:rsidRPr="009B3899">
              <w:rPr>
                <w:b/>
                <w:sz w:val="16"/>
                <w:szCs w:val="16"/>
              </w:rPr>
              <w:t>upp</w:t>
            </w:r>
            <w:r w:rsidRPr="009B3899">
              <w:rPr>
                <w:b/>
                <w:sz w:val="16"/>
                <w:szCs w:val="16"/>
              </w:rPr>
              <w:softHyphen/>
            </w:r>
            <w:r w:rsidR="00DA10E4" w:rsidRPr="009B3899">
              <w:rPr>
                <w:b/>
                <w:sz w:val="16"/>
                <w:szCs w:val="16"/>
              </w:rPr>
              <w:t>låning</w:t>
            </w:r>
          </w:p>
        </w:tc>
        <w:tc>
          <w:tcPr>
            <w:tcW w:w="720" w:type="dxa"/>
            <w:tcBorders>
              <w:top w:val="single" w:sz="6" w:space="0" w:color="auto"/>
              <w:bottom w:val="single" w:sz="6" w:space="0" w:color="auto"/>
            </w:tcBorders>
          </w:tcPr>
          <w:p w:rsidR="00DA10E4" w:rsidRPr="009B3899" w:rsidRDefault="00DA10E4">
            <w:pPr>
              <w:shd w:val="clear" w:color="000000" w:fill="auto"/>
              <w:spacing w:before="0" w:line="180" w:lineRule="exact"/>
              <w:jc w:val="right"/>
              <w:rPr>
                <w:b/>
                <w:sz w:val="16"/>
                <w:szCs w:val="16"/>
              </w:rPr>
            </w:pPr>
            <w:r w:rsidRPr="009B3899">
              <w:rPr>
                <w:b/>
                <w:sz w:val="16"/>
                <w:szCs w:val="16"/>
              </w:rPr>
              <w:t>Amor-tering</w:t>
            </w:r>
          </w:p>
        </w:tc>
        <w:tc>
          <w:tcPr>
            <w:tcW w:w="686" w:type="dxa"/>
            <w:tcBorders>
              <w:top w:val="single" w:sz="6" w:space="0" w:color="auto"/>
              <w:bottom w:val="single" w:sz="6" w:space="0" w:color="auto"/>
            </w:tcBorders>
          </w:tcPr>
          <w:p w:rsidR="00DA10E4" w:rsidRPr="009B3899" w:rsidRDefault="00DA10E4">
            <w:pPr>
              <w:shd w:val="clear" w:color="000000" w:fill="auto"/>
              <w:spacing w:before="0" w:line="180" w:lineRule="exact"/>
              <w:jc w:val="right"/>
              <w:rPr>
                <w:b/>
                <w:sz w:val="16"/>
                <w:szCs w:val="16"/>
              </w:rPr>
            </w:pPr>
            <w:r w:rsidRPr="009B3899">
              <w:rPr>
                <w:b/>
                <w:sz w:val="16"/>
                <w:szCs w:val="16"/>
              </w:rPr>
              <w:t>Netto-skuld</w:t>
            </w:r>
          </w:p>
        </w:tc>
        <w:tc>
          <w:tcPr>
            <w:tcW w:w="811" w:type="dxa"/>
            <w:tcBorders>
              <w:top w:val="single" w:sz="6" w:space="0" w:color="auto"/>
              <w:bottom w:val="single" w:sz="6" w:space="0" w:color="auto"/>
            </w:tcBorders>
          </w:tcPr>
          <w:p w:rsidR="00DA10E4" w:rsidRPr="009B3899" w:rsidRDefault="00DA10E4">
            <w:pPr>
              <w:shd w:val="clear" w:color="000000" w:fill="auto"/>
              <w:spacing w:before="0" w:line="180" w:lineRule="exact"/>
              <w:ind w:right="-108"/>
              <w:jc w:val="right"/>
              <w:rPr>
                <w:b/>
                <w:spacing w:val="-2"/>
                <w:sz w:val="16"/>
                <w:szCs w:val="16"/>
              </w:rPr>
            </w:pPr>
            <w:r w:rsidRPr="009B3899">
              <w:rPr>
                <w:b/>
                <w:spacing w:val="-2"/>
                <w:sz w:val="16"/>
                <w:szCs w:val="16"/>
              </w:rPr>
              <w:t>Ränte</w:t>
            </w:r>
            <w:r w:rsidR="00A9152E" w:rsidRPr="009B3899">
              <w:rPr>
                <w:b/>
                <w:spacing w:val="-2"/>
                <w:sz w:val="16"/>
                <w:szCs w:val="16"/>
              </w:rPr>
              <w:softHyphen/>
            </w:r>
            <w:r w:rsidR="009058C2" w:rsidRPr="009B3899">
              <w:rPr>
                <w:b/>
                <w:spacing w:val="-2"/>
                <w:sz w:val="16"/>
                <w:szCs w:val="16"/>
              </w:rPr>
              <w:t>kost</w:t>
            </w:r>
            <w:r w:rsidRPr="009B3899">
              <w:rPr>
                <w:b/>
                <w:spacing w:val="-2"/>
                <w:sz w:val="16"/>
                <w:szCs w:val="16"/>
              </w:rPr>
              <w:t xml:space="preserve">nad </w:t>
            </w:r>
            <w:r w:rsidR="009058C2" w:rsidRPr="009B3899">
              <w:rPr>
                <w:b/>
                <w:spacing w:val="-2"/>
                <w:sz w:val="16"/>
                <w:szCs w:val="16"/>
              </w:rPr>
              <w:t>5</w:t>
            </w:r>
            <w:r w:rsidR="005373DA" w:rsidRPr="009B3899">
              <w:rPr>
                <w:sz w:val="16"/>
                <w:szCs w:val="16"/>
              </w:rPr>
              <w:t> </w:t>
            </w:r>
            <w:r w:rsidRPr="009B3899">
              <w:rPr>
                <w:b/>
                <w:spacing w:val="-2"/>
                <w:sz w:val="16"/>
                <w:szCs w:val="16"/>
              </w:rPr>
              <w:t>%</w:t>
            </w:r>
          </w:p>
        </w:tc>
        <w:tc>
          <w:tcPr>
            <w:tcW w:w="839" w:type="dxa"/>
            <w:tcBorders>
              <w:top w:val="single" w:sz="6" w:space="0" w:color="auto"/>
              <w:bottom w:val="single" w:sz="6" w:space="0" w:color="auto"/>
            </w:tcBorders>
          </w:tcPr>
          <w:p w:rsidR="00DA10E4" w:rsidRPr="009B3899" w:rsidRDefault="00DA10E4">
            <w:pPr>
              <w:shd w:val="clear" w:color="000000" w:fill="auto"/>
              <w:spacing w:before="0" w:line="180" w:lineRule="exact"/>
              <w:jc w:val="right"/>
              <w:rPr>
                <w:b/>
                <w:sz w:val="16"/>
                <w:szCs w:val="16"/>
              </w:rPr>
            </w:pPr>
            <w:r w:rsidRPr="009B3899">
              <w:rPr>
                <w:b/>
                <w:sz w:val="16"/>
                <w:szCs w:val="16"/>
              </w:rPr>
              <w:t>Boinst.</w:t>
            </w:r>
            <w:r w:rsidR="00A9152E" w:rsidRPr="009B3899">
              <w:rPr>
                <w:b/>
                <w:sz w:val="16"/>
                <w:szCs w:val="16"/>
              </w:rPr>
              <w:t xml:space="preserve"> </w:t>
            </w:r>
            <w:r w:rsidRPr="009B3899">
              <w:rPr>
                <w:b/>
                <w:sz w:val="16"/>
                <w:szCs w:val="16"/>
              </w:rPr>
              <w:t>kostnad</w:t>
            </w:r>
          </w:p>
        </w:tc>
        <w:tc>
          <w:tcPr>
            <w:tcW w:w="781" w:type="dxa"/>
            <w:tcBorders>
              <w:top w:val="single" w:sz="6" w:space="0" w:color="auto"/>
              <w:bottom w:val="single" w:sz="6" w:space="0" w:color="auto"/>
            </w:tcBorders>
          </w:tcPr>
          <w:p w:rsidR="00DA10E4" w:rsidRPr="009B3899" w:rsidRDefault="00DA10E4">
            <w:pPr>
              <w:shd w:val="clear" w:color="000000" w:fill="auto"/>
              <w:spacing w:before="0" w:line="180" w:lineRule="exact"/>
              <w:ind w:right="-103"/>
              <w:jc w:val="right"/>
              <w:rPr>
                <w:b/>
                <w:sz w:val="16"/>
                <w:szCs w:val="16"/>
              </w:rPr>
            </w:pPr>
            <w:r w:rsidRPr="009B3899">
              <w:rPr>
                <w:b/>
                <w:sz w:val="16"/>
                <w:szCs w:val="16"/>
              </w:rPr>
              <w:t>Budget-</w:t>
            </w:r>
            <w:r w:rsidRPr="009B3899">
              <w:rPr>
                <w:b/>
                <w:spacing w:val="-4"/>
                <w:sz w:val="16"/>
                <w:szCs w:val="16"/>
              </w:rPr>
              <w:t>unde</w:t>
            </w:r>
            <w:r w:rsidRPr="009B3899">
              <w:rPr>
                <w:b/>
                <w:spacing w:val="-4"/>
                <w:sz w:val="16"/>
                <w:szCs w:val="16"/>
              </w:rPr>
              <w:t>r</w:t>
            </w:r>
            <w:r w:rsidRPr="009B3899">
              <w:rPr>
                <w:b/>
                <w:spacing w:val="-4"/>
                <w:sz w:val="16"/>
                <w:szCs w:val="16"/>
              </w:rPr>
              <w:t>skott</w:t>
            </w:r>
          </w:p>
        </w:tc>
        <w:tc>
          <w:tcPr>
            <w:tcW w:w="720" w:type="dxa"/>
            <w:tcBorders>
              <w:top w:val="single" w:sz="6" w:space="0" w:color="auto"/>
              <w:bottom w:val="single" w:sz="6" w:space="0" w:color="auto"/>
            </w:tcBorders>
          </w:tcPr>
          <w:p w:rsidR="00DA10E4" w:rsidRPr="009B3899" w:rsidRDefault="00DA10E4">
            <w:pPr>
              <w:shd w:val="clear" w:color="000000" w:fill="auto"/>
              <w:spacing w:before="0" w:line="180" w:lineRule="exact"/>
              <w:jc w:val="right"/>
              <w:rPr>
                <w:b/>
                <w:sz w:val="16"/>
                <w:szCs w:val="16"/>
              </w:rPr>
            </w:pPr>
            <w:r w:rsidRPr="009B3899">
              <w:rPr>
                <w:b/>
                <w:sz w:val="16"/>
                <w:szCs w:val="16"/>
              </w:rPr>
              <w:t xml:space="preserve">Ack. </w:t>
            </w:r>
            <w:r w:rsidR="00A9152E" w:rsidRPr="009B3899">
              <w:rPr>
                <w:b/>
                <w:sz w:val="16"/>
                <w:szCs w:val="16"/>
              </w:rPr>
              <w:t>stats</w:t>
            </w:r>
            <w:r w:rsidR="00A9152E" w:rsidRPr="009B3899">
              <w:rPr>
                <w:b/>
                <w:sz w:val="16"/>
                <w:szCs w:val="16"/>
              </w:rPr>
              <w:softHyphen/>
              <w:t>skuld</w:t>
            </w:r>
          </w:p>
        </w:tc>
      </w:tr>
      <w:tr w:rsidR="00A9152E" w:rsidRPr="009B3899" w:rsidTr="0024065C">
        <w:tc>
          <w:tcPr>
            <w:tcW w:w="616" w:type="dxa"/>
            <w:tcBorders>
              <w:top w:val="single" w:sz="6" w:space="0" w:color="auto"/>
            </w:tcBorders>
          </w:tcPr>
          <w:p w:rsidR="00DA10E4" w:rsidRPr="009B3899" w:rsidRDefault="00DA10E4">
            <w:pPr>
              <w:shd w:val="clear" w:color="000000" w:fill="auto"/>
              <w:autoSpaceDE w:val="0"/>
              <w:autoSpaceDN w:val="0"/>
              <w:adjustRightInd w:val="0"/>
              <w:spacing w:beforeLines="60" w:before="144" w:line="200" w:lineRule="exact"/>
              <w:jc w:val="center"/>
              <w:rPr>
                <w:b/>
                <w:bCs/>
                <w:iCs/>
                <w:sz w:val="16"/>
                <w:szCs w:val="16"/>
              </w:rPr>
            </w:pPr>
            <w:r w:rsidRPr="009B3899">
              <w:rPr>
                <w:b/>
                <w:bCs/>
                <w:iCs/>
                <w:sz w:val="16"/>
                <w:szCs w:val="16"/>
              </w:rPr>
              <w:t>2009</w:t>
            </w:r>
          </w:p>
        </w:tc>
        <w:tc>
          <w:tcPr>
            <w:tcW w:w="752" w:type="dxa"/>
            <w:tcBorders>
              <w:top w:val="single" w:sz="6"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10,00</w:t>
            </w:r>
          </w:p>
        </w:tc>
        <w:tc>
          <w:tcPr>
            <w:tcW w:w="720" w:type="dxa"/>
            <w:tcBorders>
              <w:top w:val="single" w:sz="6"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0</w:t>
            </w:r>
          </w:p>
        </w:tc>
        <w:tc>
          <w:tcPr>
            <w:tcW w:w="686" w:type="dxa"/>
            <w:tcBorders>
              <w:top w:val="single" w:sz="6"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w:t>
            </w:r>
          </w:p>
        </w:tc>
        <w:tc>
          <w:tcPr>
            <w:tcW w:w="811" w:type="dxa"/>
            <w:tcBorders>
              <w:top w:val="single" w:sz="6"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0</w:t>
            </w:r>
          </w:p>
        </w:tc>
        <w:tc>
          <w:tcPr>
            <w:tcW w:w="839" w:type="dxa"/>
            <w:tcBorders>
              <w:top w:val="single" w:sz="6"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0</w:t>
            </w:r>
          </w:p>
        </w:tc>
        <w:tc>
          <w:tcPr>
            <w:tcW w:w="781" w:type="dxa"/>
            <w:tcBorders>
              <w:top w:val="single" w:sz="6" w:space="0" w:color="auto"/>
            </w:tcBorders>
            <w:vAlign w:val="bottom"/>
          </w:tcPr>
          <w:p w:rsidR="00DA10E4" w:rsidRPr="009B3899" w:rsidRDefault="00DA10E4">
            <w:pPr>
              <w:pStyle w:val="PunktlistaTankstreck"/>
              <w:numPr>
                <w:ilvl w:val="0"/>
                <w:numId w:val="0"/>
              </w:numPr>
              <w:shd w:val="clear" w:color="000000" w:fill="auto"/>
              <w:spacing w:beforeLines="60" w:before="144" w:line="200" w:lineRule="exact"/>
              <w:jc w:val="right"/>
              <w:rPr>
                <w:sz w:val="16"/>
                <w:szCs w:val="16"/>
              </w:rPr>
            </w:pPr>
            <w:r w:rsidRPr="009B3899">
              <w:rPr>
                <w:sz w:val="16"/>
                <w:szCs w:val="16"/>
              </w:rPr>
              <w:t>10</w:t>
            </w:r>
          </w:p>
        </w:tc>
        <w:tc>
          <w:tcPr>
            <w:tcW w:w="720" w:type="dxa"/>
            <w:tcBorders>
              <w:top w:val="single" w:sz="6"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w:t>
            </w:r>
          </w:p>
        </w:tc>
      </w:tr>
      <w:tr w:rsidR="00A9152E" w:rsidRPr="009B3899" w:rsidTr="0024065C">
        <w:tc>
          <w:tcPr>
            <w:tcW w:w="616" w:type="dxa"/>
          </w:tcPr>
          <w:p w:rsidR="00DA10E4" w:rsidRPr="009B3899" w:rsidRDefault="00DA10E4">
            <w:pPr>
              <w:shd w:val="clear" w:color="000000" w:fill="auto"/>
              <w:autoSpaceDE w:val="0"/>
              <w:autoSpaceDN w:val="0"/>
              <w:adjustRightInd w:val="0"/>
              <w:spacing w:beforeLines="60" w:before="144" w:line="200" w:lineRule="exact"/>
              <w:jc w:val="center"/>
              <w:rPr>
                <w:b/>
                <w:bCs/>
                <w:iCs/>
                <w:sz w:val="16"/>
                <w:szCs w:val="16"/>
              </w:rPr>
            </w:pPr>
            <w:r w:rsidRPr="009B3899">
              <w:rPr>
                <w:b/>
                <w:bCs/>
                <w:iCs/>
                <w:sz w:val="16"/>
                <w:szCs w:val="16"/>
              </w:rPr>
              <w:t>2010</w:t>
            </w:r>
          </w:p>
        </w:tc>
        <w:tc>
          <w:tcPr>
            <w:tcW w:w="752" w:type="dxa"/>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10,00</w:t>
            </w:r>
          </w:p>
        </w:tc>
        <w:tc>
          <w:tcPr>
            <w:tcW w:w="720" w:type="dxa"/>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0,33</w:t>
            </w:r>
          </w:p>
        </w:tc>
        <w:tc>
          <w:tcPr>
            <w:tcW w:w="686" w:type="dxa"/>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19,67</w:t>
            </w:r>
          </w:p>
        </w:tc>
        <w:tc>
          <w:tcPr>
            <w:tcW w:w="811" w:type="dxa"/>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0,50</w:t>
            </w:r>
          </w:p>
        </w:tc>
        <w:tc>
          <w:tcPr>
            <w:tcW w:w="839" w:type="dxa"/>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0,83</w:t>
            </w:r>
          </w:p>
        </w:tc>
        <w:tc>
          <w:tcPr>
            <w:tcW w:w="781" w:type="dxa"/>
            <w:vAlign w:val="bottom"/>
          </w:tcPr>
          <w:p w:rsidR="00DA10E4" w:rsidRPr="009B3899" w:rsidRDefault="00DA10E4">
            <w:pPr>
              <w:pStyle w:val="PunktlistaTankstreck"/>
              <w:numPr>
                <w:ilvl w:val="0"/>
                <w:numId w:val="0"/>
              </w:numPr>
              <w:shd w:val="clear" w:color="000000" w:fill="auto"/>
              <w:spacing w:beforeLines="60" w:before="144" w:line="200" w:lineRule="exact"/>
              <w:jc w:val="right"/>
              <w:rPr>
                <w:sz w:val="16"/>
                <w:szCs w:val="16"/>
              </w:rPr>
            </w:pPr>
            <w:r w:rsidRPr="009B3899">
              <w:rPr>
                <w:sz w:val="16"/>
                <w:szCs w:val="16"/>
              </w:rPr>
              <w:t>10,50</w:t>
            </w:r>
          </w:p>
        </w:tc>
        <w:tc>
          <w:tcPr>
            <w:tcW w:w="720" w:type="dxa"/>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20,50</w:t>
            </w:r>
          </w:p>
        </w:tc>
      </w:tr>
      <w:tr w:rsidR="00A9152E" w:rsidRPr="009B3899" w:rsidTr="0024065C">
        <w:tc>
          <w:tcPr>
            <w:tcW w:w="616" w:type="dxa"/>
          </w:tcPr>
          <w:p w:rsidR="00DA10E4" w:rsidRPr="009B3899" w:rsidRDefault="00DA10E4">
            <w:pPr>
              <w:shd w:val="clear" w:color="000000" w:fill="auto"/>
              <w:autoSpaceDE w:val="0"/>
              <w:autoSpaceDN w:val="0"/>
              <w:adjustRightInd w:val="0"/>
              <w:spacing w:beforeLines="60" w:before="144" w:line="200" w:lineRule="exact"/>
              <w:jc w:val="center"/>
              <w:rPr>
                <w:b/>
                <w:bCs/>
                <w:iCs/>
                <w:sz w:val="16"/>
                <w:szCs w:val="16"/>
              </w:rPr>
            </w:pPr>
            <w:r w:rsidRPr="009B3899">
              <w:rPr>
                <w:b/>
                <w:bCs/>
                <w:iCs/>
                <w:sz w:val="16"/>
                <w:szCs w:val="16"/>
              </w:rPr>
              <w:t>2011</w:t>
            </w:r>
          </w:p>
        </w:tc>
        <w:tc>
          <w:tcPr>
            <w:tcW w:w="752" w:type="dxa"/>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10,00</w:t>
            </w:r>
          </w:p>
        </w:tc>
        <w:tc>
          <w:tcPr>
            <w:tcW w:w="720" w:type="dxa"/>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0,66</w:t>
            </w:r>
          </w:p>
        </w:tc>
        <w:tc>
          <w:tcPr>
            <w:tcW w:w="686" w:type="dxa"/>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29,01</w:t>
            </w:r>
          </w:p>
        </w:tc>
        <w:tc>
          <w:tcPr>
            <w:tcW w:w="811" w:type="dxa"/>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0,98</w:t>
            </w:r>
          </w:p>
        </w:tc>
        <w:tc>
          <w:tcPr>
            <w:tcW w:w="839" w:type="dxa"/>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1,64</w:t>
            </w:r>
          </w:p>
        </w:tc>
        <w:tc>
          <w:tcPr>
            <w:tcW w:w="781" w:type="dxa"/>
            <w:vAlign w:val="bottom"/>
          </w:tcPr>
          <w:p w:rsidR="00DA10E4" w:rsidRPr="009B3899" w:rsidRDefault="00DA10E4">
            <w:pPr>
              <w:pStyle w:val="PunktlistaTankstreck"/>
              <w:numPr>
                <w:ilvl w:val="0"/>
                <w:numId w:val="0"/>
              </w:numPr>
              <w:shd w:val="clear" w:color="000000" w:fill="auto"/>
              <w:spacing w:beforeLines="60" w:before="144" w:line="200" w:lineRule="exact"/>
              <w:jc w:val="right"/>
              <w:rPr>
                <w:sz w:val="16"/>
                <w:szCs w:val="16"/>
              </w:rPr>
            </w:pPr>
            <w:r w:rsidRPr="009B3899">
              <w:rPr>
                <w:sz w:val="16"/>
                <w:szCs w:val="16"/>
              </w:rPr>
              <w:t>11,02</w:t>
            </w:r>
          </w:p>
        </w:tc>
        <w:tc>
          <w:tcPr>
            <w:tcW w:w="720" w:type="dxa"/>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31,52</w:t>
            </w:r>
          </w:p>
        </w:tc>
      </w:tr>
      <w:tr w:rsidR="00A9152E" w:rsidRPr="009B3899" w:rsidTr="0024065C">
        <w:tc>
          <w:tcPr>
            <w:tcW w:w="616" w:type="dxa"/>
            <w:tcBorders>
              <w:bottom w:val="single" w:sz="4" w:space="0" w:color="auto"/>
            </w:tcBorders>
          </w:tcPr>
          <w:p w:rsidR="00DA10E4" w:rsidRPr="009B3899" w:rsidRDefault="00DA10E4">
            <w:pPr>
              <w:shd w:val="clear" w:color="000000" w:fill="auto"/>
              <w:autoSpaceDE w:val="0"/>
              <w:autoSpaceDN w:val="0"/>
              <w:adjustRightInd w:val="0"/>
              <w:spacing w:beforeLines="60" w:before="144" w:line="200" w:lineRule="exact"/>
              <w:jc w:val="center"/>
              <w:rPr>
                <w:b/>
                <w:bCs/>
                <w:iCs/>
                <w:sz w:val="16"/>
                <w:szCs w:val="16"/>
              </w:rPr>
            </w:pPr>
            <w:r w:rsidRPr="009B3899">
              <w:rPr>
                <w:b/>
                <w:bCs/>
                <w:iCs/>
                <w:sz w:val="16"/>
                <w:szCs w:val="16"/>
              </w:rPr>
              <w:t>2012</w:t>
            </w:r>
          </w:p>
        </w:tc>
        <w:tc>
          <w:tcPr>
            <w:tcW w:w="752" w:type="dxa"/>
            <w:tcBorders>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10,00</w:t>
            </w:r>
          </w:p>
        </w:tc>
        <w:tc>
          <w:tcPr>
            <w:tcW w:w="720" w:type="dxa"/>
            <w:tcBorders>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0,97</w:t>
            </w:r>
          </w:p>
        </w:tc>
        <w:tc>
          <w:tcPr>
            <w:tcW w:w="686" w:type="dxa"/>
            <w:tcBorders>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38,04</w:t>
            </w:r>
          </w:p>
        </w:tc>
        <w:tc>
          <w:tcPr>
            <w:tcW w:w="811" w:type="dxa"/>
            <w:tcBorders>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1,45</w:t>
            </w:r>
          </w:p>
        </w:tc>
        <w:tc>
          <w:tcPr>
            <w:tcW w:w="839" w:type="dxa"/>
            <w:tcBorders>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2,42</w:t>
            </w:r>
          </w:p>
        </w:tc>
        <w:tc>
          <w:tcPr>
            <w:tcW w:w="781" w:type="dxa"/>
            <w:tcBorders>
              <w:bottom w:val="single" w:sz="4" w:space="0" w:color="auto"/>
            </w:tcBorders>
            <w:vAlign w:val="bottom"/>
          </w:tcPr>
          <w:p w:rsidR="00DA10E4" w:rsidRPr="009B3899" w:rsidRDefault="00DA10E4">
            <w:pPr>
              <w:pStyle w:val="PunktlistaTankstreck"/>
              <w:numPr>
                <w:ilvl w:val="0"/>
                <w:numId w:val="0"/>
              </w:numPr>
              <w:shd w:val="clear" w:color="000000" w:fill="auto"/>
              <w:spacing w:beforeLines="60" w:before="144" w:line="200" w:lineRule="exact"/>
              <w:jc w:val="right"/>
              <w:rPr>
                <w:sz w:val="16"/>
                <w:szCs w:val="16"/>
              </w:rPr>
            </w:pPr>
            <w:r w:rsidRPr="009B3899">
              <w:rPr>
                <w:sz w:val="16"/>
                <w:szCs w:val="16"/>
              </w:rPr>
              <w:t>11,51</w:t>
            </w:r>
          </w:p>
        </w:tc>
        <w:tc>
          <w:tcPr>
            <w:tcW w:w="720" w:type="dxa"/>
            <w:tcBorders>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43,03</w:t>
            </w:r>
          </w:p>
        </w:tc>
      </w:tr>
      <w:tr w:rsidR="00A9152E" w:rsidRPr="009B3899" w:rsidTr="0024065C">
        <w:tc>
          <w:tcPr>
            <w:tcW w:w="616" w:type="dxa"/>
            <w:tcBorders>
              <w:top w:val="single" w:sz="4" w:space="0" w:color="auto"/>
              <w:bottom w:val="nil"/>
            </w:tcBorders>
          </w:tcPr>
          <w:p w:rsidR="00DA10E4" w:rsidRPr="009B3899" w:rsidRDefault="00DA10E4">
            <w:pPr>
              <w:shd w:val="clear" w:color="000000" w:fill="auto"/>
              <w:autoSpaceDE w:val="0"/>
              <w:autoSpaceDN w:val="0"/>
              <w:adjustRightInd w:val="0"/>
              <w:spacing w:beforeLines="60" w:before="144" w:line="200" w:lineRule="exact"/>
              <w:jc w:val="center"/>
              <w:rPr>
                <w:b/>
                <w:bCs/>
                <w:iCs/>
                <w:sz w:val="16"/>
                <w:szCs w:val="16"/>
              </w:rPr>
            </w:pPr>
            <w:r w:rsidRPr="009B3899">
              <w:rPr>
                <w:b/>
                <w:bCs/>
                <w:iCs/>
                <w:sz w:val="16"/>
                <w:szCs w:val="16"/>
              </w:rPr>
              <w:t>2013</w:t>
            </w:r>
          </w:p>
        </w:tc>
        <w:tc>
          <w:tcPr>
            <w:tcW w:w="752" w:type="dxa"/>
            <w:tcBorders>
              <w:top w:val="single" w:sz="4" w:space="0" w:color="auto"/>
              <w:bottom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10,00</w:t>
            </w:r>
          </w:p>
        </w:tc>
        <w:tc>
          <w:tcPr>
            <w:tcW w:w="720" w:type="dxa"/>
            <w:tcBorders>
              <w:top w:val="single" w:sz="4" w:space="0" w:color="auto"/>
              <w:bottom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1,26</w:t>
            </w:r>
          </w:p>
        </w:tc>
        <w:tc>
          <w:tcPr>
            <w:tcW w:w="686" w:type="dxa"/>
            <w:tcBorders>
              <w:top w:val="single" w:sz="4" w:space="0" w:color="auto"/>
              <w:bottom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46,79</w:t>
            </w:r>
          </w:p>
        </w:tc>
        <w:tc>
          <w:tcPr>
            <w:tcW w:w="811" w:type="dxa"/>
            <w:tcBorders>
              <w:top w:val="single" w:sz="4" w:space="0" w:color="auto"/>
              <w:bottom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1,90</w:t>
            </w:r>
          </w:p>
        </w:tc>
        <w:tc>
          <w:tcPr>
            <w:tcW w:w="839" w:type="dxa"/>
            <w:tcBorders>
              <w:top w:val="single" w:sz="4" w:space="0" w:color="auto"/>
              <w:bottom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3,16</w:t>
            </w:r>
          </w:p>
        </w:tc>
        <w:tc>
          <w:tcPr>
            <w:tcW w:w="781" w:type="dxa"/>
            <w:tcBorders>
              <w:top w:val="single" w:sz="4" w:space="0" w:color="auto"/>
              <w:bottom w:val="nil"/>
            </w:tcBorders>
            <w:vAlign w:val="bottom"/>
          </w:tcPr>
          <w:p w:rsidR="00DA10E4" w:rsidRPr="009B3899" w:rsidRDefault="00DA10E4">
            <w:pPr>
              <w:pStyle w:val="PunktlistaTankstreck"/>
              <w:numPr>
                <w:ilvl w:val="0"/>
                <w:numId w:val="0"/>
              </w:numPr>
              <w:shd w:val="clear" w:color="000000" w:fill="auto"/>
              <w:spacing w:beforeLines="60" w:before="144" w:line="200" w:lineRule="exact"/>
              <w:jc w:val="right"/>
              <w:rPr>
                <w:sz w:val="16"/>
                <w:szCs w:val="16"/>
              </w:rPr>
            </w:pPr>
            <w:r w:rsidRPr="009B3899">
              <w:rPr>
                <w:sz w:val="16"/>
                <w:szCs w:val="16"/>
              </w:rPr>
              <w:t>11,99</w:t>
            </w:r>
          </w:p>
        </w:tc>
        <w:tc>
          <w:tcPr>
            <w:tcW w:w="720" w:type="dxa"/>
            <w:tcBorders>
              <w:top w:val="single" w:sz="4" w:space="0" w:color="auto"/>
              <w:bottom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55,02</w:t>
            </w:r>
          </w:p>
        </w:tc>
      </w:tr>
      <w:tr w:rsidR="00A9152E" w:rsidRPr="009B3899" w:rsidTr="0024065C">
        <w:tc>
          <w:tcPr>
            <w:tcW w:w="616" w:type="dxa"/>
            <w:tcBorders>
              <w:top w:val="nil"/>
            </w:tcBorders>
          </w:tcPr>
          <w:p w:rsidR="00DA10E4" w:rsidRPr="009B3899" w:rsidRDefault="00DA10E4">
            <w:pPr>
              <w:shd w:val="clear" w:color="000000" w:fill="auto"/>
              <w:autoSpaceDE w:val="0"/>
              <w:autoSpaceDN w:val="0"/>
              <w:adjustRightInd w:val="0"/>
              <w:spacing w:beforeLines="60" w:before="144" w:line="200" w:lineRule="exact"/>
              <w:jc w:val="center"/>
              <w:rPr>
                <w:b/>
                <w:bCs/>
                <w:iCs/>
                <w:sz w:val="16"/>
                <w:szCs w:val="16"/>
              </w:rPr>
            </w:pPr>
            <w:r w:rsidRPr="009B3899">
              <w:rPr>
                <w:b/>
                <w:bCs/>
                <w:iCs/>
                <w:sz w:val="16"/>
                <w:szCs w:val="16"/>
              </w:rPr>
              <w:t>2014</w:t>
            </w:r>
          </w:p>
        </w:tc>
        <w:tc>
          <w:tcPr>
            <w:tcW w:w="752" w:type="dxa"/>
            <w:tcBorders>
              <w:top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10,00</w:t>
            </w:r>
          </w:p>
        </w:tc>
        <w:tc>
          <w:tcPr>
            <w:tcW w:w="720" w:type="dxa"/>
            <w:tcBorders>
              <w:top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1,52</w:t>
            </w:r>
          </w:p>
        </w:tc>
        <w:tc>
          <w:tcPr>
            <w:tcW w:w="686" w:type="dxa"/>
            <w:tcBorders>
              <w:top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55,27</w:t>
            </w:r>
          </w:p>
        </w:tc>
        <w:tc>
          <w:tcPr>
            <w:tcW w:w="811" w:type="dxa"/>
            <w:tcBorders>
              <w:top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2,34</w:t>
            </w:r>
          </w:p>
        </w:tc>
        <w:tc>
          <w:tcPr>
            <w:tcW w:w="839" w:type="dxa"/>
            <w:tcBorders>
              <w:top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3,86</w:t>
            </w:r>
          </w:p>
        </w:tc>
        <w:tc>
          <w:tcPr>
            <w:tcW w:w="781" w:type="dxa"/>
            <w:tcBorders>
              <w:top w:val="nil"/>
            </w:tcBorders>
            <w:vAlign w:val="bottom"/>
          </w:tcPr>
          <w:p w:rsidR="00DA10E4" w:rsidRPr="009B3899" w:rsidRDefault="00DA10E4">
            <w:pPr>
              <w:pStyle w:val="PunktlistaTankstreck"/>
              <w:numPr>
                <w:ilvl w:val="0"/>
                <w:numId w:val="0"/>
              </w:numPr>
              <w:shd w:val="clear" w:color="000000" w:fill="auto"/>
              <w:spacing w:beforeLines="60" w:before="144" w:line="200" w:lineRule="exact"/>
              <w:jc w:val="right"/>
              <w:rPr>
                <w:sz w:val="16"/>
                <w:szCs w:val="16"/>
              </w:rPr>
            </w:pPr>
            <w:r w:rsidRPr="009B3899">
              <w:rPr>
                <w:sz w:val="16"/>
                <w:szCs w:val="16"/>
              </w:rPr>
              <w:t>12,46</w:t>
            </w:r>
          </w:p>
        </w:tc>
        <w:tc>
          <w:tcPr>
            <w:tcW w:w="720" w:type="dxa"/>
            <w:tcBorders>
              <w:top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67,48</w:t>
            </w:r>
          </w:p>
        </w:tc>
      </w:tr>
      <w:tr w:rsidR="00A9152E" w:rsidRPr="009B3899" w:rsidTr="0024065C">
        <w:tc>
          <w:tcPr>
            <w:tcW w:w="616" w:type="dxa"/>
            <w:tcBorders>
              <w:bottom w:val="single" w:sz="4" w:space="0" w:color="auto"/>
            </w:tcBorders>
          </w:tcPr>
          <w:p w:rsidR="00DA10E4" w:rsidRPr="009B3899" w:rsidRDefault="00DA10E4">
            <w:pPr>
              <w:shd w:val="clear" w:color="000000" w:fill="auto"/>
              <w:autoSpaceDE w:val="0"/>
              <w:autoSpaceDN w:val="0"/>
              <w:adjustRightInd w:val="0"/>
              <w:spacing w:beforeLines="60" w:before="144" w:line="200" w:lineRule="exact"/>
              <w:jc w:val="center"/>
              <w:rPr>
                <w:b/>
                <w:bCs/>
                <w:iCs/>
                <w:sz w:val="16"/>
                <w:szCs w:val="16"/>
              </w:rPr>
            </w:pPr>
            <w:r w:rsidRPr="009B3899">
              <w:rPr>
                <w:b/>
                <w:bCs/>
                <w:iCs/>
                <w:sz w:val="16"/>
                <w:szCs w:val="16"/>
              </w:rPr>
              <w:t>2015</w:t>
            </w:r>
          </w:p>
        </w:tc>
        <w:tc>
          <w:tcPr>
            <w:tcW w:w="752" w:type="dxa"/>
            <w:tcBorders>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10,00</w:t>
            </w:r>
          </w:p>
        </w:tc>
        <w:tc>
          <w:tcPr>
            <w:tcW w:w="720" w:type="dxa"/>
            <w:tcBorders>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1,73</w:t>
            </w:r>
          </w:p>
        </w:tc>
        <w:tc>
          <w:tcPr>
            <w:tcW w:w="686" w:type="dxa"/>
            <w:tcBorders>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63,54</w:t>
            </w:r>
          </w:p>
        </w:tc>
        <w:tc>
          <w:tcPr>
            <w:tcW w:w="811" w:type="dxa"/>
            <w:tcBorders>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2,76</w:t>
            </w:r>
          </w:p>
        </w:tc>
        <w:tc>
          <w:tcPr>
            <w:tcW w:w="839" w:type="dxa"/>
            <w:tcBorders>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4,50</w:t>
            </w:r>
          </w:p>
        </w:tc>
        <w:tc>
          <w:tcPr>
            <w:tcW w:w="781" w:type="dxa"/>
            <w:tcBorders>
              <w:bottom w:val="single" w:sz="4" w:space="0" w:color="auto"/>
            </w:tcBorders>
            <w:vAlign w:val="bottom"/>
          </w:tcPr>
          <w:p w:rsidR="00DA10E4" w:rsidRPr="009B3899" w:rsidRDefault="00DA10E4">
            <w:pPr>
              <w:pStyle w:val="PunktlistaTankstreck"/>
              <w:numPr>
                <w:ilvl w:val="0"/>
                <w:numId w:val="0"/>
              </w:numPr>
              <w:shd w:val="clear" w:color="000000" w:fill="auto"/>
              <w:spacing w:beforeLines="60" w:before="144" w:line="200" w:lineRule="exact"/>
              <w:jc w:val="right"/>
              <w:rPr>
                <w:sz w:val="16"/>
                <w:szCs w:val="16"/>
              </w:rPr>
            </w:pPr>
            <w:r w:rsidRPr="009B3899">
              <w:rPr>
                <w:sz w:val="16"/>
                <w:szCs w:val="16"/>
              </w:rPr>
              <w:t>12,91</w:t>
            </w:r>
          </w:p>
        </w:tc>
        <w:tc>
          <w:tcPr>
            <w:tcW w:w="720" w:type="dxa"/>
            <w:tcBorders>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80,39</w:t>
            </w:r>
          </w:p>
        </w:tc>
      </w:tr>
      <w:tr w:rsidR="00A9152E" w:rsidRPr="009B3899" w:rsidTr="0024065C">
        <w:tc>
          <w:tcPr>
            <w:tcW w:w="616" w:type="dxa"/>
            <w:tcBorders>
              <w:top w:val="single" w:sz="4" w:space="0" w:color="auto"/>
              <w:bottom w:val="nil"/>
            </w:tcBorders>
          </w:tcPr>
          <w:p w:rsidR="00DA10E4" w:rsidRPr="009B3899" w:rsidRDefault="00DA10E4">
            <w:pPr>
              <w:shd w:val="clear" w:color="000000" w:fill="auto"/>
              <w:autoSpaceDE w:val="0"/>
              <w:autoSpaceDN w:val="0"/>
              <w:adjustRightInd w:val="0"/>
              <w:spacing w:beforeLines="60" w:before="144" w:line="200" w:lineRule="exact"/>
              <w:jc w:val="center"/>
              <w:rPr>
                <w:b/>
                <w:bCs/>
                <w:iCs/>
                <w:sz w:val="16"/>
                <w:szCs w:val="16"/>
              </w:rPr>
            </w:pPr>
            <w:r w:rsidRPr="009B3899">
              <w:rPr>
                <w:b/>
                <w:bCs/>
                <w:iCs/>
                <w:sz w:val="16"/>
                <w:szCs w:val="16"/>
              </w:rPr>
              <w:t>2016</w:t>
            </w:r>
          </w:p>
        </w:tc>
        <w:tc>
          <w:tcPr>
            <w:tcW w:w="752" w:type="dxa"/>
            <w:tcBorders>
              <w:top w:val="single" w:sz="4" w:space="0" w:color="auto"/>
              <w:bottom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10,00</w:t>
            </w:r>
          </w:p>
        </w:tc>
        <w:tc>
          <w:tcPr>
            <w:tcW w:w="720" w:type="dxa"/>
            <w:tcBorders>
              <w:top w:val="single" w:sz="4" w:space="0" w:color="auto"/>
              <w:bottom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1,91</w:t>
            </w:r>
          </w:p>
        </w:tc>
        <w:tc>
          <w:tcPr>
            <w:tcW w:w="686" w:type="dxa"/>
            <w:tcBorders>
              <w:top w:val="single" w:sz="4" w:space="0" w:color="auto"/>
              <w:bottom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71,63</w:t>
            </w:r>
          </w:p>
        </w:tc>
        <w:tc>
          <w:tcPr>
            <w:tcW w:w="811" w:type="dxa"/>
            <w:tcBorders>
              <w:top w:val="single" w:sz="4" w:space="0" w:color="auto"/>
              <w:bottom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3,18</w:t>
            </w:r>
          </w:p>
        </w:tc>
        <w:tc>
          <w:tcPr>
            <w:tcW w:w="839" w:type="dxa"/>
            <w:tcBorders>
              <w:top w:val="single" w:sz="4" w:space="0" w:color="auto"/>
              <w:bottom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5,08</w:t>
            </w:r>
          </w:p>
        </w:tc>
        <w:tc>
          <w:tcPr>
            <w:tcW w:w="781" w:type="dxa"/>
            <w:tcBorders>
              <w:top w:val="single" w:sz="4" w:space="0" w:color="auto"/>
              <w:bottom w:val="nil"/>
            </w:tcBorders>
            <w:vAlign w:val="bottom"/>
          </w:tcPr>
          <w:p w:rsidR="00DA10E4" w:rsidRPr="009B3899" w:rsidRDefault="00DA10E4">
            <w:pPr>
              <w:pStyle w:val="PunktlistaTankstreck"/>
              <w:numPr>
                <w:ilvl w:val="0"/>
                <w:numId w:val="0"/>
              </w:numPr>
              <w:shd w:val="clear" w:color="000000" w:fill="auto"/>
              <w:spacing w:beforeLines="60" w:before="144" w:line="200" w:lineRule="exact"/>
              <w:jc w:val="right"/>
              <w:rPr>
                <w:sz w:val="16"/>
                <w:szCs w:val="16"/>
              </w:rPr>
            </w:pPr>
            <w:r w:rsidRPr="009B3899">
              <w:rPr>
                <w:sz w:val="16"/>
                <w:szCs w:val="16"/>
              </w:rPr>
              <w:t>13,35</w:t>
            </w:r>
          </w:p>
        </w:tc>
        <w:tc>
          <w:tcPr>
            <w:tcW w:w="720" w:type="dxa"/>
            <w:tcBorders>
              <w:top w:val="single" w:sz="4" w:space="0" w:color="auto"/>
              <w:bottom w:val="nil"/>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93,74</w:t>
            </w:r>
          </w:p>
        </w:tc>
      </w:tr>
      <w:tr w:rsidR="00A9152E" w:rsidRPr="009B3899" w:rsidTr="0024065C">
        <w:tc>
          <w:tcPr>
            <w:tcW w:w="616" w:type="dxa"/>
            <w:tcBorders>
              <w:top w:val="nil"/>
              <w:bottom w:val="single" w:sz="4" w:space="0" w:color="auto"/>
            </w:tcBorders>
          </w:tcPr>
          <w:p w:rsidR="00DA10E4" w:rsidRPr="009B3899" w:rsidRDefault="00DA10E4">
            <w:pPr>
              <w:shd w:val="clear" w:color="000000" w:fill="auto"/>
              <w:autoSpaceDE w:val="0"/>
              <w:autoSpaceDN w:val="0"/>
              <w:adjustRightInd w:val="0"/>
              <w:spacing w:beforeLines="60" w:before="144" w:line="200" w:lineRule="exact"/>
              <w:jc w:val="center"/>
              <w:rPr>
                <w:b/>
                <w:bCs/>
                <w:iCs/>
                <w:sz w:val="16"/>
                <w:szCs w:val="16"/>
              </w:rPr>
            </w:pPr>
            <w:r w:rsidRPr="009B3899">
              <w:rPr>
                <w:b/>
                <w:bCs/>
                <w:iCs/>
                <w:sz w:val="16"/>
                <w:szCs w:val="16"/>
              </w:rPr>
              <w:t>2017</w:t>
            </w:r>
          </w:p>
        </w:tc>
        <w:tc>
          <w:tcPr>
            <w:tcW w:w="752" w:type="dxa"/>
            <w:tcBorders>
              <w:top w:val="nil"/>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10,00</w:t>
            </w:r>
          </w:p>
        </w:tc>
        <w:tc>
          <w:tcPr>
            <w:tcW w:w="720" w:type="dxa"/>
            <w:tcBorders>
              <w:top w:val="nil"/>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2,03</w:t>
            </w:r>
          </w:p>
        </w:tc>
        <w:tc>
          <w:tcPr>
            <w:tcW w:w="686" w:type="dxa"/>
            <w:tcBorders>
              <w:top w:val="nil"/>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79,60</w:t>
            </w:r>
          </w:p>
        </w:tc>
        <w:tc>
          <w:tcPr>
            <w:tcW w:w="811" w:type="dxa"/>
            <w:tcBorders>
              <w:top w:val="nil"/>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3,58</w:t>
            </w:r>
          </w:p>
        </w:tc>
        <w:tc>
          <w:tcPr>
            <w:tcW w:w="839" w:type="dxa"/>
            <w:tcBorders>
              <w:top w:val="nil"/>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5,61</w:t>
            </w:r>
          </w:p>
        </w:tc>
        <w:tc>
          <w:tcPr>
            <w:tcW w:w="781" w:type="dxa"/>
            <w:tcBorders>
              <w:top w:val="nil"/>
              <w:bottom w:val="single" w:sz="4" w:space="0" w:color="auto"/>
            </w:tcBorders>
            <w:vAlign w:val="bottom"/>
          </w:tcPr>
          <w:p w:rsidR="00DA10E4" w:rsidRPr="009B3899" w:rsidRDefault="00DA10E4">
            <w:pPr>
              <w:pStyle w:val="PunktlistaTankstreck"/>
              <w:numPr>
                <w:ilvl w:val="0"/>
                <w:numId w:val="0"/>
              </w:numPr>
              <w:shd w:val="clear" w:color="000000" w:fill="auto"/>
              <w:spacing w:beforeLines="60" w:before="144" w:line="200" w:lineRule="exact"/>
              <w:jc w:val="right"/>
              <w:rPr>
                <w:sz w:val="16"/>
                <w:szCs w:val="16"/>
              </w:rPr>
            </w:pPr>
            <w:r w:rsidRPr="009B3899">
              <w:rPr>
                <w:sz w:val="16"/>
                <w:szCs w:val="16"/>
              </w:rPr>
              <w:t>13,77</w:t>
            </w:r>
          </w:p>
        </w:tc>
        <w:tc>
          <w:tcPr>
            <w:tcW w:w="720" w:type="dxa"/>
            <w:tcBorders>
              <w:top w:val="nil"/>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107,51</w:t>
            </w:r>
          </w:p>
        </w:tc>
      </w:tr>
      <w:tr w:rsidR="00A9152E" w:rsidRPr="009B3899" w:rsidTr="0024065C">
        <w:trPr>
          <w:cnfStyle w:val="010000000000" w:firstRow="0" w:lastRow="1" w:firstColumn="0" w:lastColumn="0" w:oddVBand="0" w:evenVBand="0" w:oddHBand="0" w:evenHBand="0" w:firstRowFirstColumn="0" w:firstRowLastColumn="0" w:lastRowFirstColumn="0" w:lastRowLastColumn="0"/>
        </w:trPr>
        <w:tc>
          <w:tcPr>
            <w:tcW w:w="616" w:type="dxa"/>
            <w:tcBorders>
              <w:top w:val="single" w:sz="4" w:space="0" w:color="auto"/>
              <w:bottom w:val="single" w:sz="4" w:space="0" w:color="auto"/>
            </w:tcBorders>
          </w:tcPr>
          <w:p w:rsidR="00DA10E4" w:rsidRPr="009B3899" w:rsidRDefault="00DA10E4">
            <w:pPr>
              <w:shd w:val="clear" w:color="000000" w:fill="auto"/>
              <w:autoSpaceDE w:val="0"/>
              <w:autoSpaceDN w:val="0"/>
              <w:adjustRightInd w:val="0"/>
              <w:spacing w:beforeLines="60" w:before="144" w:line="200" w:lineRule="exact"/>
              <w:jc w:val="center"/>
              <w:rPr>
                <w:b/>
                <w:bCs/>
                <w:iCs/>
                <w:sz w:val="16"/>
                <w:szCs w:val="16"/>
              </w:rPr>
            </w:pPr>
            <w:r w:rsidRPr="009B3899">
              <w:rPr>
                <w:b/>
                <w:bCs/>
                <w:iCs/>
                <w:sz w:val="16"/>
                <w:szCs w:val="16"/>
              </w:rPr>
              <w:t>2018</w:t>
            </w:r>
          </w:p>
        </w:tc>
        <w:tc>
          <w:tcPr>
            <w:tcW w:w="752" w:type="dxa"/>
            <w:tcBorders>
              <w:top w:val="single" w:sz="4" w:space="0" w:color="auto"/>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10,00</w:t>
            </w:r>
          </w:p>
        </w:tc>
        <w:tc>
          <w:tcPr>
            <w:tcW w:w="720" w:type="dxa"/>
            <w:tcBorders>
              <w:top w:val="single" w:sz="4" w:space="0" w:color="auto"/>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2,09</w:t>
            </w:r>
          </w:p>
        </w:tc>
        <w:tc>
          <w:tcPr>
            <w:tcW w:w="686" w:type="dxa"/>
            <w:tcBorders>
              <w:top w:val="single" w:sz="4" w:space="0" w:color="auto"/>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87,51</w:t>
            </w:r>
          </w:p>
        </w:tc>
        <w:tc>
          <w:tcPr>
            <w:tcW w:w="811" w:type="dxa"/>
            <w:tcBorders>
              <w:top w:val="single" w:sz="4" w:space="0" w:color="auto"/>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3,98</w:t>
            </w:r>
          </w:p>
        </w:tc>
        <w:tc>
          <w:tcPr>
            <w:tcW w:w="839" w:type="dxa"/>
            <w:tcBorders>
              <w:top w:val="single" w:sz="4" w:space="0" w:color="auto"/>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6,07</w:t>
            </w:r>
          </w:p>
        </w:tc>
        <w:tc>
          <w:tcPr>
            <w:tcW w:w="781" w:type="dxa"/>
            <w:tcBorders>
              <w:top w:val="single" w:sz="4" w:space="0" w:color="auto"/>
              <w:bottom w:val="single" w:sz="4" w:space="0" w:color="auto"/>
            </w:tcBorders>
            <w:vAlign w:val="bottom"/>
          </w:tcPr>
          <w:p w:rsidR="00DA10E4" w:rsidRPr="009B3899" w:rsidRDefault="00DA10E4">
            <w:pPr>
              <w:pStyle w:val="PunktlistaTankstreck"/>
              <w:numPr>
                <w:ilvl w:val="0"/>
                <w:numId w:val="0"/>
              </w:numPr>
              <w:shd w:val="clear" w:color="000000" w:fill="auto"/>
              <w:spacing w:beforeLines="60" w:before="144" w:line="200" w:lineRule="exact"/>
              <w:jc w:val="right"/>
              <w:rPr>
                <w:sz w:val="16"/>
                <w:szCs w:val="16"/>
              </w:rPr>
            </w:pPr>
            <w:r w:rsidRPr="009B3899">
              <w:rPr>
                <w:sz w:val="16"/>
                <w:szCs w:val="16"/>
              </w:rPr>
              <w:t>14,19</w:t>
            </w:r>
          </w:p>
        </w:tc>
        <w:tc>
          <w:tcPr>
            <w:tcW w:w="720" w:type="dxa"/>
            <w:tcBorders>
              <w:top w:val="single" w:sz="4" w:space="0" w:color="auto"/>
              <w:bottom w:val="single" w:sz="4" w:space="0" w:color="auto"/>
            </w:tcBorders>
            <w:vAlign w:val="bottom"/>
          </w:tcPr>
          <w:p w:rsidR="00DA10E4" w:rsidRPr="009B3899" w:rsidRDefault="00DA10E4">
            <w:pPr>
              <w:shd w:val="clear" w:color="000000" w:fill="auto"/>
              <w:autoSpaceDE w:val="0"/>
              <w:autoSpaceDN w:val="0"/>
              <w:adjustRightInd w:val="0"/>
              <w:spacing w:beforeLines="60" w:before="144" w:line="200" w:lineRule="exact"/>
              <w:jc w:val="right"/>
              <w:rPr>
                <w:sz w:val="16"/>
                <w:szCs w:val="16"/>
              </w:rPr>
            </w:pPr>
            <w:r w:rsidRPr="009B3899">
              <w:rPr>
                <w:sz w:val="16"/>
                <w:szCs w:val="16"/>
              </w:rPr>
              <w:t>121,70</w:t>
            </w:r>
          </w:p>
        </w:tc>
      </w:tr>
    </w:tbl>
    <w:p w:rsidR="009058C2" w:rsidRPr="009B3899" w:rsidRDefault="00DA10E4">
      <w:pPr>
        <w:shd w:val="clear" w:color="000000" w:fill="auto"/>
      </w:pPr>
      <w:r w:rsidRPr="009B3899">
        <w:t>Detta är en rejäl samhällsinvestering som vi menar är nödvändig. Bostads</w:t>
      </w:r>
      <w:r w:rsidR="00B85AC1" w:rsidRPr="009B3899">
        <w:softHyphen/>
      </w:r>
      <w:r w:rsidRPr="009B3899">
        <w:t>situationen är för många grupper akut, samtidigt som de långsiktiga behoven också är stora. Det är oansvarigt att i det läget inte ta stora och verksamma grepp för att förändra situationen. Den investeringslösning som Vänsterpartiet skisserar här utgår från denna insikt och möjliggör, förutom uppnående av det övergripande volymmålet på 40 000 lägenheter per år, också en reell möjli</w:t>
      </w:r>
      <w:r w:rsidRPr="009B3899">
        <w:t>g</w:t>
      </w:r>
      <w:r w:rsidRPr="009B3899">
        <w:t xml:space="preserve">het att förverkliga eftersatta </w:t>
      </w:r>
      <w:r w:rsidRPr="009B3899">
        <w:rPr>
          <w:spacing w:val="-2"/>
        </w:rPr>
        <w:t>sociala ambitioner med bostadspolitiken. Se vida</w:t>
      </w:r>
      <w:r w:rsidRPr="009B3899">
        <w:t>re Vänsterpartiets motion Långsiktiga villkor för bostadsproduktionen.</w:t>
      </w:r>
    </w:p>
    <w:p w:rsidR="0095669A" w:rsidRPr="009B3899" w:rsidRDefault="0095669A">
      <w:pPr>
        <w:pStyle w:val="Rubrik2"/>
        <w:shd w:val="clear" w:color="000000" w:fill="auto"/>
      </w:pPr>
      <w:bookmarkStart w:id="9" w:name="_Toc179614099"/>
      <w:r w:rsidRPr="009B3899">
        <w:t>Nationell samordnare kooperativa hyresrätter</w:t>
      </w:r>
      <w:bookmarkEnd w:id="9"/>
    </w:p>
    <w:p w:rsidR="0095669A" w:rsidRPr="009B3899" w:rsidRDefault="0095669A">
      <w:pPr>
        <w:shd w:val="clear" w:color="000000" w:fill="auto"/>
      </w:pPr>
      <w:r w:rsidRPr="009B3899">
        <w:t>Den kooperativa hyresrätten har varit en lagstadgad upplåtelseform sedan 2002, men av olika skäl har boendeformen inte nått den framgång många hade hoppats på. Endast ett femtontal kooperativa hyresrättsföreningar har registrerats på Bolagsverket sedan lagen trädde i kraft.</w:t>
      </w:r>
    </w:p>
    <w:p w:rsidR="0095669A" w:rsidRPr="009B3899" w:rsidRDefault="0095669A">
      <w:pPr>
        <w:pStyle w:val="Normaltindrag"/>
        <w:shd w:val="clear" w:color="000000" w:fill="auto"/>
      </w:pPr>
      <w:r w:rsidRPr="009B3899">
        <w:t>Den dåvarande regeringen gav under 2003 Boverket i uppdrag att utveckla förutsättningarna för upplåtelseformen. Uppdraget redovisades i mars 2005 i rapporten Kooperativa hyresrätter – Nya m</w:t>
      </w:r>
      <w:r w:rsidRPr="009B3899">
        <w:rPr>
          <w:spacing w:val="-2"/>
        </w:rPr>
        <w:t>öjligheter för den fjärde upplåtel</w:t>
      </w:r>
      <w:r w:rsidRPr="009B3899">
        <w:t>s</w:t>
      </w:r>
      <w:r w:rsidRPr="009B3899">
        <w:t>e</w:t>
      </w:r>
      <w:r w:rsidRPr="009B3899">
        <w:t>forme</w:t>
      </w:r>
      <w:r w:rsidRPr="009B3899">
        <w:rPr>
          <w:spacing w:val="-2"/>
        </w:rPr>
        <w:t>n</w:t>
      </w:r>
      <w:r w:rsidR="008253B2" w:rsidRPr="009B3899">
        <w:rPr>
          <w:spacing w:val="-2"/>
        </w:rPr>
        <w:t>,</w:t>
      </w:r>
      <w:r w:rsidRPr="009B3899">
        <w:rPr>
          <w:spacing w:val="-2"/>
        </w:rPr>
        <w:t xml:space="preserve"> och i huvudsak anser Boverket även i denna utredning att den ko</w:t>
      </w:r>
      <w:r w:rsidRPr="009B3899">
        <w:t>oper</w:t>
      </w:r>
      <w:r w:rsidRPr="009B3899">
        <w:t>a</w:t>
      </w:r>
      <w:r w:rsidRPr="009B3899">
        <w:t>tiva hyresrätten behandlas orättvist i förhållande till andra upplåtelseformer. För att förbättra situationen har man pekat på en rad regeländringar som kan åstadkommas inom ramen för den stomme som lagen (2002:93) om kooper</w:t>
      </w:r>
      <w:r w:rsidRPr="009B3899">
        <w:t>a</w:t>
      </w:r>
      <w:r w:rsidRPr="009B3899">
        <w:t>tiv hyresrätt utgör. Man föreslog även att en ny nationell samordnare för fr</w:t>
      </w:r>
      <w:r w:rsidRPr="009B3899">
        <w:t>å</w:t>
      </w:r>
      <w:r w:rsidRPr="009B3899">
        <w:t>gor rörande kooperativa hyresrätter inrättas.</w:t>
      </w:r>
    </w:p>
    <w:p w:rsidR="0095669A" w:rsidRPr="009B3899" w:rsidRDefault="0095669A">
      <w:pPr>
        <w:pStyle w:val="Normaltindrag"/>
        <w:shd w:val="clear" w:color="000000" w:fill="auto"/>
      </w:pPr>
      <w:r w:rsidRPr="009B3899">
        <w:t>Behovet av organiserad spridning av kunskap och information om upp</w:t>
      </w:r>
      <w:r w:rsidR="00B85AC1" w:rsidRPr="009B3899">
        <w:softHyphen/>
      </w:r>
      <w:r w:rsidRPr="009B3899">
        <w:t>låtelseformen är stort och arbetet med ett mera långsiktigt informations- och kunskapsutvecklingsarbete samt rådgivning på nationell nivå måste fortgå.</w:t>
      </w:r>
    </w:p>
    <w:p w:rsidR="0095669A" w:rsidRPr="009B3899" w:rsidRDefault="0095669A">
      <w:pPr>
        <w:pStyle w:val="Normaltindrag"/>
        <w:shd w:val="clear" w:color="000000" w:fill="auto"/>
      </w:pPr>
      <w:r w:rsidRPr="009B3899">
        <w:t>Vänsterpartiet anser att förslaget att organisationen Sveriges Kooperativa Hyresrättsföreningar (SKH) blir en nationell samordnare på området är bra. Genom SKH kan man på nationell nivå utveckla, stödja och främja tillkom</w:t>
      </w:r>
      <w:r w:rsidRPr="009B3899">
        <w:t>s</w:t>
      </w:r>
      <w:r w:rsidRPr="009B3899">
        <w:t>ten av fler kooperativa hyresrättsföreningar. Vänsterpartiet föreslår därför att det tillförs 1,</w:t>
      </w:r>
      <w:r w:rsidR="00EC5724" w:rsidRPr="009B3899">
        <w:t>6</w:t>
      </w:r>
      <w:r w:rsidRPr="009B3899">
        <w:t xml:space="preserve"> miljoner kronor per år för detta ändamål </w:t>
      </w:r>
      <w:r w:rsidR="008253B2" w:rsidRPr="009B3899">
        <w:t xml:space="preserve">fr.o.m. </w:t>
      </w:r>
      <w:r w:rsidRPr="009B3899">
        <w:t>budget</w:t>
      </w:r>
      <w:r w:rsidR="00EC5724" w:rsidRPr="009B3899">
        <w:t>året 2008</w:t>
      </w:r>
      <w:r w:rsidRPr="009B3899">
        <w:t>. Pengar för ändamålet aviseras under ett nytt anslag</w:t>
      </w:r>
      <w:r w:rsidR="008253B2" w:rsidRPr="009B3899">
        <w:t>:</w:t>
      </w:r>
      <w:r w:rsidRPr="009B3899">
        <w:t xml:space="preserve"> Nationell samor</w:t>
      </w:r>
      <w:r w:rsidRPr="009B3899">
        <w:t>d</w:t>
      </w:r>
      <w:r w:rsidRPr="009B3899">
        <w:t>nare kooperativa hyresrätter.</w:t>
      </w:r>
    </w:p>
    <w:p w:rsidR="0095669A" w:rsidRPr="009B3899" w:rsidRDefault="0095669A">
      <w:pPr>
        <w:pStyle w:val="Rubrik2"/>
        <w:shd w:val="clear" w:color="000000" w:fill="auto"/>
      </w:pPr>
      <w:bookmarkStart w:id="10" w:name="_Toc179614100"/>
      <w:r w:rsidRPr="009B3899">
        <w:t>Sanering av förorenade områden i tätort</w:t>
      </w:r>
      <w:bookmarkEnd w:id="10"/>
    </w:p>
    <w:p w:rsidR="00EC5724" w:rsidRPr="009B3899" w:rsidRDefault="0095669A">
      <w:pPr>
        <w:shd w:val="clear" w:color="000000" w:fill="auto"/>
      </w:pPr>
      <w:r w:rsidRPr="009B3899">
        <w:t xml:space="preserve">Mycket av den nyproduktion som kommer till stånd i våra storstadsområden byggs på gammal industrimark, ofta med ett centralt och attraktivt läge. Gammal industrimark är dock oftast förorenad och behöver saneras, vilket kostar mycket pengar. </w:t>
      </w:r>
      <w:r w:rsidR="00EC5724" w:rsidRPr="009B3899">
        <w:t>Enligt chefen för Byggkostnadsforum är ett markpris</w:t>
      </w:r>
      <w:r w:rsidR="008253B2" w:rsidRPr="009B3899">
        <w:t xml:space="preserve"> på</w:t>
      </w:r>
      <w:r w:rsidR="00EC5724" w:rsidRPr="009B3899">
        <w:t xml:space="preserve"> över 1 000 kr per kvadratmeter en nivå som gör byggandet av hyresrätter olönsam. Vid de tillfällen då ingen kan ställas till svars och bekosta sanering av mark läggs </w:t>
      </w:r>
      <w:r w:rsidRPr="009B3899">
        <w:t>kostnad</w:t>
      </w:r>
      <w:r w:rsidR="00EC5724" w:rsidRPr="009B3899">
        <w:t xml:space="preserve">en slutligen på </w:t>
      </w:r>
      <w:r w:rsidRPr="009B3899">
        <w:t>boendet</w:t>
      </w:r>
      <w:r w:rsidR="008253B2" w:rsidRPr="009B3899">
        <w:t>,</w:t>
      </w:r>
      <w:r w:rsidRPr="009B3899">
        <w:t xml:space="preserve"> </w:t>
      </w:r>
      <w:r w:rsidR="00EC5724" w:rsidRPr="009B3899">
        <w:t xml:space="preserve">vilket resulterar i </w:t>
      </w:r>
      <w:r w:rsidRPr="009B3899">
        <w:t>orimliga boendekostnader för merparten av dem som efterfrågar en bostad.</w:t>
      </w:r>
    </w:p>
    <w:p w:rsidR="00EC5724" w:rsidRPr="009B3899" w:rsidRDefault="00EC5724">
      <w:pPr>
        <w:pStyle w:val="Normaltindrag"/>
        <w:shd w:val="clear" w:color="000000" w:fill="auto"/>
      </w:pPr>
      <w:r w:rsidRPr="009B3899">
        <w:t>Det anslag som i</w:t>
      </w:r>
      <w:r w:rsidR="008253B2" w:rsidRPr="009B3899">
        <w:t xml:space="preserve"> </w:t>
      </w:r>
      <w:r w:rsidRPr="009B3899">
        <w:t>dag finns för sanering av förorenad mark inom utgiftso</w:t>
      </w:r>
      <w:r w:rsidRPr="009B3899">
        <w:t>m</w:t>
      </w:r>
      <w:r w:rsidRPr="009B3899">
        <w:t>råde 20 disponeras av Naturvårdsverket och riktar sig mot sanering av mark</w:t>
      </w:r>
      <w:r w:rsidR="008253B2" w:rsidRPr="009B3899">
        <w:t xml:space="preserve"> som anses ”särskilt angelägen f</w:t>
      </w:r>
      <w:r w:rsidRPr="009B3899">
        <w:t>r</w:t>
      </w:r>
      <w:r w:rsidR="008253B2" w:rsidRPr="009B3899">
        <w:t>ån</w:t>
      </w:r>
      <w:r w:rsidRPr="009B3899">
        <w:t xml:space="preserve"> risksynpunkt” samt mot eventuella akuta saneringsinsatser. Någon koppling till sanering av förorenad mark för b</w:t>
      </w:r>
      <w:r w:rsidRPr="009B3899">
        <w:t>o</w:t>
      </w:r>
      <w:r w:rsidRPr="009B3899">
        <w:t>stadsbyggande finns inte.</w:t>
      </w:r>
    </w:p>
    <w:p w:rsidR="0095669A" w:rsidRPr="009B3899" w:rsidRDefault="0095669A">
      <w:pPr>
        <w:pStyle w:val="Normaltindrag"/>
        <w:shd w:val="clear" w:color="000000" w:fill="auto"/>
      </w:pPr>
      <w:r w:rsidRPr="009B3899">
        <w:t>Vi anser att ett ökat bostadsbyggande är nödvändigt</w:t>
      </w:r>
      <w:r w:rsidR="008253B2" w:rsidRPr="009B3899">
        <w:t>,</w:t>
      </w:r>
      <w:r w:rsidRPr="009B3899">
        <w:t xml:space="preserve"> och störst är behovet av fler hyresrätter till rimliga kostnader. Ett ökat byggande av hyresrätter måste därför vara en prioriterad fråga för en hållbar samhällsutveckling. Det ökade bostadsbyggandet ska uppfylla kraven på en ekologiskt hållbar utvec</w:t>
      </w:r>
      <w:r w:rsidRPr="009B3899">
        <w:t>k</w:t>
      </w:r>
      <w:r w:rsidRPr="009B3899">
        <w:t>ling. Städer, tätorter och annan bebyggd miljö ska utgöra en god och häls</w:t>
      </w:r>
      <w:r w:rsidRPr="009B3899">
        <w:t>o</w:t>
      </w:r>
      <w:r w:rsidRPr="009B3899">
        <w:t>sam livsmiljö</w:t>
      </w:r>
      <w:r w:rsidR="008253B2" w:rsidRPr="009B3899">
        <w:t>,</w:t>
      </w:r>
      <w:r w:rsidRPr="009B3899">
        <w:t xml:space="preserve"> där byggnader och anläggningar har lokaliserats på ett milj</w:t>
      </w:r>
      <w:r w:rsidRPr="009B3899">
        <w:t>ö</w:t>
      </w:r>
      <w:r w:rsidRPr="009B3899">
        <w:t>anpassat sätt så att en långsiktigt god hushållning med mark, vatten och andra resurser främjas. Enligt miljömålet God bebyggd miljö ska samhällsplan</w:t>
      </w:r>
      <w:r w:rsidRPr="009B3899">
        <w:t>e</w:t>
      </w:r>
      <w:r w:rsidRPr="009B3899">
        <w:t>ringen vidare främja en minskad bilanvändning och likaså öka förutsättnin</w:t>
      </w:r>
      <w:r w:rsidRPr="009B3899">
        <w:t>g</w:t>
      </w:r>
      <w:r w:rsidRPr="009B3899">
        <w:t xml:space="preserve">arna för användandet av miljöanpassade och resurssnåla transporter. Att låta tätortsnära </w:t>
      </w:r>
      <w:r w:rsidR="008253B2" w:rsidRPr="009B3899">
        <w:t>f.d.</w:t>
      </w:r>
      <w:r w:rsidRPr="009B3899">
        <w:t xml:space="preserve"> industrimarker stå outnyttjade är ett resursslöseri och kan även innebära en risk från miljösynpunkt. Staten bör främja arbetet med sanering av dessa områden, Boverket bör hantera medlen. Vänsterpartiet föreslår ett nytt anslag</w:t>
      </w:r>
      <w:r w:rsidR="008253B2" w:rsidRPr="009B3899">
        <w:t>,</w:t>
      </w:r>
      <w:r w:rsidR="003C463E" w:rsidRPr="009B3899">
        <w:t xml:space="preserve"> Sanering av förorenade områden i tätort,</w:t>
      </w:r>
      <w:r w:rsidRPr="009B3899">
        <w:t xml:space="preserve"> inom</w:t>
      </w:r>
      <w:r w:rsidR="003C463E" w:rsidRPr="009B3899">
        <w:t xml:space="preserve"> Boverkets ram</w:t>
      </w:r>
      <w:r w:rsidR="008253B2" w:rsidRPr="009B3899">
        <w:t>,</w:t>
      </w:r>
      <w:r w:rsidRPr="009B3899">
        <w:t xml:space="preserve"> utgiftsområde 18.</w:t>
      </w:r>
    </w:p>
    <w:p w:rsidR="0006538A" w:rsidRPr="009B3899" w:rsidRDefault="0006538A">
      <w:pPr>
        <w:pStyle w:val="Rubrik2"/>
        <w:shd w:val="clear" w:color="000000" w:fill="auto"/>
      </w:pPr>
      <w:bookmarkStart w:id="11" w:name="_Toc179614101"/>
      <w:r w:rsidRPr="009B3899">
        <w:t>Anslag Passivhus</w:t>
      </w:r>
      <w:bookmarkEnd w:id="11"/>
    </w:p>
    <w:p w:rsidR="0006538A" w:rsidRPr="009B3899" w:rsidRDefault="0006538A">
      <w:pPr>
        <w:pStyle w:val="Normalwebb"/>
        <w:shd w:val="clear" w:color="000000" w:fill="auto"/>
        <w:spacing w:after="30"/>
      </w:pPr>
      <w:r w:rsidRPr="009B3899">
        <w:t>Bostads- och servicesektorn står för ca 40</w:t>
      </w:r>
      <w:r w:rsidR="005373DA" w:rsidRPr="009B3899">
        <w:t> </w:t>
      </w:r>
      <w:r w:rsidRPr="009B3899">
        <w:t>% av Sveriges energianvändning. När det kommer till att nyproducera bostäder med lägre energiförbrukning finns i</w:t>
      </w:r>
      <w:r w:rsidR="00057183" w:rsidRPr="009B3899">
        <w:t xml:space="preserve"> </w:t>
      </w:r>
      <w:r w:rsidRPr="009B3899">
        <w:t>dag utvecklade tekniker, men trots detta sker nybyggnation oftast e</w:t>
      </w:r>
      <w:r w:rsidRPr="009B3899">
        <w:t>n</w:t>
      </w:r>
      <w:r w:rsidRPr="009B3899">
        <w:t>ligt konventionella principer och med traditionella värmekällor. I Vänsterpa</w:t>
      </w:r>
      <w:r w:rsidRPr="009B3899">
        <w:t>r</w:t>
      </w:r>
      <w:r w:rsidRPr="009B3899">
        <w:t>tiets förslag för ett framtida bostadsfinansieringssystem kommer höga krav att ställas på producenterna då det gäller användandet av marknadens mest mi</w:t>
      </w:r>
      <w:r w:rsidRPr="009B3899">
        <w:t>l</w:t>
      </w:r>
      <w:r w:rsidRPr="009B3899">
        <w:t>jövänliga bygg</w:t>
      </w:r>
      <w:r w:rsidR="00057183" w:rsidRPr="009B3899">
        <w:t>na</w:t>
      </w:r>
      <w:r w:rsidRPr="009B3899">
        <w:t>dstekniker. Men förutom att ställa hårda miljökrav vid up</w:t>
      </w:r>
      <w:r w:rsidRPr="009B3899">
        <w:t>p</w:t>
      </w:r>
      <w:r w:rsidRPr="009B3899">
        <w:t>bärandet av stöd vid byggande av hyresrätter, såsom finansieringssystemet syftar till, anser Vänsterpartiet att det måste till ett ökat kunnande och en stimulans av byggande av energisnåla hus</w:t>
      </w:r>
      <w:r w:rsidR="00EC5724" w:rsidRPr="009B3899">
        <w:t>. Vi aviserar därför</w:t>
      </w:r>
      <w:r w:rsidRPr="009B3899">
        <w:t xml:space="preserve"> ett nytt anslag </w:t>
      </w:r>
      <w:r w:rsidR="003C463E" w:rsidRPr="009B3899">
        <w:t xml:space="preserve">inom Boverkets ram, </w:t>
      </w:r>
      <w:r w:rsidR="00EC5724" w:rsidRPr="009B3899">
        <w:t>utgiftsområde 18</w:t>
      </w:r>
      <w:r w:rsidR="003C463E" w:rsidRPr="009B3899">
        <w:t>,</w:t>
      </w:r>
      <w:r w:rsidR="00C17C41" w:rsidRPr="009B3899">
        <w:t xml:space="preserve"> </w:t>
      </w:r>
      <w:r w:rsidRPr="009B3899">
        <w:t>med syfte stödja ett ökat byggande av s.k. passivhus.</w:t>
      </w:r>
    </w:p>
    <w:p w:rsidR="003B629C" w:rsidRPr="009B3899" w:rsidRDefault="00EB6AA0">
      <w:pPr>
        <w:pStyle w:val="Rubrik2"/>
        <w:shd w:val="clear" w:color="000000" w:fill="auto"/>
      </w:pPr>
      <w:bookmarkStart w:id="12" w:name="_Toc179614102"/>
      <w:r w:rsidRPr="009B3899">
        <w:t xml:space="preserve">Anslag </w:t>
      </w:r>
      <w:r w:rsidR="003B629C" w:rsidRPr="009B3899">
        <w:t>Fonden för fukt- och mögelskador</w:t>
      </w:r>
      <w:bookmarkEnd w:id="12"/>
    </w:p>
    <w:p w:rsidR="003B629C" w:rsidRPr="009B3899" w:rsidRDefault="003B629C">
      <w:pPr>
        <w:shd w:val="clear" w:color="000000" w:fill="auto"/>
      </w:pPr>
      <w:r w:rsidRPr="009B3899">
        <w:t xml:space="preserve">Fonden för fukt- och mögelskador ger ett viktigt bidrag till åtgärder för att avhjälpa fukt- och mögelskador i småhus/egnahem som uppkommit till följd av fel </w:t>
      </w:r>
      <w:r w:rsidR="004147A2" w:rsidRPr="009B3899">
        <w:t>rekommendationer</w:t>
      </w:r>
      <w:r w:rsidRPr="009B3899">
        <w:t xml:space="preserve"> i byggregler eller okunskap.</w:t>
      </w:r>
    </w:p>
    <w:p w:rsidR="006D5EA2" w:rsidRPr="009B3899" w:rsidRDefault="003B629C">
      <w:pPr>
        <w:pStyle w:val="Normaltindrag"/>
        <w:shd w:val="clear" w:color="000000" w:fill="auto"/>
      </w:pPr>
      <w:r w:rsidRPr="009B3899">
        <w:t>Det finns goda motiv till att fonden finns kvar då byggslarv och andra fo</w:t>
      </w:r>
      <w:r w:rsidRPr="009B3899">
        <w:t>r</w:t>
      </w:r>
      <w:r w:rsidRPr="009B3899">
        <w:t>mer av byggfel även fortsättningsvis kommer att ske inom byggsektorn och byggandet av småhus/egnahem. Sa</w:t>
      </w:r>
      <w:r w:rsidR="00C17C41" w:rsidRPr="009B3899">
        <w:t>n</w:t>
      </w:r>
      <w:r w:rsidRPr="009B3899">
        <w:t>nolikt kommer behovet att komma att öka då vi är motiverade av energibespar</w:t>
      </w:r>
      <w:r w:rsidR="004147A2" w:rsidRPr="009B3899">
        <w:t xml:space="preserve">ande </w:t>
      </w:r>
      <w:r w:rsidRPr="009B3899">
        <w:t>åtgärder att söka oss till nya lösnin</w:t>
      </w:r>
      <w:r w:rsidRPr="009B3899">
        <w:t>g</w:t>
      </w:r>
      <w:r w:rsidRPr="009B3899">
        <w:t xml:space="preserve">ar på energisnålt byggande och isolerade hus. </w:t>
      </w:r>
      <w:r w:rsidR="008253B2" w:rsidRPr="009B3899">
        <w:t xml:space="preserve">Vi har </w:t>
      </w:r>
      <w:r w:rsidRPr="009B3899">
        <w:t>sett från tidigare år att det sker misstag på grund av byggslarv eller okunskap som drabbar småhu</w:t>
      </w:r>
      <w:r w:rsidRPr="009B3899">
        <w:t>s</w:t>
      </w:r>
      <w:r w:rsidRPr="009B3899">
        <w:t xml:space="preserve">ägarna. Det är förenat med stora kostnader att rätta till byggfel och eventuella byggskador på småhus/egnahem för ägarna och därför motiverat att </w:t>
      </w:r>
      <w:r w:rsidR="008253B2" w:rsidRPr="009B3899">
        <w:t xml:space="preserve">Fonden </w:t>
      </w:r>
      <w:r w:rsidRPr="009B3899">
        <w:t>för fukt- och mögelskador finns kvar som en viss hjälp till husägaren när fukt- och mögelskador har uppstått.</w:t>
      </w:r>
      <w:r w:rsidR="00C17C41" w:rsidRPr="009B3899">
        <w:t xml:space="preserve"> Vänsterpartiet </w:t>
      </w:r>
      <w:r w:rsidR="006D5EA2" w:rsidRPr="009B3899">
        <w:t>avvisar därför regeringens fö</w:t>
      </w:r>
      <w:r w:rsidR="006D5EA2" w:rsidRPr="009B3899">
        <w:t>r</w:t>
      </w:r>
      <w:r w:rsidR="006D5EA2" w:rsidRPr="009B3899">
        <w:t>slag om att avveckla det ekonomiska stödet för att avhjälpa fukt- och möge</w:t>
      </w:r>
      <w:r w:rsidR="006D5EA2" w:rsidRPr="009B3899">
        <w:t>l</w:t>
      </w:r>
      <w:r w:rsidR="006D5EA2" w:rsidRPr="009B3899">
        <w:t>skador i småhus, anslag 31:10.</w:t>
      </w:r>
    </w:p>
    <w:p w:rsidR="00687C7B" w:rsidRPr="009B3899" w:rsidRDefault="00687C7B">
      <w:pPr>
        <w:pStyle w:val="Rubrik2"/>
        <w:shd w:val="clear" w:color="000000" w:fill="auto"/>
      </w:pPr>
      <w:bookmarkStart w:id="13" w:name="_Toc179614103"/>
      <w:r w:rsidRPr="009B3899">
        <w:t>Bostadsbidrage</w:t>
      </w:r>
      <w:r w:rsidR="00F913D1" w:rsidRPr="009B3899">
        <w:t>t</w:t>
      </w:r>
      <w:bookmarkEnd w:id="13"/>
    </w:p>
    <w:p w:rsidR="00F913D1" w:rsidRPr="009B3899" w:rsidRDefault="00F913D1">
      <w:pPr>
        <w:shd w:val="clear" w:color="000000" w:fill="auto"/>
        <w:rPr>
          <w:szCs w:val="24"/>
        </w:rPr>
      </w:pPr>
      <w:r w:rsidRPr="009B3899">
        <w:t>I budgetpropositionen för 2008 föreslår regeringen ett nytt mål för bostads</w:t>
      </w:r>
      <w:r w:rsidR="00B85AC1" w:rsidRPr="009B3899">
        <w:softHyphen/>
      </w:r>
      <w:r w:rsidRPr="009B3899">
        <w:t xml:space="preserve">bidragen, där den familjepolitiska inriktningen förtydligas. </w:t>
      </w:r>
      <w:r w:rsidRPr="009B3899">
        <w:rPr>
          <w:szCs w:val="24"/>
        </w:rPr>
        <w:t>Tvärtemot rege</w:t>
      </w:r>
      <w:r w:rsidRPr="009B3899">
        <w:rPr>
          <w:szCs w:val="24"/>
        </w:rPr>
        <w:t>r</w:t>
      </w:r>
      <w:r w:rsidRPr="009B3899">
        <w:rPr>
          <w:szCs w:val="24"/>
        </w:rPr>
        <w:t>ingen anser Vänsterpartiet att bostadsbidragens roll som en del av bostads</w:t>
      </w:r>
      <w:r w:rsidR="00B85AC1" w:rsidRPr="009B3899">
        <w:rPr>
          <w:szCs w:val="24"/>
        </w:rPr>
        <w:softHyphen/>
      </w:r>
      <w:r w:rsidRPr="009B3899">
        <w:rPr>
          <w:szCs w:val="24"/>
        </w:rPr>
        <w:t xml:space="preserve">politiken bör förstärkas och ett nytt mer preciserat mål, som endast förhåller sig till de bostadspolitiska målen, </w:t>
      </w:r>
      <w:r w:rsidR="00C53B35" w:rsidRPr="009B3899">
        <w:rPr>
          <w:szCs w:val="24"/>
        </w:rPr>
        <w:t xml:space="preserve">ska </w:t>
      </w:r>
      <w:r w:rsidRPr="009B3899">
        <w:rPr>
          <w:szCs w:val="24"/>
        </w:rPr>
        <w:t>inför</w:t>
      </w:r>
      <w:r w:rsidR="00C53B35" w:rsidRPr="009B3899">
        <w:rPr>
          <w:szCs w:val="24"/>
        </w:rPr>
        <w:t>a</w:t>
      </w:r>
      <w:r w:rsidRPr="009B3899">
        <w:rPr>
          <w:szCs w:val="24"/>
        </w:rPr>
        <w:t xml:space="preserve">s. Ytterligare en markering från regeringen </w:t>
      </w:r>
      <w:r w:rsidR="00C53B35" w:rsidRPr="009B3899">
        <w:rPr>
          <w:szCs w:val="24"/>
        </w:rPr>
        <w:t xml:space="preserve">om </w:t>
      </w:r>
      <w:r w:rsidRPr="009B3899">
        <w:rPr>
          <w:szCs w:val="24"/>
        </w:rPr>
        <w:t xml:space="preserve">att bostadsbidragen går mot att bli ett rent familjepolitiskt verktyg, utan någon koppling till bostadspolitiken, är att anslaget flyttas från </w:t>
      </w:r>
      <w:r w:rsidR="008253B2" w:rsidRPr="009B3899">
        <w:rPr>
          <w:szCs w:val="24"/>
        </w:rPr>
        <w:t xml:space="preserve">utgiftsområde </w:t>
      </w:r>
      <w:r w:rsidRPr="009B3899">
        <w:rPr>
          <w:szCs w:val="24"/>
        </w:rPr>
        <w:t>18 till utgiftsområde 12 (ekonomisk familjepolitik). Vänste</w:t>
      </w:r>
      <w:r w:rsidRPr="009B3899">
        <w:rPr>
          <w:szCs w:val="24"/>
        </w:rPr>
        <w:t>r</w:t>
      </w:r>
      <w:r w:rsidRPr="009B3899">
        <w:rPr>
          <w:szCs w:val="24"/>
        </w:rPr>
        <w:t>partiet avvisar detta förslag och återför således anslaget Bostadsbidrag till utgiftsområde 18.</w:t>
      </w:r>
      <w:r w:rsidR="00C9119B" w:rsidRPr="009B3899">
        <w:rPr>
          <w:szCs w:val="24"/>
        </w:rPr>
        <w:t xml:space="preserve"> </w:t>
      </w:r>
      <w:r w:rsidRPr="009B3899">
        <w:rPr>
          <w:szCs w:val="24"/>
        </w:rPr>
        <w:t xml:space="preserve">Se vidare motion </w:t>
      </w:r>
      <w:r w:rsidR="008253B2" w:rsidRPr="009B3899">
        <w:rPr>
          <w:szCs w:val="24"/>
        </w:rPr>
        <w:t>Sf207</w:t>
      </w:r>
      <w:r w:rsidRPr="009B3899">
        <w:rPr>
          <w:szCs w:val="24"/>
        </w:rPr>
        <w:t xml:space="preserve"> Bostadsbidragen.</w:t>
      </w:r>
    </w:p>
    <w:p w:rsidR="00620AB2" w:rsidRPr="009B3899" w:rsidRDefault="00F913D1">
      <w:pPr>
        <w:pStyle w:val="Normaltindrag"/>
        <w:shd w:val="clear" w:color="000000" w:fill="auto"/>
        <w:rPr>
          <w:bCs/>
          <w:color w:val="000000"/>
          <w:szCs w:val="24"/>
        </w:rPr>
      </w:pPr>
      <w:r w:rsidRPr="009B3899">
        <w:t>I regeringens nya mål för bostadsbidragen betonas endast barnfamiljer, n</w:t>
      </w:r>
      <w:r w:rsidRPr="009B3899">
        <w:t>å</w:t>
      </w:r>
      <w:r w:rsidRPr="009B3899">
        <w:t>got som Vänsterpartiet ställer sig negativt till eftersom v</w:t>
      </w:r>
      <w:r w:rsidR="00C53B35" w:rsidRPr="009B3899">
        <w:t xml:space="preserve">i vill att </w:t>
      </w:r>
      <w:r w:rsidR="00C17C41" w:rsidRPr="009B3899">
        <w:t>fler grupper ska omfattas av bidraget än vad dagens regler medger. Vi föreslår därför att den regel som i</w:t>
      </w:r>
      <w:r w:rsidR="00057183" w:rsidRPr="009B3899">
        <w:t xml:space="preserve"> </w:t>
      </w:r>
      <w:r w:rsidR="00C17C41" w:rsidRPr="009B3899">
        <w:t xml:space="preserve">dag hindrar alla ensamstående utan barn över 28 år att söka bostadsbidrag tas bort. </w:t>
      </w:r>
      <w:r w:rsidR="00C53B35" w:rsidRPr="009B3899">
        <w:t>Detta är inte minst viktigt för ”äldre” studenter, men även för exempelvis hemlösas möjlighet att återinträda på den reguljära b</w:t>
      </w:r>
      <w:r w:rsidR="00C53B35" w:rsidRPr="009B3899">
        <w:t>o</w:t>
      </w:r>
      <w:r w:rsidR="00C53B35" w:rsidRPr="009B3899">
        <w:t>stadsmarknaden – något som Hemlösekommittén lyfte fram i sitt slutbetä</w:t>
      </w:r>
      <w:r w:rsidR="00C53B35" w:rsidRPr="009B3899">
        <w:t>n</w:t>
      </w:r>
      <w:r w:rsidR="00C53B35" w:rsidRPr="009B3899">
        <w:t xml:space="preserve">kande. Se </w:t>
      </w:r>
      <w:r w:rsidR="00C17C41" w:rsidRPr="009B3899">
        <w:rPr>
          <w:szCs w:val="24"/>
        </w:rPr>
        <w:t>vidare Vänsterpartiets motion för utgiftsområde 18</w:t>
      </w:r>
      <w:r w:rsidR="00C17C41" w:rsidRPr="009B3899">
        <w:t>.</w:t>
      </w:r>
      <w:r w:rsidRPr="009B3899">
        <w:t xml:space="preserve"> Kostnaden för </w:t>
      </w:r>
      <w:r w:rsidR="00C53B35" w:rsidRPr="009B3899">
        <w:t xml:space="preserve">åtgärden är </w:t>
      </w:r>
      <w:r w:rsidRPr="009B3899">
        <w:t xml:space="preserve">beräknad till 1 145 000 </w:t>
      </w:r>
      <w:r w:rsidR="00C53B35" w:rsidRPr="009B3899">
        <w:t>(</w:t>
      </w:r>
      <w:r w:rsidR="008253B2" w:rsidRPr="009B3899">
        <w:t>r</w:t>
      </w:r>
      <w:r w:rsidRPr="009B3899">
        <w:t xml:space="preserve">iksdagens </w:t>
      </w:r>
      <w:r w:rsidR="008253B2" w:rsidRPr="009B3899">
        <w:t>utredningstjänst</w:t>
      </w:r>
      <w:r w:rsidR="00C53B35" w:rsidRPr="009B3899">
        <w:t>)</w:t>
      </w:r>
      <w:r w:rsidRPr="009B3899">
        <w:t>.</w:t>
      </w:r>
      <w:r w:rsidR="00C53B35" w:rsidRPr="009B3899">
        <w:t xml:space="preserve"> Summan är </w:t>
      </w:r>
      <w:r w:rsidRPr="009B3899">
        <w:t>inför</w:t>
      </w:r>
      <w:r w:rsidR="008253B2" w:rsidRPr="009B3899">
        <w:t>d</w:t>
      </w:r>
      <w:r w:rsidRPr="009B3899">
        <w:t xml:space="preserve"> i </w:t>
      </w:r>
      <w:r w:rsidR="00C53B35" w:rsidRPr="009B3899">
        <w:t xml:space="preserve">budgeten </w:t>
      </w:r>
      <w:r w:rsidRPr="009B3899">
        <w:t>under anslaget Bostadsbidrag</w:t>
      </w:r>
      <w:r w:rsidR="00C53B35" w:rsidRPr="009B3899">
        <w:t xml:space="preserve">, vars anslag nu uppgår till </w:t>
      </w:r>
      <w:r w:rsidR="00620AB2" w:rsidRPr="009B3899">
        <w:rPr>
          <w:bCs/>
          <w:color w:val="000000"/>
          <w:szCs w:val="24"/>
        </w:rPr>
        <w:t>4 353</w:t>
      </w:r>
      <w:r w:rsidRPr="009B3899">
        <w:rPr>
          <w:bCs/>
          <w:color w:val="000000"/>
          <w:szCs w:val="24"/>
        </w:rPr>
        <w:t> </w:t>
      </w:r>
      <w:r w:rsidR="00620AB2" w:rsidRPr="009B3899">
        <w:rPr>
          <w:bCs/>
          <w:color w:val="000000"/>
          <w:szCs w:val="24"/>
        </w:rPr>
        <w:t>000</w:t>
      </w:r>
      <w:r w:rsidRPr="009B3899">
        <w:rPr>
          <w:bCs/>
          <w:color w:val="000000"/>
          <w:szCs w:val="24"/>
        </w:rPr>
        <w:t xml:space="preserve"> kr</w:t>
      </w:r>
      <w:r w:rsidR="00C53B35" w:rsidRPr="009B3899">
        <w:rPr>
          <w:bCs/>
          <w:color w:val="000000"/>
          <w:szCs w:val="24"/>
        </w:rPr>
        <w:t>.</w:t>
      </w:r>
    </w:p>
    <w:p w:rsidR="001028C5" w:rsidRPr="009B3899" w:rsidRDefault="001028C5">
      <w:pPr>
        <w:pStyle w:val="Rubrik2"/>
        <w:shd w:val="clear" w:color="000000" w:fill="auto"/>
      </w:pPr>
      <w:bookmarkStart w:id="14" w:name="_Toc179614104"/>
      <w:r w:rsidRPr="009B3899">
        <w:t>Bostadskreditnämndens (BKN) kreditgarantier</w:t>
      </w:r>
      <w:bookmarkEnd w:id="14"/>
    </w:p>
    <w:p w:rsidR="001028C5" w:rsidRPr="009B3899" w:rsidRDefault="001028C5">
      <w:pPr>
        <w:shd w:val="clear" w:color="000000" w:fill="auto"/>
      </w:pPr>
      <w:r w:rsidRPr="009B3899">
        <w:t>Det finns i dag ett uppdämt behov av att bygga nytt på landsbygden men det hindras av kreditbestämmelser och ängsliga banker som inte vill ha några förluster – åtminstone inte på landsbygden. Sedan januari har Bostadskredi</w:t>
      </w:r>
      <w:r w:rsidRPr="009B3899">
        <w:t>t</w:t>
      </w:r>
      <w:r w:rsidRPr="009B3899">
        <w:t>nämnden (BKN) ett regleringsbrev som säger att myndigheten ska underlätta byggande av egnahem i glesbygd.</w:t>
      </w:r>
    </w:p>
    <w:p w:rsidR="001028C5" w:rsidRPr="009B3899" w:rsidRDefault="001028C5">
      <w:pPr>
        <w:pStyle w:val="Normaltindrag"/>
        <w:shd w:val="clear" w:color="000000" w:fill="auto"/>
        <w:rPr>
          <w:rStyle w:val="A5"/>
          <w:rFonts w:ascii="Times New Roman" w:hAnsi="Times New Roman" w:cs="Times New Roman"/>
          <w:sz w:val="19"/>
          <w:szCs w:val="19"/>
        </w:rPr>
      </w:pPr>
      <w:r w:rsidRPr="009B3899">
        <w:rPr>
          <w:szCs w:val="19"/>
        </w:rPr>
        <w:t xml:space="preserve">BKN har själv överlämnat ett </w:t>
      </w:r>
      <w:r w:rsidRPr="009B3899">
        <w:rPr>
          <w:rStyle w:val="A5"/>
          <w:rFonts w:ascii="Times New Roman" w:hAnsi="Times New Roman" w:cs="Times New Roman"/>
          <w:sz w:val="19"/>
          <w:szCs w:val="19"/>
        </w:rPr>
        <w:t xml:space="preserve">förslag på </w:t>
      </w:r>
      <w:r w:rsidR="008253B2" w:rsidRPr="009B3899">
        <w:rPr>
          <w:rStyle w:val="A5"/>
          <w:rFonts w:ascii="Times New Roman" w:hAnsi="Times New Roman" w:cs="Times New Roman"/>
          <w:sz w:val="19"/>
          <w:szCs w:val="19"/>
        </w:rPr>
        <w:t xml:space="preserve">hur </w:t>
      </w:r>
      <w:r w:rsidRPr="009B3899">
        <w:rPr>
          <w:rStyle w:val="A5"/>
          <w:rFonts w:ascii="Times New Roman" w:hAnsi="Times New Roman" w:cs="Times New Roman"/>
          <w:sz w:val="19"/>
          <w:szCs w:val="19"/>
        </w:rPr>
        <w:t>myndigheten s</w:t>
      </w:r>
      <w:r w:rsidR="008253B2" w:rsidRPr="009B3899">
        <w:rPr>
          <w:rStyle w:val="A5"/>
          <w:rFonts w:ascii="Times New Roman" w:hAnsi="Times New Roman" w:cs="Times New Roman"/>
          <w:sz w:val="19"/>
          <w:szCs w:val="19"/>
        </w:rPr>
        <w:t>ka kunna ful</w:t>
      </w:r>
      <w:r w:rsidR="008253B2" w:rsidRPr="009B3899">
        <w:rPr>
          <w:rStyle w:val="A5"/>
          <w:rFonts w:ascii="Times New Roman" w:hAnsi="Times New Roman" w:cs="Times New Roman"/>
          <w:sz w:val="19"/>
          <w:szCs w:val="19"/>
        </w:rPr>
        <w:t>l</w:t>
      </w:r>
      <w:r w:rsidR="008253B2" w:rsidRPr="009B3899">
        <w:rPr>
          <w:rStyle w:val="A5"/>
          <w:rFonts w:ascii="Times New Roman" w:hAnsi="Times New Roman" w:cs="Times New Roman"/>
          <w:sz w:val="19"/>
          <w:szCs w:val="19"/>
        </w:rPr>
        <w:t>följa uppdraget, d</w:t>
      </w:r>
      <w:r w:rsidRPr="009B3899">
        <w:rPr>
          <w:rStyle w:val="A5"/>
          <w:rFonts w:ascii="Times New Roman" w:hAnsi="Times New Roman" w:cs="Times New Roman"/>
          <w:sz w:val="19"/>
          <w:szCs w:val="19"/>
        </w:rPr>
        <w:t>vs</w:t>
      </w:r>
      <w:r w:rsidR="0024065C" w:rsidRPr="009B3899">
        <w:rPr>
          <w:rStyle w:val="A5"/>
          <w:rFonts w:ascii="Times New Roman" w:hAnsi="Times New Roman" w:cs="Times New Roman"/>
          <w:sz w:val="19"/>
          <w:szCs w:val="19"/>
        </w:rPr>
        <w:t>.</w:t>
      </w:r>
      <w:r w:rsidRPr="009B3899">
        <w:rPr>
          <w:rStyle w:val="A5"/>
          <w:rFonts w:ascii="Times New Roman" w:hAnsi="Times New Roman" w:cs="Times New Roman"/>
          <w:sz w:val="19"/>
          <w:szCs w:val="19"/>
        </w:rPr>
        <w:t xml:space="preserve"> hur kreditgarantier kan underlätta för den som bygger egnahem i glesbygd.</w:t>
      </w:r>
    </w:p>
    <w:p w:rsidR="00407C89" w:rsidRPr="009B3899" w:rsidRDefault="001028C5">
      <w:pPr>
        <w:pStyle w:val="Normaltindrag"/>
        <w:shd w:val="clear" w:color="000000" w:fill="auto"/>
        <w:rPr>
          <w:rStyle w:val="A5"/>
          <w:rFonts w:ascii="Times New Roman" w:hAnsi="Times New Roman" w:cs="Times New Roman"/>
          <w:sz w:val="19"/>
          <w:szCs w:val="19"/>
        </w:rPr>
      </w:pPr>
      <w:r w:rsidRPr="009B3899">
        <w:rPr>
          <w:szCs w:val="19"/>
        </w:rPr>
        <w:t xml:space="preserve">Förslaget ligger i linje med Vänsterpartiets syn i frågan, att reglerna ändras så att kreditgarantin alltid omfattar en produktionskostnad upp till 1,5 miljoner kronor. Detta innebär enligt BKN </w:t>
      </w:r>
      <w:r w:rsidRPr="009B3899">
        <w:rPr>
          <w:rStyle w:val="A5"/>
          <w:rFonts w:ascii="Times New Roman" w:hAnsi="Times New Roman" w:cs="Times New Roman"/>
          <w:sz w:val="19"/>
          <w:szCs w:val="19"/>
        </w:rPr>
        <w:t>att kreditgarantier ska kunna lämnas upp till ett belopp som motsvarar 150</w:t>
      </w:r>
      <w:r w:rsidR="005373DA" w:rsidRPr="009B3899">
        <w:rPr>
          <w:szCs w:val="19"/>
        </w:rPr>
        <w:t> </w:t>
      </w:r>
      <w:r w:rsidRPr="009B3899">
        <w:rPr>
          <w:rStyle w:val="A5"/>
          <w:rFonts w:ascii="Times New Roman" w:hAnsi="Times New Roman" w:cs="Times New Roman"/>
          <w:sz w:val="19"/>
          <w:szCs w:val="19"/>
        </w:rPr>
        <w:t>% av bidragsunderlaget vid ny- eller ombyggnad av egnahem på land</w:t>
      </w:r>
      <w:r w:rsidR="0024065C" w:rsidRPr="009B3899">
        <w:rPr>
          <w:rStyle w:val="A5"/>
          <w:rFonts w:ascii="Times New Roman" w:hAnsi="Times New Roman" w:cs="Times New Roman"/>
          <w:sz w:val="19"/>
          <w:szCs w:val="19"/>
        </w:rPr>
        <w:t>s</w:t>
      </w:r>
      <w:r w:rsidRPr="009B3899">
        <w:rPr>
          <w:rStyle w:val="A5"/>
          <w:rFonts w:ascii="Times New Roman" w:hAnsi="Times New Roman" w:cs="Times New Roman"/>
          <w:sz w:val="19"/>
          <w:szCs w:val="19"/>
        </w:rPr>
        <w:t>bygden. BKN kan redan i</w:t>
      </w:r>
      <w:r w:rsidR="00057183" w:rsidRPr="009B3899">
        <w:rPr>
          <w:rStyle w:val="A5"/>
          <w:rFonts w:ascii="Times New Roman" w:hAnsi="Times New Roman" w:cs="Times New Roman"/>
          <w:sz w:val="19"/>
          <w:szCs w:val="19"/>
        </w:rPr>
        <w:t xml:space="preserve"> </w:t>
      </w:r>
      <w:r w:rsidRPr="009B3899">
        <w:rPr>
          <w:rStyle w:val="A5"/>
          <w:rFonts w:ascii="Times New Roman" w:hAnsi="Times New Roman" w:cs="Times New Roman"/>
          <w:sz w:val="19"/>
          <w:szCs w:val="19"/>
        </w:rPr>
        <w:t>dag lämna garantier för lån över marknadsvärdet.</w:t>
      </w:r>
      <w:r w:rsidR="002E63FA" w:rsidRPr="009B3899">
        <w:rPr>
          <w:rStyle w:val="A5"/>
          <w:rFonts w:ascii="Times New Roman" w:hAnsi="Times New Roman" w:cs="Times New Roman"/>
          <w:sz w:val="19"/>
          <w:szCs w:val="19"/>
        </w:rPr>
        <w:t xml:space="preserve"> </w:t>
      </w:r>
      <w:r w:rsidRPr="009B3899">
        <w:rPr>
          <w:rStyle w:val="A5"/>
          <w:rFonts w:ascii="Times New Roman" w:hAnsi="Times New Roman" w:cs="Times New Roman"/>
          <w:sz w:val="19"/>
          <w:szCs w:val="19"/>
        </w:rPr>
        <w:t>Förslaget innebär en väsentlig förbät</w:t>
      </w:r>
      <w:r w:rsidRPr="009B3899">
        <w:rPr>
          <w:rStyle w:val="A5"/>
          <w:rFonts w:ascii="Times New Roman" w:hAnsi="Times New Roman" w:cs="Times New Roman"/>
          <w:sz w:val="19"/>
          <w:szCs w:val="19"/>
        </w:rPr>
        <w:t>t</w:t>
      </w:r>
      <w:r w:rsidRPr="009B3899">
        <w:rPr>
          <w:rStyle w:val="A5"/>
          <w:rFonts w:ascii="Times New Roman" w:hAnsi="Times New Roman" w:cs="Times New Roman"/>
          <w:sz w:val="19"/>
          <w:szCs w:val="19"/>
        </w:rPr>
        <w:t>ring för att man på landsbygden ska kunna bygga nya egnahem med bra f</w:t>
      </w:r>
      <w:r w:rsidRPr="009B3899">
        <w:rPr>
          <w:rStyle w:val="A5"/>
          <w:rFonts w:ascii="Times New Roman" w:hAnsi="Times New Roman" w:cs="Times New Roman"/>
          <w:sz w:val="19"/>
          <w:szCs w:val="19"/>
        </w:rPr>
        <w:t>i</w:t>
      </w:r>
      <w:r w:rsidRPr="009B3899">
        <w:rPr>
          <w:rStyle w:val="A5"/>
          <w:rFonts w:ascii="Times New Roman" w:hAnsi="Times New Roman" w:cs="Times New Roman"/>
          <w:sz w:val="19"/>
          <w:szCs w:val="19"/>
        </w:rPr>
        <w:t>nansiering. Vänsterpartiet avsätter 50 miljoner kronor per år för att täcka de ökade kostnader som förslaget innebär.</w:t>
      </w:r>
    </w:p>
    <w:p w:rsidR="00407C89" w:rsidRPr="009B3899" w:rsidRDefault="00407C89">
      <w:pPr>
        <w:pStyle w:val="Rubrik2"/>
        <w:shd w:val="clear" w:color="000000" w:fill="auto"/>
      </w:pPr>
      <w:bookmarkStart w:id="15" w:name="_Toc179614105"/>
      <w:r w:rsidRPr="009B3899">
        <w:t xml:space="preserve">Konsumentverket, </w:t>
      </w:r>
      <w:r w:rsidR="0024065C" w:rsidRPr="009B3899">
        <w:t>Kilen</w:t>
      </w:r>
      <w:bookmarkEnd w:id="15"/>
    </w:p>
    <w:p w:rsidR="00407C89" w:rsidRPr="009B3899" w:rsidRDefault="00407C89">
      <w:pPr>
        <w:shd w:val="clear" w:color="000000" w:fill="auto"/>
      </w:pPr>
      <w:r w:rsidRPr="009B3899">
        <w:t>Konsumen</w:t>
      </w:r>
      <w:r w:rsidR="0024065C" w:rsidRPr="009B3899">
        <w:t>föreningen läkemedel och h</w:t>
      </w:r>
      <w:r w:rsidRPr="009B3899">
        <w:t>älsa (</w:t>
      </w:r>
      <w:r w:rsidR="0024065C" w:rsidRPr="009B3899">
        <w:t>Kilen</w:t>
      </w:r>
      <w:r w:rsidRPr="009B3899">
        <w:t>) grundades 1992. Syftet med verksamheten är att ge råd, stöd och behandling för människor drabbade av läkemedelsberoende och andra biverkningar samt att sprida kunskaper om läkemedel och läkemedelsbiverkningar. Dessvärre har den borgerliga rege</w:t>
      </w:r>
      <w:r w:rsidRPr="009B3899">
        <w:t>r</w:t>
      </w:r>
      <w:r w:rsidRPr="009B3899">
        <w:t xml:space="preserve">ingen valt att dra in </w:t>
      </w:r>
      <w:r w:rsidR="0024065C" w:rsidRPr="009B3899">
        <w:t>Kilen</w:t>
      </w:r>
      <w:r w:rsidRPr="009B3899">
        <w:t>s anslag</w:t>
      </w:r>
      <w:r w:rsidR="0024065C" w:rsidRPr="009B3899">
        <w:t>,</w:t>
      </w:r>
      <w:r w:rsidRPr="009B3899">
        <w:t xml:space="preserve"> vilket</w:t>
      </w:r>
      <w:r w:rsidR="00245B92" w:rsidRPr="009B3899">
        <w:t xml:space="preserve"> drabbat verksamheten negativt.</w:t>
      </w:r>
    </w:p>
    <w:p w:rsidR="00407C89" w:rsidRPr="009B3899" w:rsidRDefault="0024065C">
      <w:pPr>
        <w:pStyle w:val="Normaltindrag"/>
        <w:shd w:val="clear" w:color="000000" w:fill="auto"/>
        <w:rPr>
          <w:bCs/>
        </w:rPr>
      </w:pPr>
      <w:r w:rsidRPr="009B3899">
        <w:rPr>
          <w:bCs/>
        </w:rPr>
        <w:t>Kilen</w:t>
      </w:r>
      <w:r w:rsidR="00407C89" w:rsidRPr="009B3899">
        <w:rPr>
          <w:bCs/>
        </w:rPr>
        <w:t>s</w:t>
      </w:r>
      <w:r w:rsidR="0097770D" w:rsidRPr="009B3899">
        <w:rPr>
          <w:bCs/>
        </w:rPr>
        <w:t xml:space="preserve"> </w:t>
      </w:r>
      <w:r w:rsidR="00407C89" w:rsidRPr="009B3899">
        <w:rPr>
          <w:bCs/>
        </w:rPr>
        <w:t>arbete är särskilt betydelsefullt i vårt moderna samhälle där läk</w:t>
      </w:r>
      <w:r w:rsidR="00407C89" w:rsidRPr="009B3899">
        <w:rPr>
          <w:bCs/>
        </w:rPr>
        <w:t>e</w:t>
      </w:r>
      <w:r w:rsidR="00407C89" w:rsidRPr="009B3899">
        <w:rPr>
          <w:bCs/>
        </w:rPr>
        <w:t xml:space="preserve">medelsindustrin satsar enorma belopp på reklam för att försöka få oss att konsumera mer läkemedel. Det behövs oberoende röster så att det inte enbart blir det kommersiella intresset som styr läkemedelsanvändningen. Därför har Vänsterpartiet i budgetförhandlingarna med den tidigare socialdemokratiska regeringen värnat anslagen till </w:t>
      </w:r>
      <w:r w:rsidRPr="009B3899">
        <w:rPr>
          <w:bCs/>
        </w:rPr>
        <w:t>Kilen</w:t>
      </w:r>
      <w:r w:rsidR="00407C89" w:rsidRPr="009B3899">
        <w:rPr>
          <w:bCs/>
        </w:rPr>
        <w:t xml:space="preserve">. Vänsterpartiet föreslår därför att </w:t>
      </w:r>
      <w:r w:rsidRPr="009B3899">
        <w:rPr>
          <w:bCs/>
        </w:rPr>
        <w:t>Kilen</w:t>
      </w:r>
      <w:r w:rsidR="00407C89" w:rsidRPr="009B3899">
        <w:rPr>
          <w:bCs/>
        </w:rPr>
        <w:t>s verksamhet ska införlivas i Konsumentverket. För detta ändamål avsätter vi 3 miljoner</w:t>
      </w:r>
      <w:r w:rsidRPr="009B3899">
        <w:rPr>
          <w:bCs/>
        </w:rPr>
        <w:t xml:space="preserve"> kronor</w:t>
      </w:r>
      <w:r w:rsidR="00407C89" w:rsidRPr="009B3899">
        <w:rPr>
          <w:bCs/>
        </w:rPr>
        <w:t>.</w:t>
      </w:r>
    </w:p>
    <w:p w:rsidR="00407C89" w:rsidRPr="009B3899" w:rsidRDefault="00407C89">
      <w:pPr>
        <w:pStyle w:val="Rubrik2"/>
        <w:shd w:val="clear" w:color="000000" w:fill="auto"/>
      </w:pPr>
      <w:bookmarkStart w:id="16" w:name="_Toc179614106"/>
      <w:r w:rsidRPr="009B3899">
        <w:t>Konsumentvägledare för kommunerna</w:t>
      </w:r>
      <w:bookmarkEnd w:id="16"/>
    </w:p>
    <w:p w:rsidR="00245B92" w:rsidRPr="009B3899" w:rsidRDefault="00407C89">
      <w:pPr>
        <w:shd w:val="clear" w:color="000000" w:fill="auto"/>
        <w:rPr>
          <w:rStyle w:val="NormaltindragChar"/>
        </w:rPr>
      </w:pPr>
      <w:r w:rsidRPr="009B3899">
        <w:rPr>
          <w:rStyle w:val="NormaltindragChar"/>
        </w:rPr>
        <w:t>Konsumenterna förlorar ca 20 miljarder kronor per år till följd av bristande upplysning och dåliga köp. Värst drabbas redan utsatta grupper som låg</w:t>
      </w:r>
      <w:r w:rsidR="00B85AC1" w:rsidRPr="009B3899">
        <w:rPr>
          <w:rStyle w:val="NormaltindragChar"/>
        </w:rPr>
        <w:softHyphen/>
      </w:r>
      <w:r w:rsidRPr="009B3899">
        <w:rPr>
          <w:rStyle w:val="NormaltindragChar"/>
        </w:rPr>
        <w:t>inkomsttagare, arbetslösa, ungdomar och ekonomiskt svaga grupper som pensionärer och invandrade. För ett hushåll med låg disponibel inkomst, t</w:t>
      </w:r>
      <w:r w:rsidR="0024065C" w:rsidRPr="009B3899">
        <w:rPr>
          <w:rStyle w:val="NormaltindragChar"/>
        </w:rPr>
        <w:t>.</w:t>
      </w:r>
      <w:r w:rsidRPr="009B3899">
        <w:rPr>
          <w:rStyle w:val="NormaltindragChar"/>
        </w:rPr>
        <w:t>ex</w:t>
      </w:r>
      <w:r w:rsidR="0024065C" w:rsidRPr="009B3899">
        <w:rPr>
          <w:rStyle w:val="NormaltindragChar"/>
        </w:rPr>
        <w:t>.</w:t>
      </w:r>
      <w:r w:rsidRPr="009B3899">
        <w:rPr>
          <w:rStyle w:val="NormaltindragChar"/>
        </w:rPr>
        <w:t xml:space="preserve"> för en ensamstående kvinna med barn, får ett köp av en produkt eller en tjänst som visar sig vara ett dåligt val mycket större konsekvenser än för en familj med hög disponibel inkomst.</w:t>
      </w:r>
    </w:p>
    <w:p w:rsidR="00245B92" w:rsidRPr="009B3899" w:rsidRDefault="00407C89">
      <w:pPr>
        <w:pStyle w:val="Normaltindrag"/>
        <w:shd w:val="clear" w:color="000000" w:fill="auto"/>
      </w:pPr>
      <w:r w:rsidRPr="009B3899">
        <w:t>Vi föreslår en satsning på kommunala konsumentvägledare eftersom vi a</w:t>
      </w:r>
      <w:r w:rsidRPr="009B3899">
        <w:t>n</w:t>
      </w:r>
      <w:r w:rsidRPr="009B3899">
        <w:t>ser att deras arbete i kombination med den kommunala budget- och skuldrå</w:t>
      </w:r>
      <w:r w:rsidRPr="009B3899">
        <w:t>d</w:t>
      </w:r>
      <w:r w:rsidRPr="009B3899">
        <w:t>givningens insatser kan förebygga att människor fastnar i livslånga skuldfä</w:t>
      </w:r>
      <w:r w:rsidRPr="009B3899">
        <w:t>l</w:t>
      </w:r>
      <w:r w:rsidRPr="009B3899">
        <w:t>lor. Den förra regeringen tillsatte en utredning i syfte att se över den komm</w:t>
      </w:r>
      <w:r w:rsidRPr="009B3899">
        <w:t>u</w:t>
      </w:r>
      <w:r w:rsidRPr="009B3899">
        <w:t xml:space="preserve">nala konsumentvägledningen </w:t>
      </w:r>
      <w:r w:rsidR="0024065C" w:rsidRPr="009B3899">
        <w:t>oc</w:t>
      </w:r>
      <w:r w:rsidRPr="009B3899">
        <w:t>h ge förslag på hur en hög och likvärdig nivå på denna kan uppnås i hela landet (dir. 2006:52). De borgerliga partierna är dock av den uppfattningen att det bör vara upp till respektive kommun att bestämma om konsumentvägledning eller inte (bet. 2005/06:LU33 s.</w:t>
      </w:r>
      <w:r w:rsidR="002459F9" w:rsidRPr="009B3899">
        <w:t xml:space="preserve"> </w:t>
      </w:r>
      <w:r w:rsidRPr="009B3899">
        <w:t>63).</w:t>
      </w:r>
    </w:p>
    <w:p w:rsidR="00596D5E" w:rsidRPr="009B3899" w:rsidRDefault="00407C89">
      <w:pPr>
        <w:pStyle w:val="Normaltindrag"/>
        <w:shd w:val="clear" w:color="000000" w:fill="auto"/>
      </w:pPr>
      <w:r w:rsidRPr="009B3899">
        <w:t>För att garantera alla människors tillgång till god konsumentvägledning vill vi genom en lagändring i kombination med ett riktat stöd till kommunerna som administreras av Konsumentverket göra konsumentvägledningen till ett obligatorium för 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3899">
        <w:trPr>
          <w:cantSplit/>
        </w:trPr>
        <w:tc>
          <w:tcPr>
            <w:tcW w:w="3046" w:type="dxa"/>
          </w:tcPr>
          <w:p w:rsidR="00B071E8" w:rsidRPr="009B3899" w:rsidRDefault="00B071E8">
            <w:pPr>
              <w:pStyle w:val="UnderskriftDatum"/>
              <w:shd w:val="clear" w:color="000000" w:fill="auto"/>
              <w:spacing w:before="240"/>
            </w:pPr>
            <w:r w:rsidRPr="009B3899">
              <w:t>Stockholm den 3 oktober 2007</w:t>
            </w:r>
          </w:p>
        </w:tc>
        <w:tc>
          <w:tcPr>
            <w:tcW w:w="3047" w:type="dxa"/>
          </w:tcPr>
          <w:p w:rsidR="00B071E8" w:rsidRPr="009B3899" w:rsidRDefault="00B071E8">
            <w:pPr>
              <w:pStyle w:val="Underskrifter"/>
              <w:shd w:val="clear" w:color="000000" w:fill="auto"/>
              <w:spacing w:before="240"/>
            </w:pPr>
          </w:p>
        </w:tc>
      </w:tr>
      <w:tr w:rsidR="00000000" w:rsidRPr="009B3899">
        <w:trPr>
          <w:cantSplit/>
        </w:trPr>
        <w:tc>
          <w:tcPr>
            <w:tcW w:w="3046" w:type="dxa"/>
          </w:tcPr>
          <w:p w:rsidR="00B071E8" w:rsidRPr="009B3899" w:rsidRDefault="00B071E8">
            <w:pPr>
              <w:pStyle w:val="Underskrifter"/>
              <w:shd w:val="clear" w:color="000000" w:fill="auto"/>
            </w:pPr>
            <w:r w:rsidRPr="009B3899">
              <w:t>Lars Ohly (v)</w:t>
            </w:r>
          </w:p>
        </w:tc>
        <w:tc>
          <w:tcPr>
            <w:tcW w:w="3046" w:type="dxa"/>
          </w:tcPr>
          <w:p w:rsidR="00B071E8" w:rsidRPr="009B3899" w:rsidRDefault="00B071E8">
            <w:pPr>
              <w:pStyle w:val="Underskrifter"/>
              <w:shd w:val="clear" w:color="000000" w:fill="auto"/>
            </w:pPr>
          </w:p>
        </w:tc>
      </w:tr>
      <w:tr w:rsidR="00000000" w:rsidRPr="009B3899">
        <w:trPr>
          <w:cantSplit/>
        </w:trPr>
        <w:tc>
          <w:tcPr>
            <w:tcW w:w="3046" w:type="dxa"/>
          </w:tcPr>
          <w:p w:rsidR="00B071E8" w:rsidRPr="009B3899" w:rsidRDefault="00B071E8">
            <w:pPr>
              <w:pStyle w:val="Underskrifter"/>
              <w:shd w:val="clear" w:color="000000" w:fill="auto"/>
            </w:pPr>
            <w:r w:rsidRPr="009B3899">
              <w:t>Marianne Berg (v)</w:t>
            </w:r>
          </w:p>
        </w:tc>
        <w:tc>
          <w:tcPr>
            <w:tcW w:w="3046" w:type="dxa"/>
          </w:tcPr>
          <w:p w:rsidR="00B071E8" w:rsidRPr="009B3899" w:rsidRDefault="00B071E8">
            <w:pPr>
              <w:pStyle w:val="Underskrifter"/>
              <w:shd w:val="clear" w:color="000000" w:fill="auto"/>
            </w:pPr>
            <w:r w:rsidRPr="009B3899">
              <w:t>Wiwi-Anne Johansson (v)</w:t>
            </w:r>
          </w:p>
        </w:tc>
      </w:tr>
      <w:tr w:rsidR="00000000" w:rsidRPr="009B3899">
        <w:trPr>
          <w:cantSplit/>
        </w:trPr>
        <w:tc>
          <w:tcPr>
            <w:tcW w:w="3046" w:type="dxa"/>
          </w:tcPr>
          <w:p w:rsidR="00B071E8" w:rsidRPr="009B3899" w:rsidRDefault="00B071E8">
            <w:pPr>
              <w:pStyle w:val="Underskrifter"/>
              <w:shd w:val="clear" w:color="000000" w:fill="auto"/>
            </w:pPr>
            <w:r w:rsidRPr="009B3899">
              <w:t>Hans Linde (v)</w:t>
            </w:r>
          </w:p>
        </w:tc>
        <w:tc>
          <w:tcPr>
            <w:tcW w:w="3046" w:type="dxa"/>
          </w:tcPr>
          <w:p w:rsidR="00B071E8" w:rsidRPr="009B3899" w:rsidRDefault="00B071E8">
            <w:pPr>
              <w:pStyle w:val="Underskrifter"/>
              <w:shd w:val="clear" w:color="000000" w:fill="auto"/>
            </w:pPr>
            <w:r w:rsidRPr="009B3899">
              <w:t>Elina Linna (v)</w:t>
            </w:r>
          </w:p>
        </w:tc>
      </w:tr>
      <w:tr w:rsidR="00000000" w:rsidRPr="009B3899">
        <w:trPr>
          <w:cantSplit/>
        </w:trPr>
        <w:tc>
          <w:tcPr>
            <w:tcW w:w="3046" w:type="dxa"/>
          </w:tcPr>
          <w:p w:rsidR="00B071E8" w:rsidRPr="009B3899" w:rsidRDefault="00B071E8">
            <w:pPr>
              <w:pStyle w:val="Underskrifter"/>
              <w:shd w:val="clear" w:color="000000" w:fill="auto"/>
            </w:pPr>
            <w:r w:rsidRPr="009B3899">
              <w:t>Kent Persson (v)</w:t>
            </w:r>
          </w:p>
        </w:tc>
        <w:tc>
          <w:tcPr>
            <w:tcW w:w="3046" w:type="dxa"/>
          </w:tcPr>
          <w:p w:rsidR="00B071E8" w:rsidRPr="009B3899" w:rsidRDefault="00B071E8">
            <w:pPr>
              <w:pStyle w:val="Underskrifter"/>
              <w:shd w:val="clear" w:color="000000" w:fill="auto"/>
            </w:pPr>
            <w:r w:rsidRPr="009B3899">
              <w:t>Alice Åström (v)</w:t>
            </w:r>
          </w:p>
        </w:tc>
      </w:tr>
      <w:tr w:rsidR="00000000" w:rsidRPr="009B3899">
        <w:trPr>
          <w:cantSplit/>
        </w:trPr>
        <w:tc>
          <w:tcPr>
            <w:tcW w:w="3046" w:type="dxa"/>
          </w:tcPr>
          <w:p w:rsidR="00B071E8" w:rsidRPr="009B3899" w:rsidRDefault="00B071E8">
            <w:pPr>
              <w:pStyle w:val="Underskrifter"/>
              <w:shd w:val="clear" w:color="000000" w:fill="auto"/>
            </w:pPr>
            <w:r w:rsidRPr="009B3899">
              <w:t>Egon Frid (v)</w:t>
            </w:r>
          </w:p>
        </w:tc>
        <w:tc>
          <w:tcPr>
            <w:tcW w:w="3046" w:type="dxa"/>
          </w:tcPr>
          <w:p w:rsidR="00B071E8" w:rsidRPr="009B3899" w:rsidRDefault="00B071E8">
            <w:pPr>
              <w:pStyle w:val="Underskrifter"/>
              <w:shd w:val="clear" w:color="000000" w:fill="auto"/>
            </w:pPr>
          </w:p>
        </w:tc>
      </w:tr>
    </w:tbl>
    <w:p w:rsidR="00687C7B" w:rsidRPr="009B3899" w:rsidRDefault="00687C7B">
      <w:pPr>
        <w:pStyle w:val="Normaltindrag"/>
        <w:shd w:val="clear" w:color="000000" w:fill="auto"/>
      </w:pPr>
    </w:p>
    <w:sectPr w:rsidR="00687C7B" w:rsidRPr="009B3899" w:rsidSect="002406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1E8" w:rsidRPr="009B3899" w:rsidRDefault="00B071E8">
      <w:r w:rsidRPr="009B3899">
        <w:separator/>
      </w:r>
    </w:p>
  </w:endnote>
  <w:endnote w:type="continuationSeparator" w:id="0">
    <w:p w:rsidR="00B071E8" w:rsidRPr="009B3899" w:rsidRDefault="00B071E8">
      <w:r w:rsidRPr="009B38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w:altName w:val="Frutiger"/>
    <w:panose1 w:val="00000000000000000000"/>
    <w:charset w:val="00"/>
    <w:family w:val="auto"/>
    <w:notTrueType/>
    <w:pitch w:val="default"/>
    <w:sig w:usb0="00000003" w:usb1="00000000" w:usb2="00000000" w:usb3="00000000" w:csb0="00000001" w:csb1="00000000"/>
  </w:font>
  <w:font w:name="AOKOP A+ T T 185 Bo 00">
    <w:altName w:val="T T 18 5 B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DRGUD+BosisMedium">
    <w:altName w:val="Bosis Medium"/>
    <w:panose1 w:val="00000000000000000000"/>
    <w:charset w:val="00"/>
    <w:family w:val="swiss"/>
    <w:notTrueType/>
    <w:pitch w:val="default"/>
    <w:sig w:usb0="00000003" w:usb1="00000000" w:usb2="00000000" w:usb3="00000000" w:csb0="00000001" w:csb1="00000000"/>
  </w:font>
  <w:font w:name="PNXUSH+ACaslon-Regular">
    <w:altName w:val="Caslo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65C" w:rsidRPr="009B3899" w:rsidRDefault="009B3899" w:rsidP="0024065C">
    <w:pPr>
      <w:pStyle w:val="Sidfot"/>
    </w:pPr>
    <w:r w:rsidRPr="009B38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98379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65C" w:rsidRDefault="00B071E8">
                          <w:pPr>
                            <w:pStyle w:val="NormalS5sidnrV"/>
                          </w:pPr>
                          <w:r>
                            <w:fldChar w:fldCharType="begin"/>
                          </w:r>
                          <w:r w:rsidR="0024065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65C" w:rsidRDefault="00B071E8">
                    <w:pPr>
                      <w:pStyle w:val="NormalS5sidnrV"/>
                    </w:pPr>
                    <w:r>
                      <w:fldChar w:fldCharType="begin"/>
                    </w:r>
                    <w:r w:rsidR="0024065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65C" w:rsidRPr="009B3899" w:rsidRDefault="009B3899" w:rsidP="0024065C">
    <w:pPr>
      <w:pStyle w:val="Sidfot"/>
    </w:pPr>
    <w:r w:rsidRPr="009B38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5000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65C" w:rsidRDefault="00B071E8">
                          <w:pPr>
                            <w:pStyle w:val="NormalS5sidnrH"/>
                            <w:ind w:right="0"/>
                          </w:pPr>
                          <w:r>
                            <w:fldChar w:fldCharType="begin"/>
                          </w:r>
                          <w:r w:rsidR="0024065C">
                            <w:instrText xml:space="preserve"> PAGE *\charformat</w:instrText>
                          </w:r>
                          <w:r>
                            <w:fldChar w:fldCharType="separate"/>
                          </w:r>
                          <w:r w:rsidR="002459F9">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65C" w:rsidRDefault="00B071E8">
                    <w:pPr>
                      <w:pStyle w:val="NormalS5sidnrH"/>
                      <w:ind w:right="0"/>
                    </w:pPr>
                    <w:r>
                      <w:fldChar w:fldCharType="begin"/>
                    </w:r>
                    <w:r w:rsidR="0024065C">
                      <w:instrText xml:space="preserve"> PAGE *\charformat</w:instrText>
                    </w:r>
                    <w:r>
                      <w:fldChar w:fldCharType="separate"/>
                    </w:r>
                    <w:r w:rsidR="002459F9">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65C" w:rsidRPr="009B3899" w:rsidRDefault="009B3899" w:rsidP="0024065C">
    <w:pPr>
      <w:pStyle w:val="Sidfot"/>
    </w:pPr>
    <w:r w:rsidRPr="009B38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315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65C" w:rsidRDefault="00B071E8">
                          <w:pPr>
                            <w:pStyle w:val="NormalS5sidnrH"/>
                            <w:ind w:right="0"/>
                          </w:pPr>
                          <w:r>
                            <w:fldChar w:fldCharType="begin"/>
                          </w:r>
                          <w:r w:rsidR="0024065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65C" w:rsidRDefault="00B071E8">
                    <w:pPr>
                      <w:pStyle w:val="NormalS5sidnrH"/>
                      <w:ind w:right="0"/>
                    </w:pPr>
                    <w:r>
                      <w:fldChar w:fldCharType="begin"/>
                    </w:r>
                    <w:r w:rsidR="0024065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1E8" w:rsidRPr="009B3899" w:rsidRDefault="00B071E8">
      <w:r w:rsidRPr="009B3899">
        <w:separator/>
      </w:r>
    </w:p>
  </w:footnote>
  <w:footnote w:type="continuationSeparator" w:id="0">
    <w:p w:rsidR="00B071E8" w:rsidRPr="009B3899" w:rsidRDefault="00B071E8">
      <w:r w:rsidRPr="009B38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65C" w:rsidRPr="009B3899" w:rsidRDefault="009B3899" w:rsidP="0024065C">
    <w:pPr>
      <w:pStyle w:val="Sidhuvud"/>
    </w:pPr>
    <w:r w:rsidRPr="009B38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9548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65C" w:rsidRDefault="00B071E8">
                          <w:pPr>
                            <w:pStyle w:val="KantRubrikS5V"/>
                          </w:pPr>
                          <w:r>
                            <w:fldChar w:fldCharType="begin"/>
                          </w:r>
                          <w:r w:rsidR="0024065C">
                            <w:instrText xml:space="preserve"> DOCPROPERTY "YearUser" *\charformat </w:instrText>
                          </w:r>
                          <w:r>
                            <w:fldChar w:fldCharType="separate"/>
                          </w:r>
                          <w:r w:rsidR="002459F9">
                            <w:t>2007/08</w:t>
                          </w:r>
                          <w:r>
                            <w:fldChar w:fldCharType="end"/>
                          </w:r>
                          <w:r w:rsidR="0024065C">
                            <w:t>:</w:t>
                          </w:r>
                          <w:r>
                            <w:fldChar w:fldCharType="begin"/>
                          </w:r>
                          <w:r w:rsidR="0024065C">
                            <w:instrText xml:space="preserve"> DOCPROPERTY "Motionsnummer" *\charformat </w:instrText>
                          </w:r>
                          <w:r>
                            <w:fldChar w:fldCharType="separate"/>
                          </w:r>
                          <w:r w:rsidR="002459F9">
                            <w:t>C325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65C" w:rsidRDefault="00B071E8">
                    <w:pPr>
                      <w:pStyle w:val="KantRubrikS5V"/>
                    </w:pPr>
                    <w:r>
                      <w:fldChar w:fldCharType="begin"/>
                    </w:r>
                    <w:r w:rsidR="0024065C">
                      <w:instrText xml:space="preserve"> DOCPROPERTY "YearUser" *\charformat </w:instrText>
                    </w:r>
                    <w:r>
                      <w:fldChar w:fldCharType="separate"/>
                    </w:r>
                    <w:r w:rsidR="002459F9">
                      <w:t>2007/08</w:t>
                    </w:r>
                    <w:r>
                      <w:fldChar w:fldCharType="end"/>
                    </w:r>
                    <w:r w:rsidR="0024065C">
                      <w:t>:</w:t>
                    </w:r>
                    <w:r>
                      <w:fldChar w:fldCharType="begin"/>
                    </w:r>
                    <w:r w:rsidR="0024065C">
                      <w:instrText xml:space="preserve"> DOCPROPERTY "Motionsnummer" *\charformat </w:instrText>
                    </w:r>
                    <w:r>
                      <w:fldChar w:fldCharType="separate"/>
                    </w:r>
                    <w:r w:rsidR="002459F9">
                      <w:t>C325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65C" w:rsidRPr="009B3899" w:rsidRDefault="009B3899" w:rsidP="0024065C">
    <w:pPr>
      <w:pStyle w:val="Sidhuvud"/>
    </w:pPr>
    <w:r w:rsidRPr="009B38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752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65C" w:rsidRDefault="00B071E8">
                          <w:pPr>
                            <w:pStyle w:val="KantRubrikS5H"/>
                            <w:ind w:right="0"/>
                          </w:pPr>
                          <w:r>
                            <w:fldChar w:fldCharType="begin"/>
                          </w:r>
                          <w:r w:rsidR="0024065C">
                            <w:instrText xml:space="preserve"> DOCPROPERTY "YearUser" *\charformat </w:instrText>
                          </w:r>
                          <w:r>
                            <w:fldChar w:fldCharType="separate"/>
                          </w:r>
                          <w:r w:rsidR="002459F9">
                            <w:t>2007/08</w:t>
                          </w:r>
                          <w:r>
                            <w:fldChar w:fldCharType="end"/>
                          </w:r>
                          <w:r w:rsidR="0024065C">
                            <w:t>:</w:t>
                          </w:r>
                          <w:r>
                            <w:fldChar w:fldCharType="begin"/>
                          </w:r>
                          <w:r w:rsidR="0024065C">
                            <w:instrText xml:space="preserve"> DOCPROPERTY "Motionsnummer" *\charformat </w:instrText>
                          </w:r>
                          <w:r>
                            <w:fldChar w:fldCharType="separate"/>
                          </w:r>
                          <w:r w:rsidR="002459F9">
                            <w:t>C325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65C" w:rsidRDefault="00B071E8">
                    <w:pPr>
                      <w:pStyle w:val="KantRubrikS5H"/>
                      <w:ind w:right="0"/>
                    </w:pPr>
                    <w:r>
                      <w:fldChar w:fldCharType="begin"/>
                    </w:r>
                    <w:r w:rsidR="0024065C">
                      <w:instrText xml:space="preserve"> DOCPROPERTY "YearUser" *\charformat </w:instrText>
                    </w:r>
                    <w:r>
                      <w:fldChar w:fldCharType="separate"/>
                    </w:r>
                    <w:r w:rsidR="002459F9">
                      <w:t>2007/08</w:t>
                    </w:r>
                    <w:r>
                      <w:fldChar w:fldCharType="end"/>
                    </w:r>
                    <w:r w:rsidR="0024065C">
                      <w:t>:</w:t>
                    </w:r>
                    <w:r>
                      <w:fldChar w:fldCharType="begin"/>
                    </w:r>
                    <w:r w:rsidR="0024065C">
                      <w:instrText xml:space="preserve"> DOCPROPERTY "Motionsnummer" *\charformat </w:instrText>
                    </w:r>
                    <w:r>
                      <w:fldChar w:fldCharType="separate"/>
                    </w:r>
                    <w:r w:rsidR="002459F9">
                      <w:t>C325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1E8" w:rsidRPr="009B3899" w:rsidRDefault="00B071E8">
    <w:pPr>
      <w:pStyle w:val="FSHNormal"/>
      <w:tabs>
        <w:tab w:val="right" w:pos="5840"/>
      </w:tabs>
    </w:pPr>
    <w:r w:rsidRPr="009B3899">
      <w:br/>
    </w:r>
    <w:r w:rsidRPr="009B3899">
      <w:fldChar w:fldCharType="begin" w:fldLock="1"/>
    </w:r>
    <w:r w:rsidRPr="009B3899">
      <w:instrText xml:space="preserve"> DOCPROPERTY</w:instrText>
    </w:r>
    <w:r w:rsidRPr="009B3899">
      <w:rPr>
        <w:sz w:val="18"/>
      </w:rPr>
      <w:instrText xml:space="preserve"> "YearUser" *\charformat </w:instrText>
    </w:r>
    <w:r w:rsidRPr="009B3899">
      <w:fldChar w:fldCharType="separate"/>
    </w:r>
    <w:r w:rsidRPr="009B3899">
      <w:t>2007/08</w:t>
    </w:r>
    <w:r w:rsidRPr="009B3899">
      <w:fldChar w:fldCharType="end"/>
    </w:r>
    <w:r w:rsidRPr="009B3899">
      <w:t xml:space="preserve"> </w:t>
    </w:r>
    <w:r w:rsidRPr="009B3899">
      <w:tab/>
      <w:t xml:space="preserve">mnr: </w:t>
    </w:r>
    <w:r w:rsidRPr="009B3899">
      <w:fldChar w:fldCharType="begin" w:fldLock="1"/>
    </w:r>
    <w:r w:rsidRPr="009B3899">
      <w:instrText xml:space="preserve"> DOCPROPERTY</w:instrText>
    </w:r>
    <w:r w:rsidRPr="009B3899">
      <w:rPr>
        <w:sz w:val="18"/>
      </w:rPr>
      <w:instrText xml:space="preserve"> "Motionsnummer" *\charformat </w:instrText>
    </w:r>
    <w:r w:rsidRPr="009B3899">
      <w:fldChar w:fldCharType="separate"/>
    </w:r>
    <w:r w:rsidRPr="009B3899">
      <w:t>C325</w:t>
    </w:r>
    <w:r w:rsidRPr="009B3899">
      <w:fldChar w:fldCharType="end"/>
    </w:r>
    <w:r w:rsidRPr="009B3899">
      <w:br/>
    </w:r>
    <w:r w:rsidRPr="009B3899">
      <w:fldChar w:fldCharType="begin" w:fldLock="1"/>
    </w:r>
    <w:r w:rsidRPr="009B3899">
      <w:instrText xml:space="preserve"> DOCPROPERTY</w:instrText>
    </w:r>
    <w:r w:rsidRPr="009B3899">
      <w:rPr>
        <w:sz w:val="18"/>
      </w:rPr>
      <w:instrText xml:space="preserve"> "Samling" *\charformat </w:instrText>
    </w:r>
    <w:r w:rsidRPr="009B3899">
      <w:fldChar w:fldCharType="end"/>
    </w:r>
    <w:r w:rsidRPr="009B3899">
      <w:tab/>
      <w:t xml:space="preserve">pnr: </w:t>
    </w:r>
    <w:r w:rsidRPr="009B3899">
      <w:fldChar w:fldCharType="begin" w:fldLock="1"/>
    </w:r>
    <w:r w:rsidRPr="009B3899">
      <w:instrText xml:space="preserve"> DOCPROPERTY</w:instrText>
    </w:r>
    <w:r w:rsidRPr="009B3899">
      <w:rPr>
        <w:sz w:val="18"/>
      </w:rPr>
      <w:instrText xml:space="preserve"> "Partinummer" *\charformat </w:instrText>
    </w:r>
    <w:r w:rsidRPr="009B3899">
      <w:fldChar w:fldCharType="separate"/>
    </w:r>
    <w:r w:rsidRPr="009B3899">
      <w:t>v801</w:t>
    </w:r>
    <w:r w:rsidRPr="009B3899">
      <w:fldChar w:fldCharType="end"/>
    </w:r>
  </w:p>
  <w:p w:rsidR="00B071E8" w:rsidRPr="009B3899" w:rsidRDefault="00B071E8">
    <w:pPr>
      <w:pStyle w:val="FSHRub1"/>
    </w:pPr>
    <w:r w:rsidRPr="009B3899">
      <w:t>Motion till riksdagen</w:t>
    </w:r>
    <w:r w:rsidRPr="009B3899">
      <w:br/>
    </w:r>
    <w:r w:rsidRPr="009B3899">
      <w:fldChar w:fldCharType="begin" w:fldLock="1"/>
    </w:r>
    <w:r w:rsidRPr="009B3899">
      <w:instrText xml:space="preserve"> DOCPROPERTY "YearUser" *\charformat </w:instrText>
    </w:r>
    <w:r w:rsidRPr="009B3899">
      <w:fldChar w:fldCharType="separate"/>
    </w:r>
    <w:r w:rsidRPr="009B3899">
      <w:t>2007/08</w:t>
    </w:r>
    <w:r w:rsidRPr="009B3899">
      <w:fldChar w:fldCharType="end"/>
    </w:r>
    <w:r w:rsidRPr="009B3899">
      <w:t>:</w:t>
    </w:r>
    <w:r w:rsidRPr="009B3899">
      <w:fldChar w:fldCharType="begin" w:fldLock="1"/>
    </w:r>
    <w:r w:rsidRPr="009B3899">
      <w:instrText xml:space="preserve"> DOCPROPERTY "Motionsnummer" *\charformat </w:instrText>
    </w:r>
    <w:r w:rsidRPr="009B3899">
      <w:fldChar w:fldCharType="separate"/>
    </w:r>
    <w:r w:rsidRPr="009B3899">
      <w:t>C325</w:t>
    </w:r>
    <w:r w:rsidRPr="009B3899">
      <w:fldChar w:fldCharType="end"/>
    </w:r>
  </w:p>
  <w:p w:rsidR="00B071E8" w:rsidRPr="009B3899" w:rsidRDefault="00B071E8">
    <w:pPr>
      <w:pStyle w:val="FSHNormalS5"/>
    </w:pPr>
    <w:r w:rsidRPr="009B3899">
      <w:fldChar w:fldCharType="begin" w:fldLock="1"/>
    </w:r>
    <w:r w:rsidRPr="009B3899">
      <w:instrText xml:space="preserve"> DOCPROPERTY "MotionarText" *\charformat </w:instrText>
    </w:r>
    <w:r w:rsidRPr="009B3899">
      <w:fldChar w:fldCharType="separate"/>
    </w:r>
    <w:r w:rsidRPr="009B3899">
      <w:t>av Lars Ohly m.fl. (v)</w:t>
    </w:r>
    <w:r w:rsidRPr="009B3899">
      <w:fldChar w:fldCharType="end"/>
    </w:r>
    <w:r w:rsidRPr="009B3899">
      <w:br/>
    </w:r>
    <w:r w:rsidRPr="009B3899">
      <w:fldChar w:fldCharType="begin" w:fldLock="1"/>
    </w:r>
    <w:r w:rsidRPr="009B3899">
      <w:instrText xml:space="preserve"> DOCPROPERTY "SvarFrasKort" *\charformat </w:instrText>
    </w:r>
    <w:r w:rsidRPr="009B3899">
      <w:fldChar w:fldCharType="end"/>
    </w:r>
  </w:p>
  <w:p w:rsidR="00B071E8" w:rsidRPr="009B3899" w:rsidRDefault="00B071E8">
    <w:pPr>
      <w:pStyle w:val="FSHTitel"/>
    </w:pPr>
    <w:r w:rsidRPr="009B3899">
      <w:fldChar w:fldCharType="begin" w:fldLock="1"/>
    </w:r>
    <w:r w:rsidRPr="009B3899">
      <w:instrText xml:space="preserve"> DOCPROPERTY</w:instrText>
    </w:r>
    <w:r w:rsidRPr="009B3899">
      <w:rPr>
        <w:sz w:val="18"/>
      </w:rPr>
      <w:instrText xml:space="preserve"> "RubrikSvar" *\charformat </w:instrText>
    </w:r>
    <w:r w:rsidRPr="009B3899">
      <w:fldChar w:fldCharType="separate"/>
    </w:r>
    <w:r w:rsidRPr="009B3899">
      <w:t>Utgiftsområde 18 Samhällsplanering, bostadsförsörjning, byggande samt konsumentpolitik</w:t>
    </w:r>
    <w:r w:rsidRPr="009B3899">
      <w:fldChar w:fldCharType="end"/>
    </w:r>
  </w:p>
  <w:p w:rsidR="00B071E8" w:rsidRPr="009B3899" w:rsidRDefault="00B071E8">
    <w:pPr>
      <w:pStyle w:val="Normal00"/>
    </w:pPr>
  </w:p>
  <w:p w:rsidR="0024065C" w:rsidRPr="009B3899" w:rsidRDefault="002406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03911"/>
    <w:multiLevelType w:val="multilevel"/>
    <w:tmpl w:val="909C3E3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54F5B6F"/>
    <w:multiLevelType w:val="multilevel"/>
    <w:tmpl w:val="0E78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7046DA6"/>
    <w:multiLevelType w:val="hybridMultilevel"/>
    <w:tmpl w:val="8FB35BE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258F157E"/>
    <w:multiLevelType w:val="hybridMultilevel"/>
    <w:tmpl w:val="E9ECA636"/>
    <w:lvl w:ilvl="0" w:tplc="71228E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B60A295C">
      <w:start w:val="1"/>
      <w:numFmt w:val="decimal"/>
      <w:lvlText w:val="%1."/>
      <w:lvlJc w:val="left"/>
      <w:pPr>
        <w:tabs>
          <w:tab w:val="num" w:pos="340"/>
        </w:tabs>
        <w:ind w:left="340" w:hanging="34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523326585">
    <w:abstractNumId w:val="8"/>
  </w:num>
  <w:num w:numId="2" w16cid:durableId="2109108892">
    <w:abstractNumId w:val="9"/>
  </w:num>
  <w:num w:numId="3" w16cid:durableId="653871792">
    <w:abstractNumId w:val="8"/>
  </w:num>
  <w:num w:numId="4" w16cid:durableId="258487252">
    <w:abstractNumId w:val="9"/>
  </w:num>
  <w:num w:numId="5" w16cid:durableId="287395319">
    <w:abstractNumId w:val="17"/>
  </w:num>
  <w:num w:numId="6" w16cid:durableId="1411732605">
    <w:abstractNumId w:val="12"/>
  </w:num>
  <w:num w:numId="7" w16cid:durableId="41254810">
    <w:abstractNumId w:val="14"/>
  </w:num>
  <w:num w:numId="8" w16cid:durableId="187061778">
    <w:abstractNumId w:val="16"/>
  </w:num>
  <w:num w:numId="9" w16cid:durableId="729156967">
    <w:abstractNumId w:val="8"/>
  </w:num>
  <w:num w:numId="10" w16cid:durableId="1421872296">
    <w:abstractNumId w:val="3"/>
  </w:num>
  <w:num w:numId="11" w16cid:durableId="1018119202">
    <w:abstractNumId w:val="2"/>
  </w:num>
  <w:num w:numId="12" w16cid:durableId="277033392">
    <w:abstractNumId w:val="1"/>
  </w:num>
  <w:num w:numId="13" w16cid:durableId="1655837801">
    <w:abstractNumId w:val="0"/>
  </w:num>
  <w:num w:numId="14" w16cid:durableId="827594622">
    <w:abstractNumId w:val="9"/>
  </w:num>
  <w:num w:numId="15" w16cid:durableId="1876849688">
    <w:abstractNumId w:val="7"/>
  </w:num>
  <w:num w:numId="16" w16cid:durableId="318966433">
    <w:abstractNumId w:val="6"/>
  </w:num>
  <w:num w:numId="17" w16cid:durableId="1698922302">
    <w:abstractNumId w:val="5"/>
  </w:num>
  <w:num w:numId="18" w16cid:durableId="1178076563">
    <w:abstractNumId w:val="4"/>
  </w:num>
  <w:num w:numId="19" w16cid:durableId="90593129">
    <w:abstractNumId w:val="13"/>
  </w:num>
  <w:num w:numId="20" w16cid:durableId="715591459">
    <w:abstractNumId w:val="11"/>
  </w:num>
  <w:num w:numId="21" w16cid:durableId="1432123106">
    <w:abstractNumId w:val="10"/>
  </w:num>
  <w:num w:numId="22" w16cid:durableId="167448301">
    <w:abstractNumId w:val="15"/>
  </w:num>
  <w:num w:numId="23" w16cid:durableId="1561474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F1A2565D-4D2F-4887-9B1D-3D7BE825DA8C},{25384487-954A-4B3D-A759-FB67661DCC6F},{93F71F64-B3B2-464F-BCC5-C49DA1B8F0E4},{88576935-7337-4AFA-923F-6E59D33EEBED},{8B923F15-4996-4696-A089-6A5BE8BF8E1B},{CBCE2632-605E-484A-97AC-47C334EA7100},{7E0BF71E-CD03-4DBF-9F51-3B5B798F2741},{EF5206F9-792B-484E-B593-829130B8A4A1}"/>
  </w:docVars>
  <w:rsids>
    <w:rsidRoot w:val="009B3899"/>
    <w:rsid w:val="00002742"/>
    <w:rsid w:val="00006BC1"/>
    <w:rsid w:val="000220F8"/>
    <w:rsid w:val="00034058"/>
    <w:rsid w:val="00040A89"/>
    <w:rsid w:val="00040D14"/>
    <w:rsid w:val="0004381F"/>
    <w:rsid w:val="00057183"/>
    <w:rsid w:val="000636E1"/>
    <w:rsid w:val="00064BC3"/>
    <w:rsid w:val="0006538A"/>
    <w:rsid w:val="00066474"/>
    <w:rsid w:val="000665E6"/>
    <w:rsid w:val="00066775"/>
    <w:rsid w:val="00072FB9"/>
    <w:rsid w:val="0007598F"/>
    <w:rsid w:val="000A0B37"/>
    <w:rsid w:val="000B2040"/>
    <w:rsid w:val="000B44B9"/>
    <w:rsid w:val="000C2E69"/>
    <w:rsid w:val="000C5993"/>
    <w:rsid w:val="000C79C5"/>
    <w:rsid w:val="000D06D3"/>
    <w:rsid w:val="000D779E"/>
    <w:rsid w:val="000E431D"/>
    <w:rsid w:val="000E48DA"/>
    <w:rsid w:val="000E5207"/>
    <w:rsid w:val="000E52A4"/>
    <w:rsid w:val="000F40DD"/>
    <w:rsid w:val="000F5ADD"/>
    <w:rsid w:val="00100531"/>
    <w:rsid w:val="001028C5"/>
    <w:rsid w:val="0010382E"/>
    <w:rsid w:val="00107AF5"/>
    <w:rsid w:val="00110679"/>
    <w:rsid w:val="00113083"/>
    <w:rsid w:val="00140025"/>
    <w:rsid w:val="00145A42"/>
    <w:rsid w:val="00146FE6"/>
    <w:rsid w:val="00166D90"/>
    <w:rsid w:val="00170803"/>
    <w:rsid w:val="00173FAA"/>
    <w:rsid w:val="00177CC2"/>
    <w:rsid w:val="0019171D"/>
    <w:rsid w:val="001921C4"/>
    <w:rsid w:val="001923A4"/>
    <w:rsid w:val="0019555E"/>
    <w:rsid w:val="001A25D5"/>
    <w:rsid w:val="001A2624"/>
    <w:rsid w:val="001A2A2B"/>
    <w:rsid w:val="001E0043"/>
    <w:rsid w:val="001E209D"/>
    <w:rsid w:val="001F4981"/>
    <w:rsid w:val="00201DFB"/>
    <w:rsid w:val="00204A63"/>
    <w:rsid w:val="00212FF1"/>
    <w:rsid w:val="002166B7"/>
    <w:rsid w:val="00230193"/>
    <w:rsid w:val="00235316"/>
    <w:rsid w:val="0024065C"/>
    <w:rsid w:val="00244D0B"/>
    <w:rsid w:val="002459F9"/>
    <w:rsid w:val="00245B92"/>
    <w:rsid w:val="00250108"/>
    <w:rsid w:val="0025068A"/>
    <w:rsid w:val="002531FC"/>
    <w:rsid w:val="00255E87"/>
    <w:rsid w:val="002818D3"/>
    <w:rsid w:val="002911A7"/>
    <w:rsid w:val="002943C8"/>
    <w:rsid w:val="00295E6D"/>
    <w:rsid w:val="002A2A6B"/>
    <w:rsid w:val="002C2373"/>
    <w:rsid w:val="002D11A8"/>
    <w:rsid w:val="002E63FA"/>
    <w:rsid w:val="002F7FA1"/>
    <w:rsid w:val="00303F68"/>
    <w:rsid w:val="00314F87"/>
    <w:rsid w:val="0032051D"/>
    <w:rsid w:val="003303B5"/>
    <w:rsid w:val="003366E9"/>
    <w:rsid w:val="00336BAC"/>
    <w:rsid w:val="00336C9B"/>
    <w:rsid w:val="00342FB4"/>
    <w:rsid w:val="00356EA2"/>
    <w:rsid w:val="0036065A"/>
    <w:rsid w:val="00366E90"/>
    <w:rsid w:val="00376A71"/>
    <w:rsid w:val="003866EC"/>
    <w:rsid w:val="00391AF5"/>
    <w:rsid w:val="003A5FA6"/>
    <w:rsid w:val="003B418B"/>
    <w:rsid w:val="003B45E1"/>
    <w:rsid w:val="003B629C"/>
    <w:rsid w:val="003C463E"/>
    <w:rsid w:val="003D3ECA"/>
    <w:rsid w:val="003F100A"/>
    <w:rsid w:val="004060FD"/>
    <w:rsid w:val="00407C89"/>
    <w:rsid w:val="004147A2"/>
    <w:rsid w:val="00422111"/>
    <w:rsid w:val="00445271"/>
    <w:rsid w:val="00447A04"/>
    <w:rsid w:val="004527C3"/>
    <w:rsid w:val="004610F4"/>
    <w:rsid w:val="00487F7A"/>
    <w:rsid w:val="004971B2"/>
    <w:rsid w:val="004A0504"/>
    <w:rsid w:val="004A45BB"/>
    <w:rsid w:val="004A7037"/>
    <w:rsid w:val="004B5278"/>
    <w:rsid w:val="004B72BF"/>
    <w:rsid w:val="004C3FF4"/>
    <w:rsid w:val="004C66FB"/>
    <w:rsid w:val="004C7A3F"/>
    <w:rsid w:val="004D7823"/>
    <w:rsid w:val="004E38D9"/>
    <w:rsid w:val="004F094C"/>
    <w:rsid w:val="004F22DC"/>
    <w:rsid w:val="005000F2"/>
    <w:rsid w:val="005057B1"/>
    <w:rsid w:val="00531020"/>
    <w:rsid w:val="005373DA"/>
    <w:rsid w:val="00545150"/>
    <w:rsid w:val="00545421"/>
    <w:rsid w:val="0055072A"/>
    <w:rsid w:val="00550E51"/>
    <w:rsid w:val="005525A5"/>
    <w:rsid w:val="0055357B"/>
    <w:rsid w:val="005544CE"/>
    <w:rsid w:val="00556410"/>
    <w:rsid w:val="00564AFE"/>
    <w:rsid w:val="00567774"/>
    <w:rsid w:val="005956EA"/>
    <w:rsid w:val="00596171"/>
    <w:rsid w:val="00596D5E"/>
    <w:rsid w:val="005B145B"/>
    <w:rsid w:val="005C441C"/>
    <w:rsid w:val="005D0CA7"/>
    <w:rsid w:val="005D3F50"/>
    <w:rsid w:val="005D72CF"/>
    <w:rsid w:val="00601C6D"/>
    <w:rsid w:val="00603CD4"/>
    <w:rsid w:val="00612740"/>
    <w:rsid w:val="006169DE"/>
    <w:rsid w:val="00620AB2"/>
    <w:rsid w:val="006245E6"/>
    <w:rsid w:val="00624C23"/>
    <w:rsid w:val="006346C1"/>
    <w:rsid w:val="006433D4"/>
    <w:rsid w:val="006443A4"/>
    <w:rsid w:val="00645059"/>
    <w:rsid w:val="0064771D"/>
    <w:rsid w:val="00653DD0"/>
    <w:rsid w:val="00677B63"/>
    <w:rsid w:val="00687C7B"/>
    <w:rsid w:val="00692511"/>
    <w:rsid w:val="00692A7E"/>
    <w:rsid w:val="00693FFF"/>
    <w:rsid w:val="006A1005"/>
    <w:rsid w:val="006B37D6"/>
    <w:rsid w:val="006B6262"/>
    <w:rsid w:val="006B686A"/>
    <w:rsid w:val="006B7DF1"/>
    <w:rsid w:val="006D5EA2"/>
    <w:rsid w:val="006F23C0"/>
    <w:rsid w:val="0070232A"/>
    <w:rsid w:val="00706FD2"/>
    <w:rsid w:val="00727C6F"/>
    <w:rsid w:val="007369E9"/>
    <w:rsid w:val="0074086B"/>
    <w:rsid w:val="00740D6D"/>
    <w:rsid w:val="00743F76"/>
    <w:rsid w:val="00770030"/>
    <w:rsid w:val="00774959"/>
    <w:rsid w:val="007852B2"/>
    <w:rsid w:val="00794149"/>
    <w:rsid w:val="007974A6"/>
    <w:rsid w:val="007A3689"/>
    <w:rsid w:val="007B67A7"/>
    <w:rsid w:val="007C36FB"/>
    <w:rsid w:val="007C6092"/>
    <w:rsid w:val="007E119E"/>
    <w:rsid w:val="008253B2"/>
    <w:rsid w:val="0082692C"/>
    <w:rsid w:val="00830959"/>
    <w:rsid w:val="00846903"/>
    <w:rsid w:val="00857EC2"/>
    <w:rsid w:val="008610B2"/>
    <w:rsid w:val="0087080F"/>
    <w:rsid w:val="00883EBF"/>
    <w:rsid w:val="00892562"/>
    <w:rsid w:val="008D5AEE"/>
    <w:rsid w:val="008F0A96"/>
    <w:rsid w:val="008F127E"/>
    <w:rsid w:val="008F1BAC"/>
    <w:rsid w:val="009058C2"/>
    <w:rsid w:val="009062A0"/>
    <w:rsid w:val="00917B2C"/>
    <w:rsid w:val="00934852"/>
    <w:rsid w:val="00937CCC"/>
    <w:rsid w:val="009451E7"/>
    <w:rsid w:val="0095040A"/>
    <w:rsid w:val="00956342"/>
    <w:rsid w:val="0095669A"/>
    <w:rsid w:val="00956E7F"/>
    <w:rsid w:val="00963118"/>
    <w:rsid w:val="00970D4F"/>
    <w:rsid w:val="00971D70"/>
    <w:rsid w:val="0097770D"/>
    <w:rsid w:val="00984690"/>
    <w:rsid w:val="009A2763"/>
    <w:rsid w:val="009A4377"/>
    <w:rsid w:val="009A6043"/>
    <w:rsid w:val="009A6EEB"/>
    <w:rsid w:val="009B021D"/>
    <w:rsid w:val="009B0DD4"/>
    <w:rsid w:val="009B3899"/>
    <w:rsid w:val="009C7DD4"/>
    <w:rsid w:val="009D0673"/>
    <w:rsid w:val="009D265A"/>
    <w:rsid w:val="00A053C6"/>
    <w:rsid w:val="00A055B3"/>
    <w:rsid w:val="00A15D71"/>
    <w:rsid w:val="00A174E2"/>
    <w:rsid w:val="00A21BC5"/>
    <w:rsid w:val="00A47FAF"/>
    <w:rsid w:val="00A72E8C"/>
    <w:rsid w:val="00A736FF"/>
    <w:rsid w:val="00A9152E"/>
    <w:rsid w:val="00AA1434"/>
    <w:rsid w:val="00AA5229"/>
    <w:rsid w:val="00AB5000"/>
    <w:rsid w:val="00AC4310"/>
    <w:rsid w:val="00AC63D9"/>
    <w:rsid w:val="00AC6422"/>
    <w:rsid w:val="00AE2EF8"/>
    <w:rsid w:val="00AF1201"/>
    <w:rsid w:val="00AF190A"/>
    <w:rsid w:val="00AF5881"/>
    <w:rsid w:val="00B071E8"/>
    <w:rsid w:val="00B13BF0"/>
    <w:rsid w:val="00B25BC7"/>
    <w:rsid w:val="00B31715"/>
    <w:rsid w:val="00B33C81"/>
    <w:rsid w:val="00B34666"/>
    <w:rsid w:val="00B421B1"/>
    <w:rsid w:val="00B50A7A"/>
    <w:rsid w:val="00B5134A"/>
    <w:rsid w:val="00B620E2"/>
    <w:rsid w:val="00B67E5B"/>
    <w:rsid w:val="00B81127"/>
    <w:rsid w:val="00B84A97"/>
    <w:rsid w:val="00B85AC1"/>
    <w:rsid w:val="00BA447C"/>
    <w:rsid w:val="00BA4894"/>
    <w:rsid w:val="00BA6BE0"/>
    <w:rsid w:val="00BB6D75"/>
    <w:rsid w:val="00BD0640"/>
    <w:rsid w:val="00BD43A8"/>
    <w:rsid w:val="00BF6F54"/>
    <w:rsid w:val="00BF7E00"/>
    <w:rsid w:val="00C02F8E"/>
    <w:rsid w:val="00C1285C"/>
    <w:rsid w:val="00C17C41"/>
    <w:rsid w:val="00C20137"/>
    <w:rsid w:val="00C2140C"/>
    <w:rsid w:val="00C27B7D"/>
    <w:rsid w:val="00C32A06"/>
    <w:rsid w:val="00C44394"/>
    <w:rsid w:val="00C533BA"/>
    <w:rsid w:val="00C53B35"/>
    <w:rsid w:val="00C6475B"/>
    <w:rsid w:val="00C822A8"/>
    <w:rsid w:val="00C902E9"/>
    <w:rsid w:val="00C9119B"/>
    <w:rsid w:val="00C92208"/>
    <w:rsid w:val="00C965E3"/>
    <w:rsid w:val="00C971A3"/>
    <w:rsid w:val="00C97395"/>
    <w:rsid w:val="00CB5B24"/>
    <w:rsid w:val="00CC3AB6"/>
    <w:rsid w:val="00CC578E"/>
    <w:rsid w:val="00CC7B33"/>
    <w:rsid w:val="00CD4B2B"/>
    <w:rsid w:val="00CE3037"/>
    <w:rsid w:val="00CE5AC9"/>
    <w:rsid w:val="00CF7A43"/>
    <w:rsid w:val="00D01775"/>
    <w:rsid w:val="00D1174F"/>
    <w:rsid w:val="00D11807"/>
    <w:rsid w:val="00D1289C"/>
    <w:rsid w:val="00D16300"/>
    <w:rsid w:val="00D316B7"/>
    <w:rsid w:val="00D372C4"/>
    <w:rsid w:val="00D4157A"/>
    <w:rsid w:val="00D44527"/>
    <w:rsid w:val="00D51C51"/>
    <w:rsid w:val="00D52681"/>
    <w:rsid w:val="00D53D04"/>
    <w:rsid w:val="00D554AC"/>
    <w:rsid w:val="00D55C3C"/>
    <w:rsid w:val="00D55EF7"/>
    <w:rsid w:val="00D70790"/>
    <w:rsid w:val="00D8471A"/>
    <w:rsid w:val="00D97778"/>
    <w:rsid w:val="00DA10E4"/>
    <w:rsid w:val="00DB2A03"/>
    <w:rsid w:val="00DC0DF0"/>
    <w:rsid w:val="00DC6C70"/>
    <w:rsid w:val="00DD7FEE"/>
    <w:rsid w:val="00DF1EC4"/>
    <w:rsid w:val="00DF5ACD"/>
    <w:rsid w:val="00E22893"/>
    <w:rsid w:val="00E23282"/>
    <w:rsid w:val="00E3019F"/>
    <w:rsid w:val="00E307DD"/>
    <w:rsid w:val="00E349C2"/>
    <w:rsid w:val="00E360DE"/>
    <w:rsid w:val="00E5074A"/>
    <w:rsid w:val="00E521CB"/>
    <w:rsid w:val="00E67D10"/>
    <w:rsid w:val="00E728F6"/>
    <w:rsid w:val="00E75D28"/>
    <w:rsid w:val="00E84F25"/>
    <w:rsid w:val="00E96A9C"/>
    <w:rsid w:val="00EA0C0D"/>
    <w:rsid w:val="00EB54E7"/>
    <w:rsid w:val="00EB6AA0"/>
    <w:rsid w:val="00EC007B"/>
    <w:rsid w:val="00EC03AA"/>
    <w:rsid w:val="00EC5724"/>
    <w:rsid w:val="00ED0EE7"/>
    <w:rsid w:val="00EE7A8E"/>
    <w:rsid w:val="00F13CD8"/>
    <w:rsid w:val="00F21B30"/>
    <w:rsid w:val="00F273EA"/>
    <w:rsid w:val="00F3428D"/>
    <w:rsid w:val="00F402CF"/>
    <w:rsid w:val="00F42CB9"/>
    <w:rsid w:val="00F42FFE"/>
    <w:rsid w:val="00F45577"/>
    <w:rsid w:val="00F6510C"/>
    <w:rsid w:val="00F73E9E"/>
    <w:rsid w:val="00F82B3A"/>
    <w:rsid w:val="00F85E37"/>
    <w:rsid w:val="00F87D14"/>
    <w:rsid w:val="00F900F6"/>
    <w:rsid w:val="00F913D1"/>
    <w:rsid w:val="00F95725"/>
    <w:rsid w:val="00F962E5"/>
    <w:rsid w:val="00FA3374"/>
    <w:rsid w:val="00FB2435"/>
    <w:rsid w:val="00FB6490"/>
    <w:rsid w:val="00FC53D4"/>
    <w:rsid w:val="00FC7246"/>
    <w:rsid w:val="00FC7E79"/>
    <w:rsid w:val="00FD0D78"/>
    <w:rsid w:val="00FD2416"/>
    <w:rsid w:val="00FD2531"/>
    <w:rsid w:val="00FD62C3"/>
    <w:rsid w:val="00FD7EFD"/>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937732-2FC6-4A65-A556-EC70F61E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24065C"/>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24065C"/>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24065C"/>
    <w:pPr>
      <w:numPr>
        <w:ilvl w:val="2"/>
      </w:numPr>
      <w:spacing w:before="250" w:after="0"/>
      <w:outlineLvl w:val="2"/>
    </w:pPr>
    <w:rPr>
      <w:b/>
      <w:sz w:val="21"/>
    </w:rPr>
  </w:style>
  <w:style w:type="paragraph" w:styleId="Rubrik4">
    <w:name w:val="heading 4"/>
    <w:aliases w:val="KursivRubrik"/>
    <w:basedOn w:val="Rubrik3"/>
    <w:next w:val="Normal"/>
    <w:link w:val="Rubrik4Char"/>
    <w:qFormat/>
    <w:rsid w:val="0024065C"/>
    <w:pPr>
      <w:numPr>
        <w:ilvl w:val="3"/>
      </w:numPr>
      <w:outlineLvl w:val="3"/>
    </w:pPr>
    <w:rPr>
      <w:b w:val="0"/>
      <w:i/>
    </w:rPr>
  </w:style>
  <w:style w:type="paragraph" w:styleId="Rubrik5">
    <w:name w:val="heading 5"/>
    <w:aliases w:val="PackadFetRubrik,PackadKursivRubrik"/>
    <w:basedOn w:val="Rubrik4"/>
    <w:next w:val="Normal"/>
    <w:link w:val="Rubrik5Char"/>
    <w:qFormat/>
    <w:rsid w:val="0024065C"/>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24065C"/>
    <w:pPr>
      <w:numPr>
        <w:ilvl w:val="5"/>
      </w:numPr>
      <w:spacing w:before="50" w:line="200" w:lineRule="exact"/>
      <w:outlineLvl w:val="5"/>
    </w:pPr>
    <w:rPr>
      <w:caps/>
      <w:sz w:val="14"/>
    </w:rPr>
  </w:style>
  <w:style w:type="paragraph" w:styleId="Rubrik7">
    <w:name w:val="heading 7"/>
    <w:basedOn w:val="Rubrik6"/>
    <w:next w:val="Normal"/>
    <w:link w:val="Rubrik7Char"/>
    <w:qFormat/>
    <w:rsid w:val="0024065C"/>
    <w:pPr>
      <w:numPr>
        <w:ilvl w:val="6"/>
      </w:numPr>
      <w:spacing w:before="0"/>
      <w:outlineLvl w:val="6"/>
    </w:pPr>
  </w:style>
  <w:style w:type="paragraph" w:styleId="Rubrik8">
    <w:name w:val="heading 8"/>
    <w:basedOn w:val="Rubrik7"/>
    <w:next w:val="Normal"/>
    <w:link w:val="Rubrik8Char"/>
    <w:qFormat/>
    <w:rsid w:val="0024065C"/>
    <w:pPr>
      <w:numPr>
        <w:ilvl w:val="7"/>
      </w:numPr>
      <w:outlineLvl w:val="7"/>
    </w:pPr>
  </w:style>
  <w:style w:type="paragraph" w:styleId="Rubrik9">
    <w:name w:val="heading 9"/>
    <w:basedOn w:val="Rubrik8"/>
    <w:next w:val="Normal"/>
    <w:link w:val="Rubrik9Char"/>
    <w:qFormat/>
    <w:rsid w:val="0024065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4065C"/>
    <w:rPr>
      <w:sz w:val="32"/>
      <w:lang w:val="sv-SE" w:eastAsia="sv-SE" w:bidi="ar-SA"/>
    </w:rPr>
  </w:style>
  <w:style w:type="character" w:customStyle="1" w:styleId="Rubrik2Char">
    <w:name w:val="Rubrik 2 Char"/>
    <w:aliases w:val="Beslutrubrik Char"/>
    <w:basedOn w:val="Standardstycketeckensnitt"/>
    <w:link w:val="Rubrik2"/>
    <w:semiHidden/>
    <w:locked/>
    <w:rsid w:val="0024065C"/>
    <w:rPr>
      <w:sz w:val="27"/>
      <w:lang w:val="sv-SE" w:eastAsia="sv-SE" w:bidi="ar-SA"/>
    </w:rPr>
  </w:style>
  <w:style w:type="character" w:customStyle="1" w:styleId="Rubrik3Char">
    <w:name w:val="Rubrik 3 Char"/>
    <w:aliases w:val="Mellanrubrik Char"/>
    <w:basedOn w:val="Standardstycketeckensnitt"/>
    <w:link w:val="Rubrik3"/>
    <w:semiHidden/>
    <w:locked/>
    <w:rsid w:val="0024065C"/>
    <w:rPr>
      <w:b/>
      <w:sz w:val="21"/>
      <w:lang w:val="sv-SE" w:eastAsia="sv-SE" w:bidi="ar-SA"/>
    </w:rPr>
  </w:style>
  <w:style w:type="character" w:customStyle="1" w:styleId="Rubrik4Char">
    <w:name w:val="Rubrik 4 Char"/>
    <w:aliases w:val="KursivRubrik Char"/>
    <w:basedOn w:val="Standardstycketeckensnitt"/>
    <w:link w:val="Rubrik4"/>
    <w:semiHidden/>
    <w:locked/>
    <w:rsid w:val="0024065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4065C"/>
    <w:rPr>
      <w:sz w:val="19"/>
      <w:lang w:val="sv-SE" w:eastAsia="sv-SE" w:bidi="ar-SA"/>
    </w:rPr>
  </w:style>
  <w:style w:type="character" w:customStyle="1" w:styleId="Rubrik6Char">
    <w:name w:val="Rubrik 6 Char"/>
    <w:basedOn w:val="Standardstycketeckensnitt"/>
    <w:link w:val="Rubrik6"/>
    <w:semiHidden/>
    <w:locked/>
    <w:rsid w:val="0024065C"/>
    <w:rPr>
      <w:caps/>
      <w:sz w:val="14"/>
      <w:lang w:val="sv-SE" w:eastAsia="sv-SE" w:bidi="ar-SA"/>
    </w:rPr>
  </w:style>
  <w:style w:type="character" w:customStyle="1" w:styleId="Rubrik7Char">
    <w:name w:val="Rubrik 7 Char"/>
    <w:basedOn w:val="Standardstycketeckensnitt"/>
    <w:link w:val="Rubrik7"/>
    <w:semiHidden/>
    <w:locked/>
    <w:rsid w:val="0024065C"/>
    <w:rPr>
      <w:caps/>
      <w:sz w:val="14"/>
      <w:lang w:val="sv-SE" w:eastAsia="sv-SE" w:bidi="ar-SA"/>
    </w:rPr>
  </w:style>
  <w:style w:type="character" w:customStyle="1" w:styleId="Rubrik8Char">
    <w:name w:val="Rubrik 8 Char"/>
    <w:basedOn w:val="Standardstycketeckensnitt"/>
    <w:link w:val="Rubrik8"/>
    <w:semiHidden/>
    <w:locked/>
    <w:rsid w:val="0024065C"/>
    <w:rPr>
      <w:caps/>
      <w:sz w:val="14"/>
      <w:lang w:val="sv-SE" w:eastAsia="sv-SE" w:bidi="ar-SA"/>
    </w:rPr>
  </w:style>
  <w:style w:type="character" w:customStyle="1" w:styleId="Rubrik9Char">
    <w:name w:val="Rubrik 9 Char"/>
    <w:basedOn w:val="Standardstycketeckensnitt"/>
    <w:link w:val="Rubrik9"/>
    <w:semiHidden/>
    <w:locked/>
    <w:rsid w:val="0024065C"/>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402C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402C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4065C"/>
    <w:pPr>
      <w:keepLines/>
      <w:numPr>
        <w:numId w:val="22"/>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402C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402C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402CF"/>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95669A"/>
    <w:rPr>
      <w:sz w:val="19"/>
      <w:lang w:val="sv-SE" w:eastAsia="sv-SE" w:bidi="ar-SA"/>
    </w:rPr>
  </w:style>
  <w:style w:type="character" w:customStyle="1" w:styleId="A2">
    <w:name w:val="A2"/>
    <w:rsid w:val="0095669A"/>
    <w:rPr>
      <w:rFonts w:cs="Frutiger"/>
      <w:b/>
      <w:bCs/>
      <w:color w:val="000000"/>
    </w:rPr>
  </w:style>
  <w:style w:type="paragraph" w:customStyle="1" w:styleId="Default">
    <w:name w:val="Default"/>
    <w:rsid w:val="00956342"/>
    <w:pPr>
      <w:autoSpaceDE w:val="0"/>
      <w:autoSpaceDN w:val="0"/>
      <w:adjustRightInd w:val="0"/>
    </w:pPr>
    <w:rPr>
      <w:rFonts w:ascii="AOKOP A+ T T 185 Bo 00" w:hAnsi="AOKOP A+ T T 185 Bo 00" w:cs="AOKOP A+ T T 185 Bo 00"/>
      <w:color w:val="000000"/>
      <w:sz w:val="24"/>
      <w:szCs w:val="24"/>
      <w:lang w:val="sv-SE" w:eastAsia="sv-SE"/>
    </w:rPr>
  </w:style>
  <w:style w:type="table" w:styleId="Enkeltabell1">
    <w:name w:val="Table Simple 1"/>
    <w:basedOn w:val="Normaltabell"/>
    <w:rsid w:val="00145A42"/>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indent">
    <w:name w:val="normal indent"/>
    <w:aliases w:val="normal_indrag,normal indrag"/>
    <w:basedOn w:val="Normal"/>
    <w:rsid w:val="00C53B35"/>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rsid w:val="00C53B35"/>
    <w:pPr>
      <w:spacing w:before="100" w:beforeAutospacing="1" w:after="100" w:afterAutospacing="1" w:line="240" w:lineRule="auto"/>
    </w:pPr>
    <w:rPr>
      <w:rFonts w:ascii="Verdana" w:hAnsi="Verdana"/>
      <w:szCs w:val="24"/>
    </w:rPr>
  </w:style>
  <w:style w:type="paragraph" w:customStyle="1" w:styleId="Pa0">
    <w:name w:val="Pa0"/>
    <w:basedOn w:val="Normal"/>
    <w:next w:val="Normal"/>
    <w:rsid w:val="001028C5"/>
    <w:pPr>
      <w:autoSpaceDE w:val="0"/>
      <w:autoSpaceDN w:val="0"/>
      <w:adjustRightInd w:val="0"/>
      <w:spacing w:line="241" w:lineRule="atLeast"/>
    </w:pPr>
    <w:rPr>
      <w:rFonts w:ascii="RDRGUD+BosisMedium" w:hAnsi="RDRGUD+BosisMedium"/>
      <w:szCs w:val="24"/>
    </w:rPr>
  </w:style>
  <w:style w:type="character" w:customStyle="1" w:styleId="A5">
    <w:name w:val="A5"/>
    <w:rsid w:val="001028C5"/>
    <w:rPr>
      <w:rFonts w:ascii="PNXUSH+ACaslon-Regular" w:hAnsi="PNXUSH+ACaslon-Regular" w:cs="PNXUSH+ACaslon-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670">
      <w:bodyDiv w:val="1"/>
      <w:marLeft w:val="0"/>
      <w:marRight w:val="0"/>
      <w:marTop w:val="0"/>
      <w:marBottom w:val="0"/>
      <w:divBdr>
        <w:top w:val="none" w:sz="0" w:space="0" w:color="auto"/>
        <w:left w:val="none" w:sz="0" w:space="0" w:color="auto"/>
        <w:bottom w:val="none" w:sz="0" w:space="0" w:color="auto"/>
        <w:right w:val="none" w:sz="0" w:space="0" w:color="auto"/>
      </w:divBdr>
      <w:divsChild>
        <w:div w:id="73207976">
          <w:marLeft w:val="-15"/>
          <w:marRight w:val="-15"/>
          <w:marTop w:val="0"/>
          <w:marBottom w:val="0"/>
          <w:divBdr>
            <w:top w:val="none" w:sz="0" w:space="0" w:color="auto"/>
            <w:left w:val="single" w:sz="6" w:space="0" w:color="DADADA"/>
            <w:bottom w:val="none" w:sz="0" w:space="0" w:color="auto"/>
            <w:right w:val="single" w:sz="6" w:space="0" w:color="DADADA"/>
          </w:divBdr>
          <w:divsChild>
            <w:div w:id="1031539800">
              <w:marLeft w:val="0"/>
              <w:marRight w:val="0"/>
              <w:marTop w:val="0"/>
              <w:marBottom w:val="0"/>
              <w:divBdr>
                <w:top w:val="none" w:sz="0" w:space="0" w:color="auto"/>
                <w:left w:val="single" w:sz="48" w:space="0" w:color="FFFFFF"/>
                <w:bottom w:val="none" w:sz="0" w:space="0" w:color="auto"/>
                <w:right w:val="none" w:sz="0" w:space="0" w:color="auto"/>
              </w:divBdr>
              <w:divsChild>
                <w:div w:id="1429080123">
                  <w:marLeft w:val="-15"/>
                  <w:marRight w:val="-15"/>
                  <w:marTop w:val="0"/>
                  <w:marBottom w:val="0"/>
                  <w:divBdr>
                    <w:top w:val="none" w:sz="0" w:space="0" w:color="auto"/>
                    <w:left w:val="single" w:sz="6" w:space="0" w:color="F9C661"/>
                    <w:bottom w:val="none" w:sz="0" w:space="0" w:color="auto"/>
                    <w:right w:val="single" w:sz="6" w:space="0" w:color="DADADA"/>
                  </w:divBdr>
                  <w:divsChild>
                    <w:div w:id="1609501776">
                      <w:marLeft w:val="-30"/>
                      <w:marRight w:val="-45"/>
                      <w:marTop w:val="0"/>
                      <w:marBottom w:val="0"/>
                      <w:divBdr>
                        <w:top w:val="none" w:sz="0" w:space="0" w:color="auto"/>
                        <w:left w:val="none" w:sz="0" w:space="0" w:color="auto"/>
                        <w:bottom w:val="none" w:sz="0" w:space="0" w:color="auto"/>
                        <w:right w:val="none" w:sz="0" w:space="0" w:color="auto"/>
                      </w:divBdr>
                      <w:divsChild>
                        <w:div w:id="1185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844094">
      <w:bodyDiv w:val="1"/>
      <w:marLeft w:val="0"/>
      <w:marRight w:val="0"/>
      <w:marTop w:val="0"/>
      <w:marBottom w:val="0"/>
      <w:divBdr>
        <w:top w:val="none" w:sz="0" w:space="0" w:color="auto"/>
        <w:left w:val="none" w:sz="0" w:space="0" w:color="auto"/>
        <w:bottom w:val="none" w:sz="0" w:space="0" w:color="auto"/>
        <w:right w:val="none" w:sz="0" w:space="0" w:color="auto"/>
      </w:divBdr>
    </w:div>
    <w:div w:id="575894660">
      <w:bodyDiv w:val="1"/>
      <w:marLeft w:val="0"/>
      <w:marRight w:val="0"/>
      <w:marTop w:val="0"/>
      <w:marBottom w:val="0"/>
      <w:divBdr>
        <w:top w:val="none" w:sz="0" w:space="0" w:color="auto"/>
        <w:left w:val="none" w:sz="0" w:space="0" w:color="auto"/>
        <w:bottom w:val="none" w:sz="0" w:space="0" w:color="auto"/>
        <w:right w:val="none" w:sz="0" w:space="0" w:color="auto"/>
      </w:divBdr>
    </w:div>
    <w:div w:id="800344017">
      <w:bodyDiv w:val="1"/>
      <w:marLeft w:val="0"/>
      <w:marRight w:val="0"/>
      <w:marTop w:val="0"/>
      <w:marBottom w:val="0"/>
      <w:divBdr>
        <w:top w:val="none" w:sz="0" w:space="0" w:color="auto"/>
        <w:left w:val="none" w:sz="0" w:space="0" w:color="auto"/>
        <w:bottom w:val="none" w:sz="0" w:space="0" w:color="auto"/>
        <w:right w:val="none" w:sz="0" w:space="0" w:color="auto"/>
      </w:divBdr>
      <w:divsChild>
        <w:div w:id="1548224787">
          <w:marLeft w:val="-15"/>
          <w:marRight w:val="-15"/>
          <w:marTop w:val="0"/>
          <w:marBottom w:val="0"/>
          <w:divBdr>
            <w:top w:val="none" w:sz="0" w:space="0" w:color="auto"/>
            <w:left w:val="single" w:sz="6" w:space="0" w:color="DADADA"/>
            <w:bottom w:val="none" w:sz="0" w:space="0" w:color="auto"/>
            <w:right w:val="single" w:sz="6" w:space="0" w:color="DADADA"/>
          </w:divBdr>
          <w:divsChild>
            <w:div w:id="513812495">
              <w:marLeft w:val="0"/>
              <w:marRight w:val="0"/>
              <w:marTop w:val="0"/>
              <w:marBottom w:val="0"/>
              <w:divBdr>
                <w:top w:val="none" w:sz="0" w:space="0" w:color="auto"/>
                <w:left w:val="single" w:sz="48" w:space="0" w:color="FFFFFF"/>
                <w:bottom w:val="none" w:sz="0" w:space="0" w:color="auto"/>
                <w:right w:val="none" w:sz="0" w:space="0" w:color="auto"/>
              </w:divBdr>
              <w:divsChild>
                <w:div w:id="1349913101">
                  <w:marLeft w:val="-15"/>
                  <w:marRight w:val="-15"/>
                  <w:marTop w:val="0"/>
                  <w:marBottom w:val="0"/>
                  <w:divBdr>
                    <w:top w:val="none" w:sz="0" w:space="0" w:color="auto"/>
                    <w:left w:val="single" w:sz="6" w:space="0" w:color="F9C661"/>
                    <w:bottom w:val="none" w:sz="0" w:space="0" w:color="auto"/>
                    <w:right w:val="single" w:sz="6" w:space="0" w:color="DADADA"/>
                  </w:divBdr>
                  <w:divsChild>
                    <w:div w:id="508524154">
                      <w:marLeft w:val="-30"/>
                      <w:marRight w:val="-45"/>
                      <w:marTop w:val="0"/>
                      <w:marBottom w:val="0"/>
                      <w:divBdr>
                        <w:top w:val="none" w:sz="0" w:space="0" w:color="auto"/>
                        <w:left w:val="none" w:sz="0" w:space="0" w:color="auto"/>
                        <w:bottom w:val="none" w:sz="0" w:space="0" w:color="auto"/>
                        <w:right w:val="none" w:sz="0" w:space="0" w:color="auto"/>
                      </w:divBdr>
                      <w:divsChild>
                        <w:div w:id="11917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8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4037</Words>
  <Characters>24148</Characters>
  <Application>Microsoft Office Word</Application>
  <DocSecurity>4</DocSecurity>
  <Lines>561</Lines>
  <Paragraphs>247</Paragraphs>
  <ScaleCrop>false</ScaleCrop>
  <HeadingPairs>
    <vt:vector size="2" baseType="variant">
      <vt:variant>
        <vt:lpstr>Rubrik</vt:lpstr>
      </vt:variant>
      <vt:variant>
        <vt:i4>1</vt:i4>
      </vt:variant>
    </vt:vector>
  </HeadingPairs>
  <TitlesOfParts>
    <vt:vector size="1" baseType="lpstr">
      <vt:lpstr>v801</vt:lpstr>
    </vt:vector>
  </TitlesOfParts>
  <Company>Riksdagen</Company>
  <LinksUpToDate>false</LinksUpToDate>
  <CharactersWithSpaces>27938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v801</dc:title>
  <dc:subject>v801</dc:subject>
  <dc:creator>Riksdagen</dc:creator>
  <cp:keywords>Riksdagen</cp:keywords>
  <dc:description>TKG-ktrl, MSMQ4mb, PersReg-Distribution mm</dc:description>
  <cp:lastModifiedBy>Lars Brink</cp:lastModifiedBy>
  <cp:revision>2</cp:revision>
  <cp:lastPrinted>2007-10-11T11:39:00Z</cp:lastPrinted>
  <dcterms:created xsi:type="dcterms:W3CDTF">2025-12-17T04:56:00Z</dcterms:created>
  <dcterms:modified xsi:type="dcterms:W3CDTF">2025-12-17T04:56:00Z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18 Samhällsplanering, bostadsförsörjning,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byggande samt konsumentpolitik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20072008000000000118000008010080</vt:lpwstr>
  </property>
  <property fmtid="{D5CDD505-2E9C-101B-9397-08002B2CF9AE}" pid="47" name="datum">
    <vt:lpwstr>071003</vt:lpwstr>
  </property>
  <property fmtid="{D5CDD505-2E9C-101B-9397-08002B2CF9AE}" pid="48" name="avsändar-e-post">
    <vt:lpwstr>jill-marie.linder@riksdagen.se</vt:lpwstr>
  </property>
  <property fmtid="{D5CDD505-2E9C-101B-9397-08002B2CF9AE}" pid="49" name="id">
    <vt:lpwstr>20072008000000000118000008010080</vt:lpwstr>
  </property>
  <property fmtid="{D5CDD505-2E9C-101B-9397-08002B2CF9AE}" pid="50" name="nummer">
    <vt:lpwstr>325</vt:lpwstr>
  </property>
  <property fmtid="{D5CDD505-2E9C-101B-9397-08002B2CF9AE}" pid="51" name="utskottsbeteckning">
    <vt:lpwstr>C</vt:lpwstr>
  </property>
  <property fmtid="{D5CDD505-2E9C-101B-9397-08002B2CF9AE}" pid="52" name="GlobalUID">
    <vt:lpwstr>{EAFDE551-F857-4F7D-B9DD-AB6CAFF855C4}</vt:lpwstr>
  </property>
  <property fmtid="{D5CDD505-2E9C-101B-9397-08002B2CF9AE}" pid="53" name="Överföringar">
    <vt:i4>0</vt:i4>
  </property>
  <property fmtid="{D5CDD505-2E9C-101B-9397-08002B2CF9AE}" pid="54" name="Checksum">
    <vt:lpwstr>*0007462516315*</vt:lpwstr>
  </property>
  <property fmtid="{D5CDD505-2E9C-101B-9397-08002B2CF9AE}" pid="55" name="skuggnummer">
    <vt:lpwstr>1609</vt:lpwstr>
  </property>
  <property fmtid="{D5CDD505-2E9C-101B-9397-08002B2CF9AE}" pid="56" name="urixVersion">
    <vt:lpwstr>3.2.0.9</vt:lpwstr>
  </property>
  <property fmtid="{D5CDD505-2E9C-101B-9397-08002B2CF9AE}" pid="57" name="urixOrigin">
    <vt:lpwstr>071016 20:02:34.138</vt:lpwstr>
  </property>
  <property fmtid="{D5CDD505-2E9C-101B-9397-08002B2CF9AE}" pid="58" name="urixGuid">
    <vt:lpwstr>{8823E39E-A5DA-49B1-AF22-BCD29C01BACB}</vt:lpwstr>
  </property>
</Properties>
</file>