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22" w:rsidRPr="00131633" w:rsidRDefault="00E73422" w:rsidP="00C969B4">
      <w:pPr>
        <w:spacing w:after="0"/>
        <w:rPr>
          <w:rFonts w:ascii="OrigGarmnd BT" w:hAnsi="OrigGarmnd BT"/>
          <w:b/>
          <w:sz w:val="24"/>
          <w:szCs w:val="24"/>
          <w:lang w:eastAsia="sv-SE"/>
        </w:rPr>
      </w:pPr>
      <w:r w:rsidRPr="00131633">
        <w:rPr>
          <w:rFonts w:ascii="OrigGarmnd BT" w:hAnsi="OrigGarmnd BT"/>
          <w:b/>
          <w:sz w:val="24"/>
          <w:szCs w:val="24"/>
          <w:lang w:eastAsia="sv-SE"/>
        </w:rPr>
        <w:t>REGERINGSKANSLIET</w:t>
      </w:r>
    </w:p>
    <w:p w:rsidR="00E73422" w:rsidRPr="00131633" w:rsidRDefault="00E73422" w:rsidP="00C969B4">
      <w:pPr>
        <w:spacing w:after="0"/>
        <w:rPr>
          <w:rFonts w:ascii="OrigGarmnd BT" w:hAnsi="OrigGarmnd BT"/>
          <w:b/>
          <w:sz w:val="24"/>
          <w:szCs w:val="24"/>
          <w:lang w:eastAsia="sv-SE"/>
        </w:rPr>
      </w:pPr>
      <w:r w:rsidRPr="00131633">
        <w:rPr>
          <w:rFonts w:ascii="OrigGarmnd BT" w:hAnsi="OrigGarmnd BT"/>
          <w:b/>
          <w:sz w:val="24"/>
          <w:szCs w:val="24"/>
          <w:lang w:eastAsia="sv-SE"/>
        </w:rPr>
        <w:t>Utrikesdepartementet</w:t>
      </w:r>
      <w:r w:rsidRPr="00131633">
        <w:rPr>
          <w:rFonts w:ascii="OrigGarmnd BT" w:hAnsi="OrigGarmnd BT"/>
          <w:b/>
          <w:sz w:val="24"/>
          <w:szCs w:val="24"/>
          <w:lang w:eastAsia="sv-SE"/>
        </w:rPr>
        <w:tab/>
      </w:r>
      <w:r w:rsidRPr="00131633">
        <w:rPr>
          <w:rFonts w:ascii="OrigGarmnd BT" w:hAnsi="OrigGarmnd BT"/>
          <w:b/>
          <w:sz w:val="24"/>
          <w:szCs w:val="24"/>
          <w:lang w:eastAsia="sv-SE"/>
        </w:rPr>
        <w:tab/>
      </w:r>
      <w:r w:rsidRPr="00131633">
        <w:rPr>
          <w:rFonts w:ascii="OrigGarmnd BT" w:hAnsi="OrigGarmnd BT"/>
          <w:b/>
          <w:sz w:val="24"/>
          <w:szCs w:val="24"/>
          <w:lang w:eastAsia="sv-SE"/>
        </w:rPr>
        <w:tab/>
        <w:t>Kommenterad dagordning</w:t>
      </w:r>
    </w:p>
    <w:p w:rsidR="00E73422" w:rsidRPr="00131633" w:rsidRDefault="00E73422" w:rsidP="00C969B4">
      <w:pPr>
        <w:spacing w:after="0"/>
        <w:ind w:left="3912" w:firstLine="1304"/>
        <w:rPr>
          <w:rFonts w:ascii="OrigGarmnd BT" w:hAnsi="OrigGarmnd BT"/>
          <w:b/>
          <w:sz w:val="24"/>
          <w:szCs w:val="24"/>
          <w:lang w:eastAsia="sv-SE"/>
        </w:rPr>
      </w:pPr>
      <w:r w:rsidRPr="00131633">
        <w:rPr>
          <w:rFonts w:ascii="OrigGarmnd BT" w:hAnsi="OrigGarmnd BT"/>
          <w:b/>
          <w:sz w:val="24"/>
          <w:szCs w:val="24"/>
          <w:lang w:eastAsia="sv-SE"/>
        </w:rPr>
        <w:t>Ministerrådet</w:t>
      </w:r>
    </w:p>
    <w:p w:rsidR="00E73422" w:rsidRPr="00131633" w:rsidRDefault="00E73422" w:rsidP="00C969B4">
      <w:pPr>
        <w:spacing w:after="0"/>
        <w:rPr>
          <w:rFonts w:ascii="OrigGarmnd BT" w:hAnsi="OrigGarmnd BT"/>
          <w:b/>
          <w:sz w:val="24"/>
          <w:szCs w:val="24"/>
          <w:lang w:eastAsia="sv-SE"/>
        </w:rPr>
      </w:pPr>
      <w:r w:rsidRPr="00131633">
        <w:rPr>
          <w:rFonts w:ascii="OrigGarmnd BT" w:hAnsi="OrigGarmnd BT"/>
          <w:b/>
          <w:sz w:val="24"/>
          <w:szCs w:val="24"/>
          <w:lang w:eastAsia="sv-SE"/>
        </w:rPr>
        <w:t>Europakorrespondentenheten</w:t>
      </w:r>
    </w:p>
    <w:p w:rsidR="00E73422" w:rsidRPr="00131633" w:rsidRDefault="00E73422" w:rsidP="008F0B56">
      <w:pPr>
        <w:spacing w:after="0"/>
        <w:rPr>
          <w:rFonts w:ascii="OrigGarmnd BT" w:hAnsi="OrigGarmnd BT"/>
          <w:b/>
          <w:sz w:val="24"/>
          <w:szCs w:val="24"/>
          <w:lang w:eastAsia="sv-SE"/>
        </w:rPr>
      </w:pPr>
    </w:p>
    <w:p w:rsidR="00E73422" w:rsidRPr="00131633" w:rsidRDefault="00E73422" w:rsidP="00C969B4">
      <w:pPr>
        <w:spacing w:after="0"/>
        <w:jc w:val="center"/>
        <w:rPr>
          <w:rFonts w:ascii="OrigGarmnd BT" w:hAnsi="OrigGarmnd BT"/>
          <w:b/>
          <w:sz w:val="24"/>
          <w:szCs w:val="24"/>
          <w:lang w:eastAsia="sv-SE"/>
        </w:rPr>
      </w:pPr>
    </w:p>
    <w:p w:rsidR="00E73422" w:rsidRPr="00131633" w:rsidRDefault="00E73422" w:rsidP="00C969B4">
      <w:pPr>
        <w:spacing w:after="0"/>
        <w:rPr>
          <w:rFonts w:ascii="OrigGarmnd BT" w:hAnsi="OrigGarmnd BT"/>
          <w:b/>
          <w:sz w:val="24"/>
          <w:szCs w:val="24"/>
          <w:lang w:eastAsia="sv-SE"/>
        </w:rPr>
      </w:pPr>
    </w:p>
    <w:p w:rsidR="00E73422" w:rsidRPr="00131633" w:rsidRDefault="00E73422" w:rsidP="00C969B4">
      <w:pPr>
        <w:spacing w:after="0"/>
        <w:jc w:val="center"/>
        <w:rPr>
          <w:rFonts w:ascii="OrigGarmnd BT" w:hAnsi="OrigGarmnd BT"/>
          <w:b/>
          <w:sz w:val="24"/>
          <w:szCs w:val="24"/>
          <w:lang w:eastAsia="sv-SE"/>
        </w:rPr>
      </w:pPr>
      <w:r w:rsidRPr="00131633">
        <w:rPr>
          <w:rFonts w:ascii="OrigGarmnd BT" w:hAnsi="OrigGarmnd BT"/>
          <w:b/>
          <w:sz w:val="24"/>
          <w:szCs w:val="24"/>
          <w:lang w:eastAsia="sv-SE"/>
        </w:rPr>
        <w:t>Kommenterad dagordning för utrikesrådet</w:t>
      </w:r>
    </w:p>
    <w:p w:rsidR="00E73422" w:rsidRPr="00131633" w:rsidRDefault="00E73422" w:rsidP="00C969B4">
      <w:pPr>
        <w:spacing w:after="0"/>
        <w:jc w:val="center"/>
        <w:rPr>
          <w:rFonts w:ascii="OrigGarmnd BT" w:hAnsi="OrigGarmnd BT"/>
          <w:b/>
          <w:sz w:val="24"/>
          <w:szCs w:val="24"/>
          <w:lang w:eastAsia="sv-SE"/>
        </w:rPr>
      </w:pPr>
      <w:r w:rsidRPr="00131633">
        <w:rPr>
          <w:rFonts w:ascii="OrigGarmnd BT" w:hAnsi="OrigGarmnd BT"/>
          <w:b/>
          <w:sz w:val="24"/>
          <w:szCs w:val="24"/>
          <w:lang w:eastAsia="sv-SE"/>
        </w:rPr>
        <w:t xml:space="preserve">den </w:t>
      </w:r>
      <w:r>
        <w:rPr>
          <w:rFonts w:ascii="OrigGarmnd BT" w:hAnsi="OrigGarmnd BT"/>
          <w:b/>
          <w:sz w:val="24"/>
          <w:szCs w:val="24"/>
          <w:lang w:eastAsia="sv-SE"/>
        </w:rPr>
        <w:t>21 oktober</w:t>
      </w:r>
      <w:r w:rsidRPr="00131633">
        <w:rPr>
          <w:rFonts w:ascii="OrigGarmnd BT" w:hAnsi="OrigGarmnd BT"/>
          <w:b/>
          <w:sz w:val="24"/>
          <w:szCs w:val="24"/>
          <w:lang w:eastAsia="sv-SE"/>
        </w:rPr>
        <w:t xml:space="preserve"> 2013</w:t>
      </w:r>
    </w:p>
    <w:p w:rsidR="00E73422" w:rsidRPr="00131633" w:rsidRDefault="00E73422" w:rsidP="00C969B4">
      <w:pPr>
        <w:spacing w:after="0"/>
        <w:rPr>
          <w:rFonts w:ascii="OrigGarmnd BT" w:hAnsi="OrigGarmnd BT"/>
          <w:b/>
          <w:sz w:val="24"/>
          <w:szCs w:val="24"/>
          <w:lang w:eastAsia="sv-SE"/>
        </w:rPr>
      </w:pPr>
    </w:p>
    <w:p w:rsidR="00E73422" w:rsidRPr="00131633" w:rsidRDefault="00E73422" w:rsidP="00C47419">
      <w:pPr>
        <w:rPr>
          <w:rFonts w:ascii="OrigGarmnd BT" w:hAnsi="OrigGarmnd BT"/>
          <w:b/>
          <w:sz w:val="24"/>
          <w:szCs w:val="24"/>
          <w:lang w:eastAsia="sv-SE"/>
        </w:rPr>
      </w:pPr>
    </w:p>
    <w:p w:rsidR="00E73422" w:rsidRPr="00131633" w:rsidRDefault="00E73422" w:rsidP="00C47419">
      <w:pPr>
        <w:rPr>
          <w:rFonts w:ascii="OrigGarmnd BT" w:hAnsi="OrigGarmnd BT"/>
          <w:b/>
          <w:sz w:val="24"/>
          <w:szCs w:val="24"/>
          <w:lang w:eastAsia="sv-SE"/>
        </w:rPr>
      </w:pPr>
      <w:r w:rsidRPr="00131633">
        <w:rPr>
          <w:rFonts w:ascii="OrigGarmnd BT" w:hAnsi="OrigGarmnd BT"/>
          <w:b/>
          <w:sz w:val="24"/>
          <w:szCs w:val="24"/>
          <w:lang w:eastAsia="sv-SE"/>
        </w:rPr>
        <w:t>Utrikesministrarnas möte</w:t>
      </w:r>
    </w:p>
    <w:p w:rsidR="00E73422" w:rsidRPr="00131633" w:rsidRDefault="00E73422" w:rsidP="00C47419">
      <w:pPr>
        <w:pStyle w:val="NoSpacing"/>
        <w:spacing w:after="200" w:line="276" w:lineRule="auto"/>
        <w:rPr>
          <w:rFonts w:ascii="OrigGarmnd BT" w:hAnsi="OrigGarmnd BT"/>
          <w:b/>
          <w:sz w:val="24"/>
          <w:szCs w:val="24"/>
          <w:lang w:eastAsia="sv-SE"/>
        </w:rPr>
      </w:pPr>
      <w:r w:rsidRPr="00131633">
        <w:rPr>
          <w:rFonts w:ascii="OrigGarmnd BT" w:hAnsi="OrigGarmnd BT"/>
          <w:b/>
          <w:sz w:val="24"/>
          <w:szCs w:val="24"/>
          <w:lang w:eastAsia="sv-SE"/>
        </w:rPr>
        <w:t>1. Godkännande av den preliminära dagordningen</w:t>
      </w:r>
    </w:p>
    <w:p w:rsidR="00E73422" w:rsidRPr="00131633" w:rsidRDefault="00E73422" w:rsidP="00C47419">
      <w:pPr>
        <w:pStyle w:val="NoSpacing"/>
        <w:spacing w:after="200" w:line="276" w:lineRule="auto"/>
        <w:rPr>
          <w:rFonts w:ascii="OrigGarmnd BT" w:hAnsi="OrigGarmnd BT"/>
          <w:b/>
          <w:sz w:val="24"/>
          <w:szCs w:val="24"/>
          <w:lang w:eastAsia="sv-SE"/>
        </w:rPr>
      </w:pPr>
      <w:r w:rsidRPr="00131633">
        <w:rPr>
          <w:rFonts w:ascii="OrigGarmnd BT" w:hAnsi="OrigGarmnd BT"/>
          <w:b/>
          <w:sz w:val="24"/>
          <w:szCs w:val="24"/>
          <w:lang w:eastAsia="sv-SE"/>
        </w:rPr>
        <w:t>2. Godkännande av A-punktslistan</w:t>
      </w:r>
    </w:p>
    <w:p w:rsidR="00E73422" w:rsidRPr="00131633" w:rsidRDefault="00E73422" w:rsidP="008822B3">
      <w:pPr>
        <w:spacing w:after="0"/>
        <w:rPr>
          <w:rFonts w:ascii="OrigGarmnd BT" w:hAnsi="OrigGarmnd BT"/>
          <w:i/>
          <w:sz w:val="24"/>
          <w:szCs w:val="24"/>
          <w:lang w:eastAsia="sv-SE"/>
        </w:rPr>
      </w:pPr>
      <w:r w:rsidRPr="00131633">
        <w:rPr>
          <w:rFonts w:ascii="OrigGarmnd BT" w:hAnsi="OrigGarmnd BT"/>
          <w:b/>
          <w:sz w:val="24"/>
          <w:szCs w:val="24"/>
          <w:lang w:eastAsia="sv-SE"/>
        </w:rPr>
        <w:t>3.</w:t>
      </w:r>
      <w:r>
        <w:rPr>
          <w:rFonts w:ascii="OrigGarmnd BT" w:hAnsi="OrigGarmnd BT"/>
          <w:b/>
          <w:sz w:val="24"/>
          <w:szCs w:val="24"/>
          <w:lang w:eastAsia="sv-SE"/>
        </w:rPr>
        <w:t>Östliga Partnerskapet</w:t>
      </w:r>
      <w:r w:rsidRPr="00131633">
        <w:rPr>
          <w:rFonts w:ascii="OrigGarmnd BT" w:hAnsi="OrigGarmnd BT"/>
          <w:b/>
          <w:sz w:val="24"/>
          <w:szCs w:val="24"/>
          <w:lang w:eastAsia="sv-SE"/>
        </w:rPr>
        <w:br/>
      </w:r>
      <w:r>
        <w:rPr>
          <w:rFonts w:ascii="OrigGarmnd BT" w:hAnsi="OrigGarmnd BT"/>
          <w:i/>
          <w:sz w:val="24"/>
          <w:szCs w:val="24"/>
          <w:lang w:eastAsia="sv-SE"/>
        </w:rPr>
        <w:t>D</w:t>
      </w:r>
      <w:r w:rsidRPr="00131633">
        <w:rPr>
          <w:rFonts w:ascii="OrigGarmnd BT" w:hAnsi="OrigGarmnd BT"/>
          <w:i/>
          <w:sz w:val="24"/>
          <w:szCs w:val="24"/>
          <w:lang w:eastAsia="sv-SE"/>
        </w:rPr>
        <w:t xml:space="preserve">iskussionspunkt </w:t>
      </w:r>
    </w:p>
    <w:p w:rsidR="00E73422" w:rsidRPr="00131633" w:rsidRDefault="00E73422" w:rsidP="008822B3">
      <w:pPr>
        <w:spacing w:after="0"/>
        <w:rPr>
          <w:rFonts w:ascii="OrigGarmnd BT" w:hAnsi="OrigGarmnd BT"/>
          <w:b/>
          <w:sz w:val="24"/>
          <w:szCs w:val="24"/>
          <w:lang w:eastAsia="sv-SE"/>
        </w:rPr>
      </w:pPr>
    </w:p>
    <w:p w:rsidR="00E73422" w:rsidRPr="00131633" w:rsidRDefault="00E73422" w:rsidP="008822B3">
      <w:pPr>
        <w:spacing w:after="0"/>
        <w:rPr>
          <w:rFonts w:ascii="OrigGarmnd BT" w:hAnsi="OrigGarmnd BT"/>
          <w:sz w:val="24"/>
          <w:szCs w:val="24"/>
        </w:rPr>
      </w:pPr>
      <w:r w:rsidRPr="00131633">
        <w:rPr>
          <w:rFonts w:ascii="OrigGarmnd BT" w:hAnsi="OrigGarmnd BT"/>
          <w:sz w:val="24"/>
          <w:szCs w:val="24"/>
        </w:rPr>
        <w:t xml:space="preserve">Rådet förväntas diskutera Östliga partnerskapet inför det </w:t>
      </w:r>
      <w:r>
        <w:rPr>
          <w:rFonts w:ascii="OrigGarmnd BT" w:hAnsi="OrigGarmnd BT"/>
          <w:sz w:val="24"/>
          <w:szCs w:val="24"/>
        </w:rPr>
        <w:t>toppmöte</w:t>
      </w:r>
      <w:r w:rsidRPr="00131633">
        <w:rPr>
          <w:rFonts w:ascii="OrigGarmnd BT" w:hAnsi="OrigGarmnd BT"/>
          <w:sz w:val="24"/>
          <w:szCs w:val="24"/>
        </w:rPr>
        <w:t xml:space="preserve">, som kommer att äga rum i </w:t>
      </w:r>
      <w:r>
        <w:rPr>
          <w:rFonts w:ascii="OrigGarmnd BT" w:hAnsi="OrigGarmnd BT"/>
          <w:sz w:val="24"/>
          <w:szCs w:val="24"/>
        </w:rPr>
        <w:t>Vilnius den 28 till 29 november 2013</w:t>
      </w:r>
      <w:r w:rsidRPr="00131633">
        <w:rPr>
          <w:rFonts w:ascii="OrigGarmnd BT" w:hAnsi="OrigGarmnd BT"/>
          <w:sz w:val="24"/>
          <w:szCs w:val="24"/>
        </w:rPr>
        <w:t xml:space="preserve">. </w:t>
      </w:r>
    </w:p>
    <w:p w:rsidR="00E73422" w:rsidRPr="00131633" w:rsidRDefault="00E73422" w:rsidP="008822B3">
      <w:pPr>
        <w:spacing w:after="0"/>
        <w:rPr>
          <w:rFonts w:ascii="OrigGarmnd BT" w:hAnsi="OrigGarmnd BT"/>
          <w:i/>
          <w:sz w:val="24"/>
          <w:szCs w:val="24"/>
          <w:lang w:eastAsia="sv-SE"/>
        </w:rPr>
      </w:pPr>
    </w:p>
    <w:p w:rsidR="00E73422" w:rsidRPr="00131633" w:rsidRDefault="00E73422" w:rsidP="008822B3">
      <w:pPr>
        <w:rPr>
          <w:rFonts w:ascii="OrigGarmnd BT" w:hAnsi="OrigGarmnd BT"/>
          <w:sz w:val="24"/>
          <w:szCs w:val="24"/>
          <w:lang w:eastAsia="sv-SE"/>
        </w:rPr>
      </w:pPr>
      <w:r w:rsidRPr="00131633">
        <w:rPr>
          <w:rFonts w:ascii="OrigGarmnd BT" w:hAnsi="OrigGarmnd BT"/>
          <w:sz w:val="24"/>
          <w:szCs w:val="24"/>
          <w:u w:val="single"/>
          <w:lang w:eastAsia="sv-SE"/>
        </w:rPr>
        <w:t>Regeringens ståndpunkt</w:t>
      </w:r>
      <w:r w:rsidRPr="00131633">
        <w:rPr>
          <w:rFonts w:ascii="OrigGarmnd BT" w:hAnsi="OrigGarmnd BT"/>
          <w:sz w:val="24"/>
          <w:szCs w:val="24"/>
          <w:lang w:eastAsia="sv-SE"/>
        </w:rPr>
        <w:t xml:space="preserve">: Regeringens övergripande bedömning är att Östliga partnerskapet är centralt för att föra partnerländerna närmare EU och att </w:t>
      </w:r>
      <w:r>
        <w:rPr>
          <w:rFonts w:ascii="OrigGarmnd BT" w:hAnsi="OrigGarmnd BT"/>
          <w:sz w:val="24"/>
          <w:szCs w:val="24"/>
          <w:lang w:eastAsia="sv-SE"/>
        </w:rPr>
        <w:t>toppmötet den 28 till 29 november</w:t>
      </w:r>
      <w:r w:rsidRPr="00131633">
        <w:rPr>
          <w:rFonts w:ascii="OrigGarmnd BT" w:hAnsi="OrigGarmnd BT"/>
          <w:sz w:val="24"/>
          <w:szCs w:val="24"/>
          <w:lang w:eastAsia="sv-SE"/>
        </w:rPr>
        <w:t xml:space="preserve"> blir en viktig hållpunkt för det fortsatta arbetet i denna riktning. EU bör fortsatt stå fast vid och utveckla partnerskapet, särskilt i ljuset av de fortsatta utmaningarna i flera av länderna i regionen</w:t>
      </w:r>
      <w:r>
        <w:rPr>
          <w:rFonts w:ascii="OrigGarmnd BT" w:hAnsi="OrigGarmnd BT"/>
          <w:sz w:val="24"/>
          <w:szCs w:val="24"/>
          <w:lang w:eastAsia="sv-SE"/>
        </w:rPr>
        <w:t>. Under förutsättning att ställda kriterier uppfylls är det regeringens förhoppning att kunna underteckna associeringsavtalet och det djupgående frihandelsavtalet med Ukraina samt att parafera motsvarande avtal med Moldavien och Georgien. U</w:t>
      </w:r>
      <w:r w:rsidRPr="00131633">
        <w:rPr>
          <w:rFonts w:ascii="OrigGarmnd BT" w:hAnsi="OrigGarmnd BT"/>
          <w:sz w:val="24"/>
          <w:szCs w:val="24"/>
          <w:lang w:eastAsia="sv-SE"/>
        </w:rPr>
        <w:t>nionen</w:t>
      </w:r>
      <w:r>
        <w:rPr>
          <w:rFonts w:ascii="OrigGarmnd BT" w:hAnsi="OrigGarmnd BT"/>
          <w:sz w:val="24"/>
          <w:szCs w:val="24"/>
          <w:lang w:eastAsia="sv-SE"/>
        </w:rPr>
        <w:t xml:space="preserve"> måste</w:t>
      </w:r>
      <w:r w:rsidRPr="00131633">
        <w:rPr>
          <w:rFonts w:ascii="OrigGarmnd BT" w:hAnsi="OrigGarmnd BT"/>
          <w:sz w:val="24"/>
          <w:szCs w:val="24"/>
          <w:lang w:eastAsia="sv-SE"/>
        </w:rPr>
        <w:t xml:space="preserve"> vara tydlig gällande de krav på bland annat mänskliga rättigheter, demokratisering och andra reformframsteg som ett närmare samarbete med EU innebär.</w:t>
      </w:r>
    </w:p>
    <w:p w:rsidR="00E73422" w:rsidRDefault="00E73422" w:rsidP="00684B61">
      <w:pPr>
        <w:rPr>
          <w:rFonts w:ascii="OrigGarmnd BT" w:hAnsi="OrigGarmnd BT"/>
          <w:b/>
          <w:sz w:val="24"/>
          <w:szCs w:val="24"/>
          <w:lang w:eastAsia="sv-SE"/>
        </w:rPr>
      </w:pPr>
      <w:r>
        <w:rPr>
          <w:rFonts w:ascii="OrigGarmnd BT" w:hAnsi="OrigGarmnd BT"/>
          <w:b/>
          <w:sz w:val="24"/>
          <w:szCs w:val="24"/>
          <w:lang w:eastAsia="sv-SE"/>
        </w:rPr>
        <w:t>4</w:t>
      </w:r>
      <w:r w:rsidRPr="00316BA8">
        <w:rPr>
          <w:rFonts w:ascii="OrigGarmnd BT" w:hAnsi="OrigGarmnd BT"/>
          <w:b/>
          <w:sz w:val="24"/>
          <w:szCs w:val="24"/>
          <w:lang w:eastAsia="sv-SE"/>
        </w:rPr>
        <w:t xml:space="preserve">. </w:t>
      </w:r>
      <w:r>
        <w:rPr>
          <w:rFonts w:ascii="OrigGarmnd BT" w:hAnsi="OrigGarmnd BT"/>
          <w:b/>
          <w:sz w:val="24"/>
          <w:szCs w:val="24"/>
          <w:lang w:eastAsia="sv-SE"/>
        </w:rPr>
        <w:t>Södra grannskapet</w:t>
      </w:r>
    </w:p>
    <w:p w:rsidR="00E73422" w:rsidRPr="00EF76F2" w:rsidRDefault="00E73422" w:rsidP="00684B61">
      <w:pPr>
        <w:rPr>
          <w:rFonts w:ascii="OrigGarmnd BT" w:hAnsi="OrigGarmnd BT"/>
          <w:sz w:val="24"/>
          <w:szCs w:val="24"/>
          <w:lang w:eastAsia="sv-SE"/>
        </w:rPr>
      </w:pPr>
      <w:r>
        <w:rPr>
          <w:rFonts w:ascii="OrigGarmnd BT" w:hAnsi="OrigGarmnd BT"/>
          <w:b/>
          <w:sz w:val="24"/>
          <w:szCs w:val="24"/>
          <w:lang w:eastAsia="sv-SE"/>
        </w:rPr>
        <w:t>-</w:t>
      </w:r>
      <w:r w:rsidRPr="00316BA8">
        <w:rPr>
          <w:rFonts w:ascii="OrigGarmnd BT" w:hAnsi="OrigGarmnd BT"/>
          <w:b/>
          <w:sz w:val="24"/>
          <w:szCs w:val="24"/>
          <w:lang w:eastAsia="sv-SE"/>
        </w:rPr>
        <w:t>Syrien</w:t>
      </w:r>
      <w:r>
        <w:rPr>
          <w:rFonts w:ascii="OrigGarmnd BT" w:hAnsi="OrigGarmnd BT"/>
          <w:sz w:val="24"/>
          <w:szCs w:val="24"/>
          <w:lang w:eastAsia="sv-SE"/>
        </w:rPr>
        <w:br/>
      </w:r>
      <w:r>
        <w:rPr>
          <w:rFonts w:ascii="OrigGarmnd BT" w:hAnsi="OrigGarmnd BT"/>
          <w:i/>
          <w:sz w:val="24"/>
          <w:szCs w:val="20"/>
        </w:rPr>
        <w:t>Diskussionspunkt</w:t>
      </w:r>
      <w:r>
        <w:rPr>
          <w:rFonts w:ascii="OrigGarmnd BT" w:hAnsi="OrigGarmnd BT"/>
          <w:sz w:val="24"/>
          <w:szCs w:val="24"/>
          <w:lang w:eastAsia="sv-SE"/>
        </w:rPr>
        <w:br/>
      </w:r>
      <w:r w:rsidRPr="00EF76F2">
        <w:rPr>
          <w:rFonts w:ascii="OrigGarmnd BT" w:hAnsi="OrigGarmnd BT"/>
          <w:sz w:val="24"/>
          <w:szCs w:val="20"/>
        </w:rPr>
        <w:t>Rådet kommer diskutera läget i kemvapenfrågan, den politiska händelse</w:t>
      </w:r>
      <w:r w:rsidRPr="00EF76F2">
        <w:rPr>
          <w:rFonts w:ascii="OrigGarmnd BT" w:hAnsi="OrigGarmnd BT"/>
          <w:sz w:val="24"/>
          <w:szCs w:val="20"/>
        </w:rPr>
        <w:softHyphen/>
        <w:t xml:space="preserve">utvecklingen och den humanitära situationen, och hur EU bör agera framöver. </w:t>
      </w:r>
      <w:r>
        <w:rPr>
          <w:rFonts w:ascii="OrigGarmnd BT" w:hAnsi="OrigGarmnd BT"/>
          <w:sz w:val="24"/>
          <w:szCs w:val="24"/>
          <w:lang w:eastAsia="sv-SE"/>
        </w:rPr>
        <w:br/>
      </w:r>
      <w:r>
        <w:rPr>
          <w:rFonts w:ascii="OrigGarmnd BT" w:hAnsi="OrigGarmnd BT"/>
          <w:sz w:val="24"/>
          <w:szCs w:val="24"/>
          <w:lang w:eastAsia="sv-SE"/>
        </w:rPr>
        <w:br/>
      </w:r>
      <w:r w:rsidRPr="00EF76F2">
        <w:rPr>
          <w:rFonts w:ascii="OrigGarmnd BT" w:hAnsi="OrigGarmnd BT"/>
          <w:sz w:val="24"/>
          <w:szCs w:val="24"/>
          <w:u w:val="single"/>
        </w:rPr>
        <w:t>Regeringens ståndpunkt:</w:t>
      </w:r>
      <w:r w:rsidRPr="00EF76F2">
        <w:rPr>
          <w:rFonts w:ascii="OrigGarmnd BT" w:hAnsi="OrigGarmnd BT"/>
          <w:sz w:val="24"/>
          <w:szCs w:val="20"/>
        </w:rPr>
        <w:t xml:space="preserve">Regeringen känner fortsatt djup oro </w:t>
      </w:r>
      <w:r>
        <w:rPr>
          <w:rFonts w:ascii="OrigGarmnd BT" w:hAnsi="OrigGarmnd BT"/>
          <w:sz w:val="24"/>
          <w:szCs w:val="20"/>
        </w:rPr>
        <w:t>över</w:t>
      </w:r>
      <w:r w:rsidRPr="00EF76F2">
        <w:rPr>
          <w:rFonts w:ascii="OrigGarmnd BT" w:hAnsi="OrigGarmnd BT"/>
          <w:sz w:val="24"/>
          <w:szCs w:val="20"/>
        </w:rPr>
        <w:t xml:space="preserve"> utvecklingen i Syrien och dess regionala följder. Regeringen välkomnar att säkerhetsrådet har enats i resolution 2118 om elimineringen av Syriens kemvapen. Regeringen välkomnar också det relaterade beslutet i </w:t>
      </w:r>
      <w:r w:rsidRPr="00EF76F2">
        <w:rPr>
          <w:rFonts w:ascii="OrigGarmnd BT" w:hAnsi="OrigGarmnd BT" w:cs="OrigGarmnd BT"/>
          <w:color w:val="000000"/>
          <w:sz w:val="24"/>
          <w:szCs w:val="24"/>
          <w:lang w:eastAsia="sv-SE"/>
        </w:rPr>
        <w:t>Organisationen för förbud av kemiska vapen</w:t>
      </w:r>
      <w:r w:rsidRPr="00EF76F2">
        <w:rPr>
          <w:rFonts w:ascii="OrigGarmnd BT" w:hAnsi="OrigGarmnd BT"/>
          <w:sz w:val="24"/>
          <w:szCs w:val="20"/>
        </w:rPr>
        <w:t>. Regeringen ser mycket positivt på att resolution 2118 förankrar den s.k. Genève-kommunikén i säkerhets</w:t>
      </w:r>
      <w:r w:rsidRPr="00EF76F2">
        <w:rPr>
          <w:rFonts w:ascii="OrigGarmnd BT" w:hAnsi="OrigGarmnd BT"/>
          <w:sz w:val="24"/>
          <w:szCs w:val="20"/>
        </w:rPr>
        <w:softHyphen/>
        <w:t>rådet och understryker att Genève II bör hållas så snart som möjligt. Regeringen anser det angeläget att sätta ett datum för konferensen. Regeringen betonar att EU i detta viktiga skede måste ge sitt fulla stöd till den politiska processen, samt skicka ett sam</w:t>
      </w:r>
      <w:r w:rsidRPr="00EF76F2">
        <w:rPr>
          <w:rFonts w:ascii="OrigGarmnd BT" w:hAnsi="OrigGarmnd BT"/>
          <w:sz w:val="24"/>
          <w:szCs w:val="20"/>
        </w:rPr>
        <w:softHyphen/>
        <w:t>stämmigt budskap till oppositionen om vikten av ett konstruktivt deltagande i konferensen. Regeringen oroas fortsatt av den allt svårare humanitära situationen</w:t>
      </w:r>
      <w:r>
        <w:rPr>
          <w:rFonts w:ascii="OrigGarmnd BT" w:hAnsi="OrigGarmnd BT"/>
          <w:sz w:val="24"/>
          <w:szCs w:val="20"/>
        </w:rPr>
        <w:t xml:space="preserve"> och det begränsade humanitära tillträdet</w:t>
      </w:r>
      <w:r w:rsidRPr="00EF76F2">
        <w:rPr>
          <w:rFonts w:ascii="OrigGarmnd BT" w:hAnsi="OrigGarmnd BT"/>
          <w:sz w:val="24"/>
          <w:szCs w:val="20"/>
        </w:rPr>
        <w:t xml:space="preserve">. Sverige understryker att alla relevanta aktörer måste använda sig av ordförandeskapsuttalandet i säkerhetsrådet från den 2 oktober om respekt för den internationella humanitärrätten för att påverka parterna. Sverige är fortsatt en stor givare av humanitärt bistånd till drabbade i Syrienkrisen. </w:t>
      </w:r>
    </w:p>
    <w:p w:rsidR="00E73422" w:rsidRPr="006421A2" w:rsidRDefault="00E73422" w:rsidP="00316BA8">
      <w:pPr>
        <w:rPr>
          <w:rFonts w:ascii="OrigGarmnd BT" w:hAnsi="OrigGarmnd BT"/>
          <w:sz w:val="24"/>
          <w:szCs w:val="24"/>
          <w:lang w:eastAsia="sv-SE"/>
        </w:rPr>
      </w:pPr>
      <w:r>
        <w:rPr>
          <w:rFonts w:ascii="OrigGarmnd BT" w:hAnsi="OrigGarmnd BT"/>
          <w:b/>
          <w:sz w:val="24"/>
          <w:szCs w:val="24"/>
        </w:rPr>
        <w:t>-</w:t>
      </w:r>
      <w:r w:rsidRPr="00316BA8">
        <w:rPr>
          <w:rFonts w:ascii="OrigGarmnd BT" w:hAnsi="OrigGarmnd BT"/>
          <w:b/>
          <w:sz w:val="24"/>
          <w:szCs w:val="24"/>
        </w:rPr>
        <w:t xml:space="preserve"> Egypten</w:t>
      </w:r>
      <w:r w:rsidRPr="00316BA8">
        <w:rPr>
          <w:rFonts w:ascii="OrigGarmnd BT" w:hAnsi="OrigGarmnd BT"/>
          <w:b/>
          <w:sz w:val="24"/>
          <w:szCs w:val="24"/>
        </w:rPr>
        <w:br/>
      </w:r>
      <w:r>
        <w:rPr>
          <w:rFonts w:ascii="OrigGarmnd BT" w:hAnsi="OrigGarmnd BT"/>
          <w:i/>
          <w:sz w:val="24"/>
          <w:szCs w:val="24"/>
        </w:rPr>
        <w:t>Diskussionspunkt</w:t>
      </w:r>
      <w:r>
        <w:rPr>
          <w:rFonts w:ascii="OrigGarmnd BT" w:hAnsi="OrigGarmnd BT"/>
          <w:i/>
          <w:sz w:val="24"/>
          <w:szCs w:val="24"/>
        </w:rPr>
        <w:br/>
      </w:r>
      <w:r>
        <w:rPr>
          <w:rFonts w:ascii="OrigGarmnd BT" w:hAnsi="OrigGarmnd BT"/>
          <w:sz w:val="24"/>
          <w:szCs w:val="24"/>
        </w:rPr>
        <w:t>Rådet förväntas diskutera utvecklingen i Egypten och följa upp rådslutsatserna från det extrainkallade utrikesrådet 21 augusti.</w:t>
      </w:r>
    </w:p>
    <w:p w:rsidR="00E73422" w:rsidRDefault="00E73422" w:rsidP="00EF76F2">
      <w:pPr>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Regeringen är fortsatt oroad över utvecklingen i Egypten. Den färdplan som stakats ut av den egyptiska interimsregeringen måste bygga på en genuint inklusiv politisk process i vilken samtliga relevanta aktörer är involverade. Det är den enda långsiktigt hållbara lösningen för landet. Ansträngningar måste göras för att</w:t>
      </w:r>
      <w:r w:rsidRPr="00552AF7">
        <w:rPr>
          <w:rFonts w:ascii="OrigGarmnd BT" w:hAnsi="OrigGarmnd BT"/>
          <w:sz w:val="24"/>
          <w:szCs w:val="24"/>
        </w:rPr>
        <w:t xml:space="preserve"> främja övergången till ett demokratiskt styrelseskick där mänskliga rättigheter, inklusive religionsfriheten, och rättsstatens principer respekteras.</w:t>
      </w:r>
      <w:r>
        <w:rPr>
          <w:rFonts w:ascii="OrigGarmnd BT" w:hAnsi="OrigGarmnd BT"/>
          <w:sz w:val="24"/>
          <w:szCs w:val="24"/>
        </w:rPr>
        <w:t xml:space="preserve">Vikten av att skyndsamt ta itu med de politiska utmaningar Egypten står inför belyses bl. a. av säkerhetsstyrkornas hantering av demonstrationerna 6 oktober och efterföljande våldsvåg. I ljuset av utvecklingen i Egypten och med utgångspunkt i rådsslutsatserna från 21 augusti är det adekvat att EU tillämpar principen om ”mer för mer” och ”mindre för mindre”. </w:t>
      </w:r>
    </w:p>
    <w:p w:rsidR="00E73422" w:rsidRDefault="00E73422" w:rsidP="001D0B71">
      <w:pPr>
        <w:rPr>
          <w:rFonts w:ascii="OrigGarmnd BT" w:hAnsi="OrigGarmnd BT"/>
          <w:sz w:val="24"/>
          <w:szCs w:val="24"/>
        </w:rPr>
      </w:pPr>
    </w:p>
    <w:p w:rsidR="00E73422" w:rsidRPr="00131633" w:rsidRDefault="00E73422" w:rsidP="001D0B71">
      <w:pPr>
        <w:rPr>
          <w:rFonts w:ascii="OrigGarmnd BT" w:hAnsi="OrigGarmnd BT"/>
          <w:b/>
          <w:sz w:val="24"/>
          <w:szCs w:val="24"/>
          <w:lang w:eastAsia="sv-SE"/>
        </w:rPr>
      </w:pPr>
      <w:bookmarkStart w:id="0" w:name="_GoBack"/>
      <w:bookmarkEnd w:id="0"/>
      <w:r>
        <w:rPr>
          <w:rFonts w:ascii="OrigGarmnd BT" w:hAnsi="OrigGarmnd BT"/>
          <w:b/>
          <w:sz w:val="24"/>
          <w:szCs w:val="24"/>
          <w:lang w:eastAsia="sv-SE"/>
        </w:rPr>
        <w:t xml:space="preserve">5. </w:t>
      </w:r>
      <w:r w:rsidRPr="001A7C94">
        <w:rPr>
          <w:rFonts w:ascii="OrigGarmnd BT" w:hAnsi="OrigGarmnd BT"/>
          <w:b/>
          <w:sz w:val="24"/>
          <w:szCs w:val="24"/>
          <w:lang w:eastAsia="sv-SE"/>
        </w:rPr>
        <w:t>Myanmar</w:t>
      </w:r>
      <w:r>
        <w:rPr>
          <w:rFonts w:ascii="OrigGarmnd BT" w:hAnsi="OrigGarmnd BT"/>
          <w:b/>
          <w:sz w:val="24"/>
          <w:szCs w:val="24"/>
          <w:lang w:eastAsia="sv-SE"/>
        </w:rPr>
        <w:t xml:space="preserve"> Burma</w:t>
      </w:r>
      <w:r w:rsidRPr="001A7C94">
        <w:rPr>
          <w:rFonts w:ascii="OrigGarmnd BT" w:hAnsi="OrigGarmnd BT"/>
          <w:b/>
          <w:sz w:val="24"/>
          <w:szCs w:val="24"/>
          <w:lang w:eastAsia="sv-SE"/>
        </w:rPr>
        <w:br/>
      </w:r>
      <w:r w:rsidRPr="001A7C94">
        <w:rPr>
          <w:rFonts w:ascii="OrigGarmnd BT" w:hAnsi="OrigGarmnd BT"/>
          <w:i/>
          <w:sz w:val="24"/>
          <w:szCs w:val="24"/>
        </w:rPr>
        <w:t>Diskussionspunkt</w:t>
      </w:r>
      <w:r>
        <w:rPr>
          <w:rFonts w:ascii="OrigGarmnd BT" w:hAnsi="OrigGarmnd BT" w:cs="Calibri"/>
          <w:sz w:val="24"/>
          <w:szCs w:val="24"/>
          <w:u w:val="single"/>
        </w:rPr>
        <w:br/>
      </w:r>
      <w:r w:rsidRPr="001A7C94">
        <w:rPr>
          <w:rFonts w:ascii="OrigGarmnd BT" w:hAnsi="OrigGarmnd BT"/>
          <w:sz w:val="24"/>
          <w:szCs w:val="24"/>
        </w:rPr>
        <w:t>Rådet förväntas diskutera Myanmar i förberedande syfte inför lunchen med Aung San Suu Kyi. Diskussionen väntas inte bli lång då det sedan i somras finns en fasts</w:t>
      </w:r>
      <w:r>
        <w:rPr>
          <w:rFonts w:ascii="OrigGarmnd BT" w:hAnsi="OrigGarmnd BT"/>
          <w:sz w:val="24"/>
          <w:szCs w:val="24"/>
        </w:rPr>
        <w:t>lagen EU-ansats gentemot landet.</w:t>
      </w:r>
      <w:r>
        <w:rPr>
          <w:rFonts w:ascii="OrigGarmnd BT" w:hAnsi="OrigGarmnd BT"/>
          <w:sz w:val="24"/>
          <w:szCs w:val="24"/>
        </w:rPr>
        <w:br/>
      </w:r>
      <w:r>
        <w:rPr>
          <w:rFonts w:ascii="OrigGarmnd BT" w:hAnsi="OrigGarmnd BT"/>
          <w:sz w:val="24"/>
          <w:szCs w:val="24"/>
        </w:rPr>
        <w:br/>
      </w:r>
      <w:r w:rsidRPr="001A7C94">
        <w:rPr>
          <w:rFonts w:ascii="OrigGarmnd BT" w:hAnsi="OrigGarmnd BT"/>
          <w:sz w:val="24"/>
          <w:szCs w:val="24"/>
          <w:u w:val="single"/>
        </w:rPr>
        <w:t>Regeringens ståndpunkt</w:t>
      </w:r>
      <w:r w:rsidRPr="001A7C94">
        <w:rPr>
          <w:rFonts w:ascii="OrigGarmnd BT" w:hAnsi="OrigGarmnd BT"/>
          <w:sz w:val="24"/>
          <w:szCs w:val="24"/>
        </w:rPr>
        <w:t xml:space="preserve">: Regeringen anser att EU vid lunchen bör ge stöd till Aung San Suu Kyi och den konstruktiva politiska roll hon åtagit sig, vilken har varit central för den positiva utveckling som ägt rum i Myanmar under de senaste två åren. EU bör vidare ta upp de problem som kvarstår i Myanmar. Situationen för den utsatta folkgruppen Rohingya i västra Myanmar, </w:t>
      </w:r>
      <w:r w:rsidRPr="001A7C94">
        <w:rPr>
          <w:rFonts w:ascii="OrigGarmnd BT" w:hAnsi="OrigGarmnd BT"/>
          <w:bCs/>
          <w:sz w:val="24"/>
          <w:szCs w:val="24"/>
        </w:rPr>
        <w:t xml:space="preserve">det antimuslimska våldet, </w:t>
      </w:r>
      <w:r w:rsidRPr="001A7C94">
        <w:rPr>
          <w:rFonts w:ascii="OrigGarmnd BT" w:hAnsi="OrigGarmnd BT"/>
          <w:sz w:val="24"/>
          <w:szCs w:val="24"/>
        </w:rPr>
        <w:t>de etniska konflikterna (särskilt i Kachin-staten) och arbetet med att reformera konstitutionen är några av frågorna att ta upp med Aung San Suu Kyi vid lunchen.</w:t>
      </w:r>
    </w:p>
    <w:sectPr w:rsidR="00E73422" w:rsidRPr="00131633" w:rsidSect="00DF1B7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422" w:rsidRDefault="00E73422" w:rsidP="00F07752">
      <w:pPr>
        <w:spacing w:after="0" w:line="240" w:lineRule="auto"/>
      </w:pPr>
      <w:r>
        <w:separator/>
      </w:r>
    </w:p>
  </w:endnote>
  <w:endnote w:type="continuationSeparator" w:id="1">
    <w:p w:rsidR="00E73422" w:rsidRDefault="00E73422" w:rsidP="00F07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422" w:rsidRDefault="00E73422" w:rsidP="00F07752">
      <w:pPr>
        <w:spacing w:after="0" w:line="240" w:lineRule="auto"/>
      </w:pPr>
      <w:r>
        <w:separator/>
      </w:r>
    </w:p>
  </w:footnote>
  <w:footnote w:type="continuationSeparator" w:id="1">
    <w:p w:rsidR="00E73422" w:rsidRDefault="00E73422" w:rsidP="00F077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1664" w:hanging="360"/>
      </w:pPr>
      <w:rPr>
        <w:rFonts w:ascii="OrigGarmnd BT" w:eastAsia="Times New Roman" w:hAnsi="OrigGarmnd BT" w:hint="default"/>
        <w:b w:val="0"/>
      </w:rPr>
    </w:lvl>
    <w:lvl w:ilvl="1" w:tplc="041D0003">
      <w:start w:val="1"/>
      <w:numFmt w:val="bullet"/>
      <w:lvlText w:val="o"/>
      <w:lvlJc w:val="left"/>
      <w:pPr>
        <w:ind w:left="2384" w:hanging="360"/>
      </w:pPr>
      <w:rPr>
        <w:rFonts w:ascii="Courier New" w:hAnsi="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hint="default"/>
      </w:rPr>
    </w:lvl>
    <w:lvl w:ilvl="8" w:tplc="041D0005">
      <w:start w:val="1"/>
      <w:numFmt w:val="bullet"/>
      <w:lvlText w:val=""/>
      <w:lvlJc w:val="left"/>
      <w:pPr>
        <w:ind w:left="7424" w:hanging="360"/>
      </w:pPr>
      <w:rPr>
        <w:rFonts w:ascii="Wingdings" w:hAnsi="Wingdings" w:hint="default"/>
      </w:rPr>
    </w:lvl>
  </w:abstractNum>
  <w:abstractNum w:abstractNumId="1">
    <w:nsid w:val="375873B9"/>
    <w:multiLevelType w:val="hybridMultilevel"/>
    <w:tmpl w:val="224C2BA4"/>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BF5680"/>
    <w:multiLevelType w:val="hybridMultilevel"/>
    <w:tmpl w:val="A99E8AA8"/>
    <w:lvl w:ilvl="0" w:tplc="7944979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176868"/>
    <w:multiLevelType w:val="hybridMultilevel"/>
    <w:tmpl w:val="3938776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nsid w:val="39C50253"/>
    <w:multiLevelType w:val="hybridMultilevel"/>
    <w:tmpl w:val="AE4E5388"/>
    <w:lvl w:ilvl="0" w:tplc="C4326B10">
      <w:start w:val="4"/>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558E703F"/>
    <w:multiLevelType w:val="hybridMultilevel"/>
    <w:tmpl w:val="F606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1357A46"/>
    <w:multiLevelType w:val="hybridMultilevel"/>
    <w:tmpl w:val="5448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AE51D4C"/>
    <w:multiLevelType w:val="hybridMultilevel"/>
    <w:tmpl w:val="C5420D3C"/>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C150B8B"/>
    <w:multiLevelType w:val="hybridMultilevel"/>
    <w:tmpl w:val="EFF40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8"/>
  </w:num>
  <w:num w:numId="5">
    <w:abstractNumId w:val="1"/>
  </w:num>
  <w:num w:numId="6">
    <w:abstractNumId w:val="3"/>
  </w:num>
  <w:num w:numId="7">
    <w:abstractNumId w:val="6"/>
  </w:num>
  <w:num w:numId="8">
    <w:abstractNumId w:val="7"/>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9B4"/>
    <w:rsid w:val="000006F3"/>
    <w:rsid w:val="00012E60"/>
    <w:rsid w:val="000163E6"/>
    <w:rsid w:val="0003603E"/>
    <w:rsid w:val="00044585"/>
    <w:rsid w:val="000966F0"/>
    <w:rsid w:val="000A0822"/>
    <w:rsid w:val="000A7006"/>
    <w:rsid w:val="000B6E3B"/>
    <w:rsid w:val="000F6C81"/>
    <w:rsid w:val="00100F62"/>
    <w:rsid w:val="0010219B"/>
    <w:rsid w:val="001060BB"/>
    <w:rsid w:val="00107AFB"/>
    <w:rsid w:val="001122EF"/>
    <w:rsid w:val="00131633"/>
    <w:rsid w:val="00140E44"/>
    <w:rsid w:val="00156910"/>
    <w:rsid w:val="00171BA3"/>
    <w:rsid w:val="00174B81"/>
    <w:rsid w:val="0019439F"/>
    <w:rsid w:val="001A7C94"/>
    <w:rsid w:val="001B32F8"/>
    <w:rsid w:val="001C50D4"/>
    <w:rsid w:val="001D0B71"/>
    <w:rsid w:val="001E7D23"/>
    <w:rsid w:val="00201148"/>
    <w:rsid w:val="002245F8"/>
    <w:rsid w:val="002353FD"/>
    <w:rsid w:val="0024059F"/>
    <w:rsid w:val="00264382"/>
    <w:rsid w:val="002816FC"/>
    <w:rsid w:val="00283E71"/>
    <w:rsid w:val="002844B2"/>
    <w:rsid w:val="002B53E1"/>
    <w:rsid w:val="002C104D"/>
    <w:rsid w:val="002D539E"/>
    <w:rsid w:val="002E2FF7"/>
    <w:rsid w:val="00304012"/>
    <w:rsid w:val="00316BA8"/>
    <w:rsid w:val="00330237"/>
    <w:rsid w:val="003449E3"/>
    <w:rsid w:val="003478A5"/>
    <w:rsid w:val="00361329"/>
    <w:rsid w:val="003818C9"/>
    <w:rsid w:val="0038635D"/>
    <w:rsid w:val="003910E8"/>
    <w:rsid w:val="0039748F"/>
    <w:rsid w:val="003A04F9"/>
    <w:rsid w:val="003A1EA4"/>
    <w:rsid w:val="003A662D"/>
    <w:rsid w:val="003B2FFB"/>
    <w:rsid w:val="003C4E4F"/>
    <w:rsid w:val="003D248D"/>
    <w:rsid w:val="0040434D"/>
    <w:rsid w:val="0042145C"/>
    <w:rsid w:val="004333C0"/>
    <w:rsid w:val="00437B0B"/>
    <w:rsid w:val="00452659"/>
    <w:rsid w:val="00483BA6"/>
    <w:rsid w:val="00485EC9"/>
    <w:rsid w:val="00487D38"/>
    <w:rsid w:val="00495074"/>
    <w:rsid w:val="004B2E67"/>
    <w:rsid w:val="004B3755"/>
    <w:rsid w:val="004C37DE"/>
    <w:rsid w:val="004C4A59"/>
    <w:rsid w:val="004D50C1"/>
    <w:rsid w:val="00513389"/>
    <w:rsid w:val="0052478D"/>
    <w:rsid w:val="00526492"/>
    <w:rsid w:val="00534D49"/>
    <w:rsid w:val="00542AEF"/>
    <w:rsid w:val="0054376B"/>
    <w:rsid w:val="00543841"/>
    <w:rsid w:val="00552AF7"/>
    <w:rsid w:val="0055501D"/>
    <w:rsid w:val="00567D37"/>
    <w:rsid w:val="00574D63"/>
    <w:rsid w:val="005A5D52"/>
    <w:rsid w:val="005B13EA"/>
    <w:rsid w:val="005B6FC5"/>
    <w:rsid w:val="005D6130"/>
    <w:rsid w:val="005E6A00"/>
    <w:rsid w:val="005F0BEF"/>
    <w:rsid w:val="00625BA8"/>
    <w:rsid w:val="00626874"/>
    <w:rsid w:val="006335CA"/>
    <w:rsid w:val="006421A2"/>
    <w:rsid w:val="00674BBA"/>
    <w:rsid w:val="00680AD0"/>
    <w:rsid w:val="00680E34"/>
    <w:rsid w:val="00684A98"/>
    <w:rsid w:val="00684B61"/>
    <w:rsid w:val="006C56E5"/>
    <w:rsid w:val="006C6D96"/>
    <w:rsid w:val="006D207F"/>
    <w:rsid w:val="006D3C40"/>
    <w:rsid w:val="006D6BDC"/>
    <w:rsid w:val="006E38C2"/>
    <w:rsid w:val="006E55DF"/>
    <w:rsid w:val="006E5EE5"/>
    <w:rsid w:val="007463E1"/>
    <w:rsid w:val="00754416"/>
    <w:rsid w:val="007760AE"/>
    <w:rsid w:val="007B127F"/>
    <w:rsid w:val="007C33F4"/>
    <w:rsid w:val="007D6E49"/>
    <w:rsid w:val="007E125A"/>
    <w:rsid w:val="007F0892"/>
    <w:rsid w:val="00802BD8"/>
    <w:rsid w:val="00807BB3"/>
    <w:rsid w:val="008146D5"/>
    <w:rsid w:val="00824E44"/>
    <w:rsid w:val="00871366"/>
    <w:rsid w:val="00872628"/>
    <w:rsid w:val="00875AEC"/>
    <w:rsid w:val="00876441"/>
    <w:rsid w:val="008773E0"/>
    <w:rsid w:val="008822B3"/>
    <w:rsid w:val="008B0B10"/>
    <w:rsid w:val="008B0D25"/>
    <w:rsid w:val="008C1900"/>
    <w:rsid w:val="008D62EE"/>
    <w:rsid w:val="008F0B56"/>
    <w:rsid w:val="008F491C"/>
    <w:rsid w:val="0091774C"/>
    <w:rsid w:val="00920FB1"/>
    <w:rsid w:val="009319C3"/>
    <w:rsid w:val="00941527"/>
    <w:rsid w:val="009519B5"/>
    <w:rsid w:val="00957A31"/>
    <w:rsid w:val="0096237B"/>
    <w:rsid w:val="0096556E"/>
    <w:rsid w:val="009B72EE"/>
    <w:rsid w:val="009C58CA"/>
    <w:rsid w:val="009C7586"/>
    <w:rsid w:val="009C75E3"/>
    <w:rsid w:val="009D200E"/>
    <w:rsid w:val="009D617D"/>
    <w:rsid w:val="009E17A4"/>
    <w:rsid w:val="009F1BF3"/>
    <w:rsid w:val="009F2ABA"/>
    <w:rsid w:val="00A16E70"/>
    <w:rsid w:val="00A17E5B"/>
    <w:rsid w:val="00A32AEE"/>
    <w:rsid w:val="00A43F57"/>
    <w:rsid w:val="00A84FB1"/>
    <w:rsid w:val="00AB7451"/>
    <w:rsid w:val="00AC44A6"/>
    <w:rsid w:val="00AC6410"/>
    <w:rsid w:val="00AD0420"/>
    <w:rsid w:val="00AD79B0"/>
    <w:rsid w:val="00AF5F6A"/>
    <w:rsid w:val="00B0457D"/>
    <w:rsid w:val="00B04AFE"/>
    <w:rsid w:val="00B13F62"/>
    <w:rsid w:val="00B37B34"/>
    <w:rsid w:val="00B4067A"/>
    <w:rsid w:val="00B50C94"/>
    <w:rsid w:val="00BA1EC5"/>
    <w:rsid w:val="00BD0F9E"/>
    <w:rsid w:val="00BD45A9"/>
    <w:rsid w:val="00BD74EB"/>
    <w:rsid w:val="00BF1E40"/>
    <w:rsid w:val="00C17858"/>
    <w:rsid w:val="00C32633"/>
    <w:rsid w:val="00C37771"/>
    <w:rsid w:val="00C464F3"/>
    <w:rsid w:val="00C46A49"/>
    <w:rsid w:val="00C47419"/>
    <w:rsid w:val="00C60804"/>
    <w:rsid w:val="00C654F9"/>
    <w:rsid w:val="00C71041"/>
    <w:rsid w:val="00C969B4"/>
    <w:rsid w:val="00CA1F00"/>
    <w:rsid w:val="00CA3197"/>
    <w:rsid w:val="00CB3F62"/>
    <w:rsid w:val="00CC1F6A"/>
    <w:rsid w:val="00CF786C"/>
    <w:rsid w:val="00CF7FD8"/>
    <w:rsid w:val="00D1605D"/>
    <w:rsid w:val="00D20BA7"/>
    <w:rsid w:val="00D271CE"/>
    <w:rsid w:val="00D32B6B"/>
    <w:rsid w:val="00D5298B"/>
    <w:rsid w:val="00D643FA"/>
    <w:rsid w:val="00D64E82"/>
    <w:rsid w:val="00D67E77"/>
    <w:rsid w:val="00D72DD5"/>
    <w:rsid w:val="00D942F3"/>
    <w:rsid w:val="00DA3BB6"/>
    <w:rsid w:val="00DB03EB"/>
    <w:rsid w:val="00DB3E67"/>
    <w:rsid w:val="00DD2F4B"/>
    <w:rsid w:val="00DE2AD8"/>
    <w:rsid w:val="00DF1B70"/>
    <w:rsid w:val="00E378F3"/>
    <w:rsid w:val="00E615EF"/>
    <w:rsid w:val="00E65C27"/>
    <w:rsid w:val="00E73422"/>
    <w:rsid w:val="00E87527"/>
    <w:rsid w:val="00EA284B"/>
    <w:rsid w:val="00EA5909"/>
    <w:rsid w:val="00EB2BB1"/>
    <w:rsid w:val="00EB5AF5"/>
    <w:rsid w:val="00EF76F2"/>
    <w:rsid w:val="00F07752"/>
    <w:rsid w:val="00F25742"/>
    <w:rsid w:val="00F34977"/>
    <w:rsid w:val="00F350CB"/>
    <w:rsid w:val="00F426CB"/>
    <w:rsid w:val="00F6211A"/>
    <w:rsid w:val="00F640D8"/>
    <w:rsid w:val="00F6634A"/>
    <w:rsid w:val="00F77D23"/>
    <w:rsid w:val="00F8059C"/>
    <w:rsid w:val="00F90672"/>
    <w:rsid w:val="00FC2F3D"/>
    <w:rsid w:val="00FD284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969B4"/>
    <w:rPr>
      <w:lang w:eastAsia="en-US"/>
    </w:rPr>
  </w:style>
  <w:style w:type="paragraph" w:customStyle="1" w:styleId="Brdtext1">
    <w:name w:val="Brödtext1"/>
    <w:basedOn w:val="Normal"/>
    <w:uiPriority w:val="99"/>
    <w:rsid w:val="006D3C40"/>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E67"/>
    <w:rPr>
      <w:rFonts w:ascii="Tahoma" w:eastAsia="Times New Roman" w:hAnsi="Tahoma" w:cs="Tahoma"/>
      <w:sz w:val="16"/>
      <w:szCs w:val="16"/>
    </w:rPr>
  </w:style>
  <w:style w:type="paragraph" w:styleId="FootnoteText">
    <w:name w:val="footnote text"/>
    <w:basedOn w:val="Normal"/>
    <w:link w:val="FootnoteTextChar"/>
    <w:uiPriority w:val="99"/>
    <w:semiHidden/>
    <w:rsid w:val="00F0775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7752"/>
    <w:rPr>
      <w:rFonts w:ascii="Calibri" w:eastAsia="Times New Roman" w:hAnsi="Calibri" w:cs="Times New Roman"/>
      <w:sz w:val="20"/>
      <w:szCs w:val="20"/>
    </w:rPr>
  </w:style>
  <w:style w:type="character" w:styleId="FootnoteReference">
    <w:name w:val="footnote reference"/>
    <w:basedOn w:val="DefaultParagraphFont"/>
    <w:uiPriority w:val="99"/>
    <w:semiHidden/>
    <w:rsid w:val="00F07752"/>
    <w:rPr>
      <w:rFonts w:cs="Times New Roman"/>
      <w:vertAlign w:val="superscript"/>
    </w:rPr>
  </w:style>
  <w:style w:type="paragraph" w:styleId="ListParagraph">
    <w:name w:val="List Paragraph"/>
    <w:basedOn w:val="Normal"/>
    <w:uiPriority w:val="99"/>
    <w:qFormat/>
    <w:rsid w:val="003910E8"/>
    <w:pPr>
      <w:ind w:left="720"/>
      <w:contextualSpacing/>
    </w:pPr>
  </w:style>
  <w:style w:type="character" w:styleId="CommentReference">
    <w:name w:val="annotation reference"/>
    <w:basedOn w:val="DefaultParagraphFont"/>
    <w:uiPriority w:val="99"/>
    <w:semiHidden/>
    <w:rsid w:val="009319C3"/>
    <w:rPr>
      <w:rFonts w:cs="Times New Roman"/>
      <w:sz w:val="16"/>
      <w:szCs w:val="16"/>
    </w:rPr>
  </w:style>
  <w:style w:type="paragraph" w:styleId="CommentText">
    <w:name w:val="annotation text"/>
    <w:basedOn w:val="Normal"/>
    <w:link w:val="CommentTextChar"/>
    <w:uiPriority w:val="99"/>
    <w:semiHidden/>
    <w:rsid w:val="009319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9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9319C3"/>
    <w:rPr>
      <w:b/>
      <w:bCs/>
    </w:rPr>
  </w:style>
  <w:style w:type="character" w:customStyle="1" w:styleId="CommentSubjectChar">
    <w:name w:val="Comment Subject Char"/>
    <w:basedOn w:val="CommentTextChar"/>
    <w:link w:val="CommentSubject"/>
    <w:uiPriority w:val="99"/>
    <w:semiHidden/>
    <w:locked/>
    <w:rsid w:val="009319C3"/>
    <w:rPr>
      <w:b/>
      <w:bCs/>
    </w:rPr>
  </w:style>
</w:styles>
</file>

<file path=word/webSettings.xml><?xml version="1.0" encoding="utf-8"?>
<w:webSettings xmlns:r="http://schemas.openxmlformats.org/officeDocument/2006/relationships" xmlns:w="http://schemas.openxmlformats.org/wordprocessingml/2006/main">
  <w:divs>
    <w:div w:id="168912009">
      <w:marLeft w:val="0"/>
      <w:marRight w:val="0"/>
      <w:marTop w:val="0"/>
      <w:marBottom w:val="0"/>
      <w:divBdr>
        <w:top w:val="none" w:sz="0" w:space="0" w:color="auto"/>
        <w:left w:val="none" w:sz="0" w:space="0" w:color="auto"/>
        <w:bottom w:val="none" w:sz="0" w:space="0" w:color="auto"/>
        <w:right w:val="none" w:sz="0" w:space="0" w:color="auto"/>
      </w:divBdr>
    </w:div>
    <w:div w:id="168912010">
      <w:marLeft w:val="0"/>
      <w:marRight w:val="0"/>
      <w:marTop w:val="0"/>
      <w:marBottom w:val="0"/>
      <w:divBdr>
        <w:top w:val="none" w:sz="0" w:space="0" w:color="auto"/>
        <w:left w:val="none" w:sz="0" w:space="0" w:color="auto"/>
        <w:bottom w:val="none" w:sz="0" w:space="0" w:color="auto"/>
        <w:right w:val="none" w:sz="0" w:space="0" w:color="auto"/>
      </w:divBdr>
    </w:div>
    <w:div w:id="168912011">
      <w:marLeft w:val="0"/>
      <w:marRight w:val="0"/>
      <w:marTop w:val="0"/>
      <w:marBottom w:val="0"/>
      <w:divBdr>
        <w:top w:val="none" w:sz="0" w:space="0" w:color="auto"/>
        <w:left w:val="none" w:sz="0" w:space="0" w:color="auto"/>
        <w:bottom w:val="none" w:sz="0" w:space="0" w:color="auto"/>
        <w:right w:val="none" w:sz="0" w:space="0" w:color="auto"/>
      </w:divBdr>
    </w:div>
    <w:div w:id="168912012">
      <w:marLeft w:val="0"/>
      <w:marRight w:val="0"/>
      <w:marTop w:val="0"/>
      <w:marBottom w:val="0"/>
      <w:divBdr>
        <w:top w:val="none" w:sz="0" w:space="0" w:color="auto"/>
        <w:left w:val="none" w:sz="0" w:space="0" w:color="auto"/>
        <w:bottom w:val="none" w:sz="0" w:space="0" w:color="auto"/>
        <w:right w:val="none" w:sz="0" w:space="0" w:color="auto"/>
      </w:divBdr>
    </w:div>
    <w:div w:id="168912013">
      <w:marLeft w:val="0"/>
      <w:marRight w:val="0"/>
      <w:marTop w:val="0"/>
      <w:marBottom w:val="0"/>
      <w:divBdr>
        <w:top w:val="none" w:sz="0" w:space="0" w:color="auto"/>
        <w:left w:val="none" w:sz="0" w:space="0" w:color="auto"/>
        <w:bottom w:val="none" w:sz="0" w:space="0" w:color="auto"/>
        <w:right w:val="none" w:sz="0" w:space="0" w:color="auto"/>
      </w:divBdr>
    </w:div>
    <w:div w:id="168912014">
      <w:marLeft w:val="0"/>
      <w:marRight w:val="0"/>
      <w:marTop w:val="0"/>
      <w:marBottom w:val="0"/>
      <w:divBdr>
        <w:top w:val="none" w:sz="0" w:space="0" w:color="auto"/>
        <w:left w:val="none" w:sz="0" w:space="0" w:color="auto"/>
        <w:bottom w:val="none" w:sz="0" w:space="0" w:color="auto"/>
        <w:right w:val="none" w:sz="0" w:space="0" w:color="auto"/>
      </w:divBdr>
    </w:div>
    <w:div w:id="168912015">
      <w:marLeft w:val="0"/>
      <w:marRight w:val="0"/>
      <w:marTop w:val="0"/>
      <w:marBottom w:val="0"/>
      <w:divBdr>
        <w:top w:val="none" w:sz="0" w:space="0" w:color="auto"/>
        <w:left w:val="none" w:sz="0" w:space="0" w:color="auto"/>
        <w:bottom w:val="none" w:sz="0" w:space="0" w:color="auto"/>
        <w:right w:val="none" w:sz="0" w:space="0" w:color="auto"/>
      </w:divBdr>
    </w:div>
    <w:div w:id="168912016">
      <w:marLeft w:val="0"/>
      <w:marRight w:val="0"/>
      <w:marTop w:val="0"/>
      <w:marBottom w:val="0"/>
      <w:divBdr>
        <w:top w:val="none" w:sz="0" w:space="0" w:color="auto"/>
        <w:left w:val="none" w:sz="0" w:space="0" w:color="auto"/>
        <w:bottom w:val="none" w:sz="0" w:space="0" w:color="auto"/>
        <w:right w:val="none" w:sz="0" w:space="0" w:color="auto"/>
      </w:divBdr>
    </w:div>
    <w:div w:id="168912017">
      <w:marLeft w:val="0"/>
      <w:marRight w:val="0"/>
      <w:marTop w:val="0"/>
      <w:marBottom w:val="0"/>
      <w:divBdr>
        <w:top w:val="none" w:sz="0" w:space="0" w:color="auto"/>
        <w:left w:val="none" w:sz="0" w:space="0" w:color="auto"/>
        <w:bottom w:val="none" w:sz="0" w:space="0" w:color="auto"/>
        <w:right w:val="none" w:sz="0" w:space="0" w:color="auto"/>
      </w:divBdr>
    </w:div>
    <w:div w:id="168912018">
      <w:marLeft w:val="0"/>
      <w:marRight w:val="0"/>
      <w:marTop w:val="0"/>
      <w:marBottom w:val="0"/>
      <w:divBdr>
        <w:top w:val="none" w:sz="0" w:space="0" w:color="auto"/>
        <w:left w:val="none" w:sz="0" w:space="0" w:color="auto"/>
        <w:bottom w:val="none" w:sz="0" w:space="0" w:color="auto"/>
        <w:right w:val="none" w:sz="0" w:space="0" w:color="auto"/>
      </w:divBdr>
    </w:div>
    <w:div w:id="168912019">
      <w:marLeft w:val="0"/>
      <w:marRight w:val="0"/>
      <w:marTop w:val="0"/>
      <w:marBottom w:val="0"/>
      <w:divBdr>
        <w:top w:val="none" w:sz="0" w:space="0" w:color="auto"/>
        <w:left w:val="none" w:sz="0" w:space="0" w:color="auto"/>
        <w:bottom w:val="none" w:sz="0" w:space="0" w:color="auto"/>
        <w:right w:val="none" w:sz="0" w:space="0" w:color="auto"/>
      </w:divBdr>
    </w:div>
    <w:div w:id="168912020">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
    <w:div w:id="168912022">
      <w:marLeft w:val="0"/>
      <w:marRight w:val="0"/>
      <w:marTop w:val="0"/>
      <w:marBottom w:val="0"/>
      <w:divBdr>
        <w:top w:val="none" w:sz="0" w:space="0" w:color="auto"/>
        <w:left w:val="none" w:sz="0" w:space="0" w:color="auto"/>
        <w:bottom w:val="none" w:sz="0" w:space="0" w:color="auto"/>
        <w:right w:val="none" w:sz="0" w:space="0" w:color="auto"/>
      </w:divBdr>
    </w:div>
    <w:div w:id="168912023">
      <w:marLeft w:val="0"/>
      <w:marRight w:val="0"/>
      <w:marTop w:val="0"/>
      <w:marBottom w:val="0"/>
      <w:divBdr>
        <w:top w:val="none" w:sz="0" w:space="0" w:color="auto"/>
        <w:left w:val="none" w:sz="0" w:space="0" w:color="auto"/>
        <w:bottom w:val="none" w:sz="0" w:space="0" w:color="auto"/>
        <w:right w:val="none" w:sz="0" w:space="0" w:color="auto"/>
      </w:divBdr>
    </w:div>
    <w:div w:id="168912024">
      <w:marLeft w:val="0"/>
      <w:marRight w:val="0"/>
      <w:marTop w:val="0"/>
      <w:marBottom w:val="0"/>
      <w:divBdr>
        <w:top w:val="none" w:sz="0" w:space="0" w:color="auto"/>
        <w:left w:val="none" w:sz="0" w:space="0" w:color="auto"/>
        <w:bottom w:val="none" w:sz="0" w:space="0" w:color="auto"/>
        <w:right w:val="none" w:sz="0" w:space="0" w:color="auto"/>
      </w:divBdr>
    </w:div>
    <w:div w:id="168912025">
      <w:marLeft w:val="0"/>
      <w:marRight w:val="0"/>
      <w:marTop w:val="0"/>
      <w:marBottom w:val="0"/>
      <w:divBdr>
        <w:top w:val="none" w:sz="0" w:space="0" w:color="auto"/>
        <w:left w:val="none" w:sz="0" w:space="0" w:color="auto"/>
        <w:bottom w:val="none" w:sz="0" w:space="0" w:color="auto"/>
        <w:right w:val="none" w:sz="0" w:space="0" w:color="auto"/>
      </w:divBdr>
    </w:div>
    <w:div w:id="168912026">
      <w:marLeft w:val="0"/>
      <w:marRight w:val="0"/>
      <w:marTop w:val="0"/>
      <w:marBottom w:val="0"/>
      <w:divBdr>
        <w:top w:val="none" w:sz="0" w:space="0" w:color="auto"/>
        <w:left w:val="none" w:sz="0" w:space="0" w:color="auto"/>
        <w:bottom w:val="none" w:sz="0" w:space="0" w:color="auto"/>
        <w:right w:val="none" w:sz="0" w:space="0" w:color="auto"/>
      </w:divBdr>
    </w:div>
    <w:div w:id="168912027">
      <w:marLeft w:val="0"/>
      <w:marRight w:val="0"/>
      <w:marTop w:val="0"/>
      <w:marBottom w:val="0"/>
      <w:divBdr>
        <w:top w:val="none" w:sz="0" w:space="0" w:color="auto"/>
        <w:left w:val="none" w:sz="0" w:space="0" w:color="auto"/>
        <w:bottom w:val="none" w:sz="0" w:space="0" w:color="auto"/>
        <w:right w:val="none" w:sz="0" w:space="0" w:color="auto"/>
      </w:divBdr>
    </w:div>
    <w:div w:id="168912028">
      <w:marLeft w:val="0"/>
      <w:marRight w:val="0"/>
      <w:marTop w:val="0"/>
      <w:marBottom w:val="0"/>
      <w:divBdr>
        <w:top w:val="none" w:sz="0" w:space="0" w:color="auto"/>
        <w:left w:val="none" w:sz="0" w:space="0" w:color="auto"/>
        <w:bottom w:val="none" w:sz="0" w:space="0" w:color="auto"/>
        <w:right w:val="none" w:sz="0" w:space="0" w:color="auto"/>
      </w:divBdr>
    </w:div>
    <w:div w:id="168912029">
      <w:marLeft w:val="0"/>
      <w:marRight w:val="0"/>
      <w:marTop w:val="0"/>
      <w:marBottom w:val="0"/>
      <w:divBdr>
        <w:top w:val="none" w:sz="0" w:space="0" w:color="auto"/>
        <w:left w:val="none" w:sz="0" w:space="0" w:color="auto"/>
        <w:bottom w:val="none" w:sz="0" w:space="0" w:color="auto"/>
        <w:right w:val="none" w:sz="0" w:space="0" w:color="auto"/>
      </w:divBdr>
    </w:div>
    <w:div w:id="168912030">
      <w:marLeft w:val="0"/>
      <w:marRight w:val="0"/>
      <w:marTop w:val="0"/>
      <w:marBottom w:val="0"/>
      <w:divBdr>
        <w:top w:val="none" w:sz="0" w:space="0" w:color="auto"/>
        <w:left w:val="none" w:sz="0" w:space="0" w:color="auto"/>
        <w:bottom w:val="none" w:sz="0" w:space="0" w:color="auto"/>
        <w:right w:val="none" w:sz="0" w:space="0" w:color="auto"/>
      </w:divBdr>
    </w:div>
    <w:div w:id="168912031">
      <w:marLeft w:val="0"/>
      <w:marRight w:val="0"/>
      <w:marTop w:val="0"/>
      <w:marBottom w:val="0"/>
      <w:divBdr>
        <w:top w:val="none" w:sz="0" w:space="0" w:color="auto"/>
        <w:left w:val="none" w:sz="0" w:space="0" w:color="auto"/>
        <w:bottom w:val="none" w:sz="0" w:space="0" w:color="auto"/>
        <w:right w:val="none" w:sz="0" w:space="0" w:color="auto"/>
      </w:divBdr>
    </w:div>
    <w:div w:id="168912032">
      <w:marLeft w:val="0"/>
      <w:marRight w:val="0"/>
      <w:marTop w:val="0"/>
      <w:marBottom w:val="0"/>
      <w:divBdr>
        <w:top w:val="none" w:sz="0" w:space="0" w:color="auto"/>
        <w:left w:val="none" w:sz="0" w:space="0" w:color="auto"/>
        <w:bottom w:val="none" w:sz="0" w:space="0" w:color="auto"/>
        <w:right w:val="none" w:sz="0" w:space="0" w:color="auto"/>
      </w:divBdr>
    </w:div>
    <w:div w:id="168912033">
      <w:marLeft w:val="0"/>
      <w:marRight w:val="0"/>
      <w:marTop w:val="0"/>
      <w:marBottom w:val="0"/>
      <w:divBdr>
        <w:top w:val="none" w:sz="0" w:space="0" w:color="auto"/>
        <w:left w:val="none" w:sz="0" w:space="0" w:color="auto"/>
        <w:bottom w:val="none" w:sz="0" w:space="0" w:color="auto"/>
        <w:right w:val="none" w:sz="0" w:space="0" w:color="auto"/>
      </w:divBdr>
    </w:div>
    <w:div w:id="168912034">
      <w:marLeft w:val="0"/>
      <w:marRight w:val="0"/>
      <w:marTop w:val="0"/>
      <w:marBottom w:val="0"/>
      <w:divBdr>
        <w:top w:val="none" w:sz="0" w:space="0" w:color="auto"/>
        <w:left w:val="none" w:sz="0" w:space="0" w:color="auto"/>
        <w:bottom w:val="none" w:sz="0" w:space="0" w:color="auto"/>
        <w:right w:val="none" w:sz="0" w:space="0" w:color="auto"/>
      </w:divBdr>
    </w:div>
    <w:div w:id="168912035">
      <w:marLeft w:val="0"/>
      <w:marRight w:val="0"/>
      <w:marTop w:val="0"/>
      <w:marBottom w:val="0"/>
      <w:divBdr>
        <w:top w:val="none" w:sz="0" w:space="0" w:color="auto"/>
        <w:left w:val="none" w:sz="0" w:space="0" w:color="auto"/>
        <w:bottom w:val="none" w:sz="0" w:space="0" w:color="auto"/>
        <w:right w:val="none" w:sz="0" w:space="0" w:color="auto"/>
      </w:divBdr>
    </w:div>
    <w:div w:id="168912036">
      <w:marLeft w:val="0"/>
      <w:marRight w:val="0"/>
      <w:marTop w:val="0"/>
      <w:marBottom w:val="0"/>
      <w:divBdr>
        <w:top w:val="none" w:sz="0" w:space="0" w:color="auto"/>
        <w:left w:val="none" w:sz="0" w:space="0" w:color="auto"/>
        <w:bottom w:val="none" w:sz="0" w:space="0" w:color="auto"/>
        <w:right w:val="none" w:sz="0" w:space="0" w:color="auto"/>
      </w:divBdr>
    </w:div>
    <w:div w:id="168912037">
      <w:marLeft w:val="0"/>
      <w:marRight w:val="0"/>
      <w:marTop w:val="0"/>
      <w:marBottom w:val="0"/>
      <w:divBdr>
        <w:top w:val="none" w:sz="0" w:space="0" w:color="auto"/>
        <w:left w:val="none" w:sz="0" w:space="0" w:color="auto"/>
        <w:bottom w:val="none" w:sz="0" w:space="0" w:color="auto"/>
        <w:right w:val="none" w:sz="0" w:space="0" w:color="auto"/>
      </w:divBdr>
    </w:div>
    <w:div w:id="168912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700</Words>
  <Characters>3710</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Farhoudi</dc:creator>
  <cp:keywords/>
  <dc:description/>
  <cp:lastModifiedBy>jn0806ab</cp:lastModifiedBy>
  <cp:revision>2</cp:revision>
  <cp:lastPrinted>2013-10-14T11:53:00Z</cp:lastPrinted>
  <dcterms:created xsi:type="dcterms:W3CDTF">2013-10-14T11:54:00Z</dcterms:created>
  <dcterms:modified xsi:type="dcterms:W3CDTF">2013-10-14T11:54:00Z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e77316ec-841e-4e41-8adc-398b8482e6a5</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_dlc_DocId">
    <vt:lpwstr>5MRFASM4M4P4-10-34511</vt:lpwstr>
  </property>
  <property fmtid="{D5CDD505-2E9C-101B-9397-08002B2CF9AE}" pid="6" name="_dlc_DocIdUrl">
    <vt:lpwstr>http://rkdhs-ud/enhet/eu/_layouts/DocIdRedir.aspx?ID=5MRFASM4M4P4-10-34511, 5MRFASM4M4P4-10-34511</vt:lpwstr>
  </property>
  <property fmtid="{D5CDD505-2E9C-101B-9397-08002B2CF9AE}" pid="7" name="k46d94c0acf84ab9a79866a9d8b1905f">
    <vt:lpwstr/>
  </property>
  <property fmtid="{D5CDD505-2E9C-101B-9397-08002B2CF9AE}" pid="8" name="Nyckelord">
    <vt:lpwstr/>
  </property>
  <property fmtid="{D5CDD505-2E9C-101B-9397-08002B2CF9AE}" pid="9" name="Sekretess">
    <vt:lpwstr/>
  </property>
  <property fmtid="{D5CDD505-2E9C-101B-9397-08002B2CF9AE}" pid="10" name="RKOrdnaCheckInComment">
    <vt:lpwstr/>
  </property>
  <property fmtid="{D5CDD505-2E9C-101B-9397-08002B2CF9AE}" pid="11" name="Diarienummer">
    <vt:lpwstr/>
  </property>
  <property fmtid="{D5CDD505-2E9C-101B-9397-08002B2CF9AE}" pid="12" name="TaxCatchAll">
    <vt:lpwstr/>
  </property>
  <property fmtid="{D5CDD505-2E9C-101B-9397-08002B2CF9AE}" pid="13" name="c9cd366cc722410295b9eacffbd73909">
    <vt:lpwstr/>
  </property>
  <property fmtid="{D5CDD505-2E9C-101B-9397-08002B2CF9AE}" pid="14" name="RKOrdnaClass">
    <vt:lpwstr/>
  </property>
</Properties>
</file>