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:rsidTr="0030054F">
        <w:tc>
          <w:tcPr>
            <w:tcW w:w="9141" w:type="dxa"/>
          </w:tcPr>
          <w:p w:rsidR="00447E69" w:rsidRDefault="00447E69">
            <w:bookmarkStart w:id="0" w:name="_GoBack"/>
            <w:bookmarkEnd w:id="0"/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BD4E67">
              <w:rPr>
                <w:b/>
              </w:rPr>
              <w:t>3</w:t>
            </w:r>
            <w:r w:rsidR="006B0455">
              <w:rPr>
                <w:b/>
              </w:rPr>
              <w:t>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BD4E67">
              <w:t>05-</w:t>
            </w:r>
            <w:r w:rsidR="006B0455">
              <w:t>17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D4E67">
            <w:r>
              <w:t>1</w:t>
            </w:r>
            <w:r w:rsidR="006B0455">
              <w:t>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7754FC">
              <w:t>11:40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30054F" w:rsidRDefault="0030054F">
      <w:pPr>
        <w:tabs>
          <w:tab w:val="left" w:pos="1701"/>
        </w:tabs>
        <w:rPr>
          <w:snapToGrid w:val="0"/>
          <w:color w:val="000000"/>
        </w:rPr>
      </w:pPr>
    </w:p>
    <w:p w:rsidR="007754FC" w:rsidRDefault="007754FC">
      <w:pPr>
        <w:tabs>
          <w:tab w:val="left" w:pos="1701"/>
        </w:tabs>
        <w:rPr>
          <w:snapToGrid w:val="0"/>
          <w:color w:val="000000"/>
        </w:rPr>
      </w:pPr>
    </w:p>
    <w:p w:rsidR="007754FC" w:rsidRDefault="007754FC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754FC" w:rsidTr="0001177E">
        <w:tc>
          <w:tcPr>
            <w:tcW w:w="567" w:type="dxa"/>
          </w:tcPr>
          <w:p w:rsidR="007754FC" w:rsidRPr="003B4DE8" w:rsidRDefault="007754FC" w:rsidP="007754FC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754FC" w:rsidRPr="00F71978" w:rsidRDefault="007754FC" w:rsidP="007754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4B23">
              <w:rPr>
                <w:b/>
                <w:snapToGrid w:val="0"/>
              </w:rPr>
              <w:t xml:space="preserve">EU-överläggning </w:t>
            </w:r>
            <w:r w:rsidRPr="003B1314">
              <w:rPr>
                <w:b/>
                <w:snapToGrid w:val="0"/>
              </w:rPr>
              <w:t xml:space="preserve">om </w:t>
            </w:r>
            <w:proofErr w:type="spellStart"/>
            <w:r w:rsidRPr="00F71978">
              <w:rPr>
                <w:b/>
                <w:snapToGrid w:val="0"/>
              </w:rPr>
              <w:t>rådsslutsatser</w:t>
            </w:r>
            <w:proofErr w:type="spellEnd"/>
            <w:r w:rsidRPr="00F71978">
              <w:rPr>
                <w:b/>
                <w:snapToGrid w:val="0"/>
              </w:rPr>
              <w:t xml:space="preserve"> om forskningsutvärdering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71978">
              <w:rPr>
                <w:b/>
                <w:snapToGrid w:val="0"/>
              </w:rPr>
              <w:t>och implementering av principer för öppen vetenskap</w:t>
            </w:r>
          </w:p>
          <w:p w:rsidR="007754FC" w:rsidRPr="00F71978" w:rsidRDefault="007754FC" w:rsidP="007754FC">
            <w:pPr>
              <w:tabs>
                <w:tab w:val="left" w:pos="1701"/>
              </w:tabs>
            </w:pPr>
            <w:r>
              <w:rPr>
                <w:b/>
                <w:snapToGrid w:val="0"/>
              </w:rPr>
              <w:br/>
            </w:r>
            <w:r w:rsidRPr="009F71C5">
              <w:t xml:space="preserve">Utskottet överlade med </w:t>
            </w:r>
            <w:r>
              <w:t xml:space="preserve">statssekreterare Samuel Engblom, </w:t>
            </w:r>
            <w:r w:rsidRPr="00F71978">
              <w:t>biträdd av</w:t>
            </w:r>
            <w:r>
              <w:t xml:space="preserve"> departementssekreteraren Jessica </w:t>
            </w:r>
            <w:proofErr w:type="spellStart"/>
            <w:r>
              <w:t>Umegård</w:t>
            </w:r>
            <w:proofErr w:type="spellEnd"/>
            <w:r>
              <w:t xml:space="preserve"> samt ämnesråden Magnus Härviden och Per-Erik Yngwe, </w:t>
            </w:r>
            <w:r w:rsidRPr="009F71C5">
              <w:t xml:space="preserve">om </w:t>
            </w:r>
            <w:proofErr w:type="spellStart"/>
            <w:r>
              <w:t>rådsslutsatser</w:t>
            </w:r>
            <w:proofErr w:type="spellEnd"/>
            <w:r>
              <w:t xml:space="preserve"> om forsknings</w:t>
            </w:r>
            <w:r>
              <w:softHyphen/>
              <w:t>utvärdering och implementering av principer för öppen vetenskap</w:t>
            </w:r>
            <w:r w:rsidRPr="009F71C5">
              <w:t>.</w:t>
            </w:r>
            <w:r w:rsidRPr="002D4B23">
              <w:rPr>
                <w:snapToGrid w:val="0"/>
              </w:rPr>
              <w:t xml:space="preserve"> </w:t>
            </w: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Underlag för överläggningen</w:t>
            </w:r>
          </w:p>
          <w:p w:rsidR="007754FC" w:rsidRPr="00F71978" w:rsidRDefault="007754FC" w:rsidP="007754FC">
            <w:pPr>
              <w:rPr>
                <w:snapToGrid w:val="0"/>
              </w:rPr>
            </w:pPr>
            <w:r w:rsidRPr="00F71978">
              <w:rPr>
                <w:snapToGrid w:val="0"/>
              </w:rPr>
              <w:t>Promemoria från Utbildningsdepartementet (</w:t>
            </w:r>
            <w:proofErr w:type="gramStart"/>
            <w:r w:rsidRPr="00F71978">
              <w:rPr>
                <w:snapToGrid w:val="0"/>
              </w:rPr>
              <w:t>1976-2021</w:t>
            </w:r>
            <w:proofErr w:type="gramEnd"/>
            <w:r w:rsidRPr="00F71978">
              <w:rPr>
                <w:snapToGrid w:val="0"/>
              </w:rPr>
              <w:t>/22)</w:t>
            </w:r>
          </w:p>
          <w:p w:rsidR="007754FC" w:rsidRDefault="007754FC" w:rsidP="007754FC">
            <w:pPr>
              <w:rPr>
                <w:snapToGrid w:val="0"/>
              </w:rPr>
            </w:pPr>
            <w:r w:rsidRPr="00F71978">
              <w:rPr>
                <w:snapToGrid w:val="0"/>
              </w:rPr>
              <w:t>Rådsdokument ST 8512/22</w:t>
            </w:r>
          </w:p>
          <w:p w:rsidR="007754FC" w:rsidRPr="002D4B23" w:rsidRDefault="007754FC" w:rsidP="007754FC">
            <w:pPr>
              <w:rPr>
                <w:snapToGrid w:val="0"/>
              </w:rPr>
            </w:pP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Regeringens förslag till svensk ståndpunkt</w:t>
            </w:r>
          </w:p>
          <w:p w:rsidR="007754FC" w:rsidRPr="0035230D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35230D">
              <w:rPr>
                <w:snapToGrid w:val="0"/>
              </w:rPr>
              <w:t xml:space="preserve">Regeringen välkomnar förslaget till </w:t>
            </w:r>
            <w:proofErr w:type="spellStart"/>
            <w:r w:rsidRPr="0035230D">
              <w:rPr>
                <w:snapToGrid w:val="0"/>
              </w:rPr>
              <w:t>rådsslutsatser</w:t>
            </w:r>
            <w:proofErr w:type="spellEnd"/>
            <w:r w:rsidRPr="0035230D">
              <w:rPr>
                <w:snapToGrid w:val="0"/>
              </w:rPr>
              <w:t xml:space="preserve"> inom öppen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vetenskap.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Pr="0035230D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35230D">
              <w:rPr>
                <w:snapToGrid w:val="0"/>
              </w:rPr>
              <w:t>Regeringen betonar vikten av öppen vetenskap och att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forsknings</w:t>
            </w:r>
            <w:r>
              <w:rPr>
                <w:snapToGrid w:val="0"/>
              </w:rPr>
              <w:softHyphen/>
            </w:r>
            <w:r w:rsidRPr="0035230D">
              <w:rPr>
                <w:snapToGrid w:val="0"/>
              </w:rPr>
              <w:t>publikationer omedelbar</w:t>
            </w:r>
            <w:r>
              <w:rPr>
                <w:snapToGrid w:val="0"/>
              </w:rPr>
              <w:t>t</w:t>
            </w:r>
            <w:r w:rsidRPr="0035230D">
              <w:rPr>
                <w:snapToGrid w:val="0"/>
              </w:rPr>
              <w:t xml:space="preserve"> görs tillgängliga för både ökad kvalitet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och samhällsnytta.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Pr="0035230D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35230D">
              <w:rPr>
                <w:snapToGrid w:val="0"/>
              </w:rPr>
              <w:t>Regeringen framhåller vikten av att respektera den institutionella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autonomin och forskningens frihet.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Pr="0035230D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35230D">
              <w:rPr>
                <w:snapToGrid w:val="0"/>
              </w:rPr>
              <w:t>Regeringen stödjer ett utvärderingssystem som på ett balanserat sätt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omfattar både kvalitativa och kvantitativa utvärderingsindikatorer,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som tar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hänsyn till olika typer av forskningsresultat och där forskningsetik och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forskningsintegritet har hög prioritet.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Pr="0035230D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35230D">
              <w:rPr>
                <w:snapToGrid w:val="0"/>
              </w:rPr>
              <w:t>Regeringen anser att systemet för kostnader för vetenskapliga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publikationer bör vara transparent och rättvist.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Pr="0035230D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35230D">
              <w:rPr>
                <w:snapToGrid w:val="0"/>
              </w:rPr>
              <w:t>Regeringen framhåller betydelsen av flerspråkighet inom olika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vetenskapliga discipliner och att hänsyn även tas till vikten av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internationellt samarbete.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35230D">
              <w:rPr>
                <w:snapToGrid w:val="0"/>
              </w:rPr>
              <w:t>Regeringen anser att Sverige kan ställa sig bakom rådslutsatserna.</w:t>
            </w: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lastRenderedPageBreak/>
              <w:t>Utskottet</w:t>
            </w:r>
          </w:p>
          <w:p w:rsidR="007754FC" w:rsidRDefault="007754FC" w:rsidP="007754FC">
            <w:r w:rsidRPr="00F11C3E">
              <w:t>Ordföranden konstaterade att det fanns stöd för regeringens ståndpunkt</w:t>
            </w:r>
            <w:r>
              <w:t xml:space="preserve"> med följande tillägg</w:t>
            </w:r>
            <w:r w:rsidRPr="00F11C3E">
              <w:t>.</w:t>
            </w:r>
          </w:p>
          <w:p w:rsidR="007754FC" w:rsidRDefault="007754FC" w:rsidP="007754FC"/>
          <w:p w:rsidR="007754FC" w:rsidRPr="00D100D9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>
              <w:t>Det a</w:t>
            </w:r>
            <w:r w:rsidRPr="00D100D9">
              <w:t xml:space="preserve">ndra stycket omformuleras enligt följande: </w:t>
            </w:r>
            <w:r w:rsidRPr="00D100D9">
              <w:rPr>
                <w:snapToGrid w:val="0"/>
              </w:rPr>
              <w:t xml:space="preserve">Regeringen betonar vikten av öppen vetenskap, med fokus på </w:t>
            </w:r>
            <w:r w:rsidRPr="00285F7E">
              <w:rPr>
                <w:snapToGrid w:val="0"/>
              </w:rPr>
              <w:t>kvalitet, excellens, samhällsnytta och jämställdhet</w:t>
            </w:r>
            <w:r>
              <w:rPr>
                <w:snapToGrid w:val="0"/>
              </w:rPr>
              <w:t>,</w:t>
            </w:r>
            <w:r w:rsidRPr="00D100D9">
              <w:rPr>
                <w:b/>
                <w:snapToGrid w:val="0"/>
              </w:rPr>
              <w:t xml:space="preserve"> </w:t>
            </w:r>
            <w:r w:rsidRPr="00D100D9">
              <w:rPr>
                <w:snapToGrid w:val="0"/>
              </w:rPr>
              <w:t>samt att forsknings</w:t>
            </w:r>
            <w:r w:rsidRPr="00D100D9">
              <w:rPr>
                <w:snapToGrid w:val="0"/>
              </w:rPr>
              <w:softHyphen/>
              <w:t>publikationer omedelbart görs tillgängliga för både ökad kvalitet och samhällsnytta.</w:t>
            </w:r>
          </w:p>
          <w:p w:rsidR="007754FC" w:rsidRPr="00D100D9" w:rsidRDefault="007754FC" w:rsidP="007754FC"/>
          <w:p w:rsidR="007754FC" w:rsidRDefault="007754FC" w:rsidP="007754FC">
            <w:r>
              <w:t>I början av det femte</w:t>
            </w:r>
            <w:r w:rsidRPr="00D100D9">
              <w:t xml:space="preserve"> stycket </w:t>
            </w:r>
            <w:r>
              <w:t>läggs till att ”</w:t>
            </w:r>
            <w:r w:rsidRPr="00D100D9">
              <w:t xml:space="preserve">Regeringen </w:t>
            </w:r>
            <w:r w:rsidRPr="00D100D9">
              <w:rPr>
                <w:snapToGrid w:val="0"/>
              </w:rPr>
              <w:t>ser med oro på ökade kostnader för publikationer”.</w:t>
            </w:r>
            <w:r>
              <w:rPr>
                <w:snapToGrid w:val="0"/>
              </w:rPr>
              <w:t xml:space="preserve"> </w:t>
            </w:r>
          </w:p>
          <w:p w:rsidR="007754FC" w:rsidRPr="00102F48" w:rsidRDefault="007754FC" w:rsidP="007754FC">
            <w:pPr>
              <w:rPr>
                <w:snapToGrid w:val="0"/>
                <w:highlight w:val="yellow"/>
              </w:rPr>
            </w:pPr>
          </w:p>
          <w:p w:rsidR="007754FC" w:rsidRDefault="007754FC" w:rsidP="007754FC">
            <w:r w:rsidRPr="00C92DB6">
              <w:t>Denna paragraf förklarades omedelbart justerad.</w:t>
            </w:r>
            <w:r w:rsidRPr="00230C9F">
              <w:t xml:space="preserve"> </w:t>
            </w:r>
          </w:p>
          <w:p w:rsidR="007754FC" w:rsidRPr="00230C9F" w:rsidRDefault="007754FC" w:rsidP="007754FC">
            <w:pPr>
              <w:rPr>
                <w:snapToGrid w:val="0"/>
              </w:rPr>
            </w:pPr>
          </w:p>
        </w:tc>
      </w:tr>
      <w:tr w:rsidR="007754FC" w:rsidTr="0001177E">
        <w:tc>
          <w:tcPr>
            <w:tcW w:w="567" w:type="dxa"/>
          </w:tcPr>
          <w:p w:rsidR="007754FC" w:rsidRPr="003B4DE8" w:rsidRDefault="007754FC" w:rsidP="007754FC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513B7" w:rsidRDefault="007754FC" w:rsidP="007754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4B23">
              <w:rPr>
                <w:b/>
                <w:snapToGrid w:val="0"/>
              </w:rPr>
              <w:t xml:space="preserve">EU-överläggning </w:t>
            </w:r>
            <w:r w:rsidRPr="003B1314">
              <w:rPr>
                <w:b/>
                <w:snapToGrid w:val="0"/>
              </w:rPr>
              <w:t xml:space="preserve">om </w:t>
            </w:r>
            <w:proofErr w:type="spellStart"/>
            <w:r w:rsidRPr="00F71978">
              <w:rPr>
                <w:b/>
                <w:snapToGrid w:val="0"/>
              </w:rPr>
              <w:t>rådsslutsatser</w:t>
            </w:r>
            <w:proofErr w:type="spellEnd"/>
            <w:r w:rsidRPr="00F71978">
              <w:rPr>
                <w:b/>
                <w:snapToGrid w:val="0"/>
              </w:rPr>
              <w:t xml:space="preserve"> om principer och</w:t>
            </w:r>
            <w:r>
              <w:rPr>
                <w:b/>
                <w:snapToGrid w:val="0"/>
              </w:rPr>
              <w:t xml:space="preserve"> </w:t>
            </w:r>
            <w:r w:rsidRPr="00F71978">
              <w:rPr>
                <w:b/>
                <w:snapToGrid w:val="0"/>
              </w:rPr>
              <w:t>värderingar för internationellt forsknings- och</w:t>
            </w:r>
            <w:r>
              <w:rPr>
                <w:b/>
                <w:snapToGrid w:val="0"/>
              </w:rPr>
              <w:t xml:space="preserve"> </w:t>
            </w:r>
            <w:r w:rsidRPr="00F71978">
              <w:rPr>
                <w:b/>
                <w:snapToGrid w:val="0"/>
              </w:rPr>
              <w:t>innovationssamarbete</w:t>
            </w:r>
          </w:p>
          <w:p w:rsidR="007754FC" w:rsidRPr="00F71978" w:rsidRDefault="007754FC" w:rsidP="007754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Pr="009F71C5">
              <w:t xml:space="preserve">Utskottet överlade med </w:t>
            </w:r>
            <w:r>
              <w:t xml:space="preserve">statssekreterare Samuel Engblom, </w:t>
            </w:r>
            <w:r w:rsidRPr="00F71978">
              <w:t>biträdd av</w:t>
            </w:r>
            <w:r>
              <w:t xml:space="preserve"> departementssekreteraren Jessica </w:t>
            </w:r>
            <w:proofErr w:type="spellStart"/>
            <w:r>
              <w:t>Umegård</w:t>
            </w:r>
            <w:proofErr w:type="spellEnd"/>
            <w:r>
              <w:t xml:space="preserve"> samt ämnesråden Magnus Härviden och Per-Erik Yngwe, om </w:t>
            </w:r>
            <w:proofErr w:type="spellStart"/>
            <w:r w:rsidRPr="00A40B0E">
              <w:t>rådsslutsatser</w:t>
            </w:r>
            <w:proofErr w:type="spellEnd"/>
            <w:r w:rsidRPr="00A40B0E">
              <w:t xml:space="preserve"> om </w:t>
            </w:r>
            <w:r>
              <w:t>principer och värderingar för internationellt forsknings- och innovationssamarbete</w:t>
            </w:r>
            <w:r w:rsidRPr="009F71C5">
              <w:t>.</w:t>
            </w: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Underlag för överläggningen</w:t>
            </w:r>
          </w:p>
          <w:p w:rsidR="007754FC" w:rsidRPr="00F71978" w:rsidRDefault="007754FC" w:rsidP="007754FC">
            <w:pPr>
              <w:rPr>
                <w:snapToGrid w:val="0"/>
              </w:rPr>
            </w:pPr>
            <w:r w:rsidRPr="00F71978">
              <w:rPr>
                <w:snapToGrid w:val="0"/>
              </w:rPr>
              <w:t>Promemoria från Utbildningsdepartementet (</w:t>
            </w:r>
            <w:proofErr w:type="gramStart"/>
            <w:r w:rsidRPr="00F71978">
              <w:rPr>
                <w:snapToGrid w:val="0"/>
              </w:rPr>
              <w:t>1977-2021</w:t>
            </w:r>
            <w:proofErr w:type="gramEnd"/>
            <w:r w:rsidRPr="00F71978">
              <w:rPr>
                <w:snapToGrid w:val="0"/>
              </w:rPr>
              <w:t>/22)</w:t>
            </w:r>
          </w:p>
          <w:p w:rsidR="007754FC" w:rsidRPr="00F71978" w:rsidRDefault="007754FC" w:rsidP="007754FC">
            <w:pPr>
              <w:rPr>
                <w:snapToGrid w:val="0"/>
              </w:rPr>
            </w:pPr>
            <w:r w:rsidRPr="00F71978">
              <w:rPr>
                <w:snapToGrid w:val="0"/>
              </w:rPr>
              <w:t>Rådsdokument ST 8329/1/22</w:t>
            </w:r>
          </w:p>
          <w:p w:rsidR="007754FC" w:rsidRDefault="007754FC" w:rsidP="007754FC">
            <w:pPr>
              <w:rPr>
                <w:snapToGrid w:val="0"/>
              </w:rPr>
            </w:pPr>
            <w:r w:rsidRPr="00F71978">
              <w:rPr>
                <w:snapToGrid w:val="0"/>
              </w:rPr>
              <w:t xml:space="preserve">Rådsdokument ST 8329/1/22 bilaga </w:t>
            </w:r>
          </w:p>
          <w:p w:rsidR="007754FC" w:rsidRPr="002D4B23" w:rsidRDefault="007754FC" w:rsidP="007754FC">
            <w:pPr>
              <w:rPr>
                <w:snapToGrid w:val="0"/>
              </w:rPr>
            </w:pP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Regeringens förslag till svensk ståndpunkt</w:t>
            </w:r>
          </w:p>
          <w:p w:rsidR="007754FC" w:rsidRPr="0035230D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35230D">
              <w:rPr>
                <w:snapToGrid w:val="0"/>
              </w:rPr>
              <w:t>Regeringen anser att det är av stor vikt att ytterligare utveckla det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globala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samarbetet. Internationellt samarbete inom forskning och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innovation är ett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kraftfullt verktyg för att hantera globala utmaningar och möta FN:s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hållbarhetsmål.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Pr="0035230D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35230D">
              <w:rPr>
                <w:snapToGrid w:val="0"/>
              </w:rPr>
              <w:t>Regeringen anser att är viktigt att ha ett öppet förhållningssätt till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samarbete med tredjeländer, men samtidigt vara medveten om hoten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relaterade till unionens strategiska tillgångar, intressen, autonomi och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säkerhet.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Pr="0035230D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35230D">
              <w:rPr>
                <w:snapToGrid w:val="0"/>
              </w:rPr>
              <w:t>Det är viktigt att inte bedriva utbildnings- och forskningssamarbeten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som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 xml:space="preserve">innefattar den ryska och </w:t>
            </w:r>
            <w:proofErr w:type="spellStart"/>
            <w:r w:rsidRPr="0035230D">
              <w:rPr>
                <w:snapToGrid w:val="0"/>
              </w:rPr>
              <w:t>belarusiska</w:t>
            </w:r>
            <w:proofErr w:type="spellEnd"/>
            <w:r w:rsidRPr="0035230D">
              <w:rPr>
                <w:snapToGrid w:val="0"/>
              </w:rPr>
              <w:t xml:space="preserve"> staten. Samtidigt är det viktigt att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 xml:space="preserve">enskilda ryska och </w:t>
            </w:r>
            <w:proofErr w:type="spellStart"/>
            <w:r w:rsidRPr="0035230D">
              <w:rPr>
                <w:snapToGrid w:val="0"/>
              </w:rPr>
              <w:t>belarusiska</w:t>
            </w:r>
            <w:proofErr w:type="spellEnd"/>
            <w:r w:rsidRPr="0035230D">
              <w:rPr>
                <w:snapToGrid w:val="0"/>
              </w:rPr>
              <w:t xml:space="preserve"> forskare inte likställs med statliga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institutioner. Detta exceptionella ställningstagande har gjorts på grund av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Rysslands oprovocerade, olagliga och oförsvarliga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invasion av Ukraina.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Pr="0035230D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35230D">
              <w:rPr>
                <w:snapToGrid w:val="0"/>
              </w:rPr>
              <w:t>Regeringen välkomnar gemensamma principer och värderingar för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EU:s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internationella forsknings- och innovationssamarbete.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Akademisk frihet,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jämställdhet och öppen vetenskap är exempel på grundläggande principer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av stor betydelse inom alla typer av forsknings- och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innovationssamarbeten.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Pr="0035230D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35230D">
              <w:rPr>
                <w:snapToGrid w:val="0"/>
              </w:rPr>
              <w:lastRenderedPageBreak/>
              <w:t>Regeringen välkomnar att rådslutsatserna framhåller vikten av dialog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med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internationella forsknings- och innovationspartner.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35230D">
              <w:rPr>
                <w:snapToGrid w:val="0"/>
              </w:rPr>
              <w:t xml:space="preserve">Regeringen anser att Sverige kan ställa sig bakom </w:t>
            </w:r>
            <w:proofErr w:type="spellStart"/>
            <w:r w:rsidRPr="0035230D">
              <w:rPr>
                <w:snapToGrid w:val="0"/>
              </w:rPr>
              <w:t>rådsslutsatserna</w:t>
            </w:r>
            <w:proofErr w:type="spellEnd"/>
            <w:r w:rsidRPr="0035230D">
              <w:rPr>
                <w:snapToGrid w:val="0"/>
              </w:rPr>
              <w:t>.</w:t>
            </w: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Utskottet</w:t>
            </w:r>
          </w:p>
          <w:p w:rsidR="007754FC" w:rsidRDefault="007754FC" w:rsidP="007754FC">
            <w:r w:rsidRPr="00F11C3E">
              <w:t>Ordföranden konstaterade att det fanns stöd för regeringens ståndpunkt.</w:t>
            </w:r>
            <w:r w:rsidRPr="007F03AF">
              <w:t xml:space="preserve"> </w:t>
            </w:r>
          </w:p>
          <w:p w:rsidR="007754FC" w:rsidRPr="00102F48" w:rsidRDefault="007754FC" w:rsidP="007754FC">
            <w:pPr>
              <w:rPr>
                <w:snapToGrid w:val="0"/>
                <w:highlight w:val="yellow"/>
              </w:rPr>
            </w:pPr>
          </w:p>
          <w:p w:rsidR="007754FC" w:rsidRDefault="007754FC" w:rsidP="007754FC">
            <w:r w:rsidRPr="00C92DB6">
              <w:t>Denna paragraf förklarades omedelbart justerad.</w:t>
            </w:r>
            <w:r w:rsidRPr="00230C9F">
              <w:t xml:space="preserve"> </w:t>
            </w:r>
          </w:p>
          <w:p w:rsidR="007754FC" w:rsidRPr="00230C9F" w:rsidRDefault="007754FC" w:rsidP="007754FC">
            <w:pPr>
              <w:rPr>
                <w:snapToGrid w:val="0"/>
              </w:rPr>
            </w:pPr>
          </w:p>
        </w:tc>
      </w:tr>
      <w:tr w:rsidR="007754FC" w:rsidTr="0001177E">
        <w:tc>
          <w:tcPr>
            <w:tcW w:w="567" w:type="dxa"/>
          </w:tcPr>
          <w:p w:rsidR="007754FC" w:rsidRPr="003B4DE8" w:rsidRDefault="007754FC" w:rsidP="007754FC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754FC" w:rsidRDefault="007754FC" w:rsidP="007754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4B23">
              <w:rPr>
                <w:b/>
                <w:snapToGrid w:val="0"/>
              </w:rPr>
              <w:t xml:space="preserve">EU-överläggning </w:t>
            </w:r>
            <w:r w:rsidRPr="003B1314">
              <w:rPr>
                <w:b/>
                <w:snapToGrid w:val="0"/>
              </w:rPr>
              <w:t xml:space="preserve">om </w:t>
            </w:r>
            <w:proofErr w:type="spellStart"/>
            <w:r w:rsidRPr="00F71978">
              <w:rPr>
                <w:b/>
                <w:snapToGrid w:val="0"/>
              </w:rPr>
              <w:t>rådsslutsatser</w:t>
            </w:r>
            <w:proofErr w:type="spellEnd"/>
            <w:r w:rsidRPr="00F71978">
              <w:rPr>
                <w:b/>
                <w:snapToGrid w:val="0"/>
              </w:rPr>
              <w:t xml:space="preserve"> för europeiska uppdrag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754FC" w:rsidRPr="003B1314" w:rsidRDefault="007754FC" w:rsidP="007754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F71C5">
              <w:t xml:space="preserve">Utskottet överlade med </w:t>
            </w:r>
            <w:r>
              <w:t xml:space="preserve">statssekreterare Samuel Engblom, </w:t>
            </w:r>
            <w:r w:rsidRPr="00F71978">
              <w:t>biträdd av</w:t>
            </w:r>
            <w:r>
              <w:t xml:space="preserve"> departementssekreteraren Jessica </w:t>
            </w:r>
            <w:proofErr w:type="spellStart"/>
            <w:r>
              <w:t>Umegård</w:t>
            </w:r>
            <w:proofErr w:type="spellEnd"/>
            <w:r>
              <w:t xml:space="preserve"> samt ämnesråden Magnus Härviden och Per-Erik Yngwe, om </w:t>
            </w:r>
            <w:proofErr w:type="spellStart"/>
            <w:r w:rsidRPr="00F71978">
              <w:t>rådsslutsatser</w:t>
            </w:r>
            <w:proofErr w:type="spellEnd"/>
            <w:r w:rsidRPr="00F71978">
              <w:t xml:space="preserve"> för europeiska </w:t>
            </w:r>
            <w:r>
              <w:t>u</w:t>
            </w:r>
            <w:r w:rsidRPr="00F71978">
              <w:t>ppdrag</w:t>
            </w:r>
            <w:r w:rsidRPr="009F71C5">
              <w:t>.</w:t>
            </w:r>
            <w:r w:rsidRPr="002D4B23">
              <w:rPr>
                <w:snapToGrid w:val="0"/>
              </w:rPr>
              <w:t xml:space="preserve">  </w:t>
            </w: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Underlag för överläggningen</w:t>
            </w:r>
          </w:p>
          <w:p w:rsidR="007754FC" w:rsidRPr="00F71978" w:rsidRDefault="007754FC" w:rsidP="007754FC">
            <w:pPr>
              <w:rPr>
                <w:snapToGrid w:val="0"/>
              </w:rPr>
            </w:pPr>
            <w:r w:rsidRPr="00F71978">
              <w:rPr>
                <w:snapToGrid w:val="0"/>
              </w:rPr>
              <w:t>Promemoria från Utbildningsdepartementet (</w:t>
            </w:r>
            <w:proofErr w:type="gramStart"/>
            <w:r w:rsidRPr="00F71978">
              <w:rPr>
                <w:snapToGrid w:val="0"/>
              </w:rPr>
              <w:t>1978-2021</w:t>
            </w:r>
            <w:proofErr w:type="gramEnd"/>
            <w:r w:rsidRPr="00F71978">
              <w:rPr>
                <w:snapToGrid w:val="0"/>
              </w:rPr>
              <w:t>/22)</w:t>
            </w:r>
          </w:p>
          <w:p w:rsidR="007754FC" w:rsidRDefault="007754FC" w:rsidP="007754FC">
            <w:pPr>
              <w:rPr>
                <w:snapToGrid w:val="0"/>
              </w:rPr>
            </w:pPr>
            <w:r w:rsidRPr="00F71978">
              <w:rPr>
                <w:snapToGrid w:val="0"/>
              </w:rPr>
              <w:t xml:space="preserve">Rådsdokument ST 8280/22 </w:t>
            </w:r>
          </w:p>
          <w:p w:rsidR="007754FC" w:rsidRPr="002D4B23" w:rsidRDefault="007754FC" w:rsidP="007754FC">
            <w:pPr>
              <w:rPr>
                <w:snapToGrid w:val="0"/>
              </w:rPr>
            </w:pP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Regeringens förslag till svensk ståndpunkt</w:t>
            </w:r>
          </w:p>
          <w:p w:rsidR="007754FC" w:rsidRPr="0035230D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35230D">
              <w:rPr>
                <w:snapToGrid w:val="0"/>
              </w:rPr>
              <w:t>Regeringen välkomnar relevanta tvärgående insatser mellan olika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områden och sektorer. Ett uppdragsorienterat angreppssätt bidrar till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att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lösa de samhälleliga utmaningarna och möta FN:s hållbarhetsmål.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Pr="0035230D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35230D">
              <w:rPr>
                <w:snapToGrid w:val="0"/>
              </w:rPr>
              <w:t>Regeringen framhåller att budgeten från Horisont Europa enbart ska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gå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till forskning och innovation. Det är därför av stor betydelse att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säkerställa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att andra insatser som bidrar till uppdragen finansieras från andra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europeiska program och att utformningen av uppdragen och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relevanta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europeiska program är sinsemellan konsekvent</w:t>
            </w:r>
            <w:r>
              <w:rPr>
                <w:snapToGrid w:val="0"/>
              </w:rPr>
              <w:t>a</w:t>
            </w:r>
            <w:r w:rsidRPr="0035230D">
              <w:rPr>
                <w:snapToGrid w:val="0"/>
              </w:rPr>
              <w:t>.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35230D">
              <w:rPr>
                <w:snapToGrid w:val="0"/>
              </w:rPr>
              <w:t>Regeringen betonar vikten av medborgarnas engagemang i uppdragen.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35230D">
              <w:rPr>
                <w:snapToGrid w:val="0"/>
              </w:rPr>
              <w:t>Regeringen stöder att uppdragen ska utvärderas innan nya uppdrag</w:t>
            </w:r>
            <w:r>
              <w:rPr>
                <w:snapToGrid w:val="0"/>
              </w:rPr>
              <w:t xml:space="preserve"> </w:t>
            </w:r>
            <w:r w:rsidRPr="0035230D">
              <w:rPr>
                <w:snapToGrid w:val="0"/>
              </w:rPr>
              <w:t>inrättas.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35230D">
              <w:rPr>
                <w:snapToGrid w:val="0"/>
              </w:rPr>
              <w:t>Regeringen anser att Sverige kan ställa sig bakom rådslutsatserna.</w:t>
            </w: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Utskottet</w:t>
            </w:r>
          </w:p>
          <w:p w:rsidR="007754FC" w:rsidRDefault="007754FC" w:rsidP="007754FC">
            <w:r w:rsidRPr="00F11C3E">
              <w:t>Ordföranden konstaterade att det fanns stöd för regeringens ståndpunkt.</w:t>
            </w:r>
            <w:r w:rsidRPr="007F03AF">
              <w:t xml:space="preserve"> </w:t>
            </w:r>
          </w:p>
          <w:p w:rsidR="007754FC" w:rsidRPr="00102F48" w:rsidRDefault="007754FC" w:rsidP="007754FC">
            <w:pPr>
              <w:rPr>
                <w:snapToGrid w:val="0"/>
                <w:highlight w:val="yellow"/>
              </w:rPr>
            </w:pPr>
          </w:p>
          <w:p w:rsidR="007754FC" w:rsidRDefault="007754FC" w:rsidP="007754FC">
            <w:r w:rsidRPr="00C92DB6">
              <w:t>Denna paragraf förklarades omedelbart justerad.</w:t>
            </w:r>
            <w:r w:rsidRPr="00230C9F">
              <w:t xml:space="preserve"> 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754FC" w:rsidTr="0001177E">
        <w:tc>
          <w:tcPr>
            <w:tcW w:w="567" w:type="dxa"/>
          </w:tcPr>
          <w:p w:rsidR="007754FC" w:rsidRPr="003B4DE8" w:rsidRDefault="007754FC" w:rsidP="007754FC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754FC" w:rsidRDefault="007754FC" w:rsidP="007754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4B23">
              <w:rPr>
                <w:b/>
                <w:snapToGrid w:val="0"/>
              </w:rPr>
              <w:t xml:space="preserve">EU-överläggning </w:t>
            </w:r>
            <w:r w:rsidRPr="003B1314">
              <w:rPr>
                <w:b/>
                <w:snapToGrid w:val="0"/>
              </w:rPr>
              <w:t xml:space="preserve">om </w:t>
            </w:r>
            <w:proofErr w:type="spellStart"/>
            <w:r w:rsidRPr="00F71978">
              <w:rPr>
                <w:b/>
                <w:snapToGrid w:val="0"/>
              </w:rPr>
              <w:t>rådsslutsatser</w:t>
            </w:r>
            <w:proofErr w:type="spellEnd"/>
            <w:r w:rsidRPr="00F71978">
              <w:rPr>
                <w:b/>
                <w:snapToGrid w:val="0"/>
              </w:rPr>
              <w:t xml:space="preserve"> om Copernicus fram till</w:t>
            </w:r>
            <w:r>
              <w:rPr>
                <w:b/>
                <w:snapToGrid w:val="0"/>
              </w:rPr>
              <w:t xml:space="preserve"> </w:t>
            </w:r>
            <w:r w:rsidRPr="00F71978">
              <w:rPr>
                <w:b/>
                <w:snapToGrid w:val="0"/>
              </w:rPr>
              <w:t>2035</w:t>
            </w:r>
          </w:p>
          <w:p w:rsidR="007754FC" w:rsidRPr="00F71978" w:rsidRDefault="007754FC" w:rsidP="007754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Pr="009F71C5">
              <w:t xml:space="preserve">Utskottet överlade med </w:t>
            </w:r>
            <w:r>
              <w:t xml:space="preserve">statssekreterare Samuel Engblom, </w:t>
            </w:r>
            <w:r w:rsidRPr="00F71978">
              <w:t>biträdd av</w:t>
            </w:r>
            <w:r>
              <w:t xml:space="preserve"> departementssekreteraren Jessica </w:t>
            </w:r>
            <w:proofErr w:type="spellStart"/>
            <w:r>
              <w:t>Umegård</w:t>
            </w:r>
            <w:proofErr w:type="spellEnd"/>
            <w:r>
              <w:t xml:space="preserve"> samt ämnesråden Magnus Härviden och Per-Erik Yngwe, om </w:t>
            </w:r>
            <w:proofErr w:type="spellStart"/>
            <w:r>
              <w:t>rådsslutsatser</w:t>
            </w:r>
            <w:proofErr w:type="spellEnd"/>
            <w:r>
              <w:t xml:space="preserve"> om Copernicus fram </w:t>
            </w:r>
            <w:r>
              <w:lastRenderedPageBreak/>
              <w:t>till 2035</w:t>
            </w:r>
            <w:r w:rsidRPr="009F71C5">
              <w:t>.</w:t>
            </w: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Underlag för överläggningen</w:t>
            </w:r>
          </w:p>
          <w:p w:rsidR="007754FC" w:rsidRPr="00F71978" w:rsidRDefault="007754FC" w:rsidP="007754FC">
            <w:pPr>
              <w:rPr>
                <w:snapToGrid w:val="0"/>
              </w:rPr>
            </w:pPr>
            <w:r w:rsidRPr="00F71978">
              <w:rPr>
                <w:snapToGrid w:val="0"/>
              </w:rPr>
              <w:t>Promemoria från Utbildningsdepartementet (</w:t>
            </w:r>
            <w:proofErr w:type="gramStart"/>
            <w:r w:rsidRPr="00F71978">
              <w:rPr>
                <w:snapToGrid w:val="0"/>
              </w:rPr>
              <w:t>1979-2021</w:t>
            </w:r>
            <w:proofErr w:type="gramEnd"/>
            <w:r w:rsidRPr="00F71978">
              <w:rPr>
                <w:snapToGrid w:val="0"/>
              </w:rPr>
              <w:t>/22)</w:t>
            </w:r>
          </w:p>
          <w:p w:rsidR="007754FC" w:rsidRDefault="007754FC" w:rsidP="007754FC">
            <w:pPr>
              <w:rPr>
                <w:snapToGrid w:val="0"/>
              </w:rPr>
            </w:pPr>
            <w:r w:rsidRPr="00F71978">
              <w:rPr>
                <w:snapToGrid w:val="0"/>
              </w:rPr>
              <w:t xml:space="preserve">Rådsdokument ST 7745/22 </w:t>
            </w:r>
          </w:p>
          <w:p w:rsidR="007754FC" w:rsidRPr="002D4B23" w:rsidRDefault="007754FC" w:rsidP="007754FC">
            <w:pPr>
              <w:rPr>
                <w:snapToGrid w:val="0"/>
              </w:rPr>
            </w:pP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Regeringens förslag till svensk ståndpunkt</w:t>
            </w:r>
          </w:p>
          <w:p w:rsidR="007754FC" w:rsidRPr="00E46882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E46882">
              <w:rPr>
                <w:snapToGrid w:val="0"/>
              </w:rPr>
              <w:t xml:space="preserve">Regeringen stöder </w:t>
            </w:r>
            <w:proofErr w:type="spellStart"/>
            <w:r w:rsidRPr="00E46882">
              <w:rPr>
                <w:snapToGrid w:val="0"/>
              </w:rPr>
              <w:t>rådsslutsatsernas</w:t>
            </w:r>
            <w:proofErr w:type="spellEnd"/>
            <w:r w:rsidRPr="00E46882">
              <w:rPr>
                <w:snapToGrid w:val="0"/>
              </w:rPr>
              <w:t xml:space="preserve"> betoning av Copernicus civila och</w:t>
            </w:r>
          </w:p>
          <w:p w:rsidR="007754FC" w:rsidRPr="00E46882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E46882">
              <w:rPr>
                <w:snapToGrid w:val="0"/>
              </w:rPr>
              <w:t>användardrivna karaktär.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Pr="00E46882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E46882">
              <w:rPr>
                <w:snapToGrid w:val="0"/>
              </w:rPr>
              <w:t>Regeringen anser att det är angeläget att Copernicus fortsatt har en</w:t>
            </w:r>
          </w:p>
          <w:p w:rsidR="007754FC" w:rsidRPr="00E46882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E46882">
              <w:rPr>
                <w:snapToGrid w:val="0"/>
              </w:rPr>
              <w:t>datapolicy med fri, full och öppen tillgång till data.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Pr="00E46882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E46882">
              <w:rPr>
                <w:snapToGrid w:val="0"/>
              </w:rPr>
              <w:t>Regeringen anser att investeringarna i Copernicus ska ge största möjliga</w:t>
            </w:r>
            <w:r>
              <w:rPr>
                <w:snapToGrid w:val="0"/>
              </w:rPr>
              <w:t xml:space="preserve"> </w:t>
            </w:r>
            <w:r w:rsidRPr="00E46882">
              <w:rPr>
                <w:snapToGrid w:val="0"/>
              </w:rPr>
              <w:t>samhällsnytta, och att åtkomsten till data, tjänster och information från</w:t>
            </w:r>
            <w:r>
              <w:rPr>
                <w:snapToGrid w:val="0"/>
              </w:rPr>
              <w:t xml:space="preserve"> </w:t>
            </w:r>
            <w:r w:rsidRPr="00E46882">
              <w:rPr>
                <w:snapToGrid w:val="0"/>
              </w:rPr>
              <w:t>Copernicus därför ska vara användarvänlig för att främja användning och</w:t>
            </w:r>
            <w:r>
              <w:rPr>
                <w:snapToGrid w:val="0"/>
              </w:rPr>
              <w:t xml:space="preserve"> </w:t>
            </w:r>
            <w:r w:rsidRPr="00E46882">
              <w:rPr>
                <w:snapToGrid w:val="0"/>
              </w:rPr>
              <w:t>utveckling av tjänster för olika</w:t>
            </w:r>
            <w:r>
              <w:rPr>
                <w:snapToGrid w:val="0"/>
              </w:rPr>
              <w:t xml:space="preserve"> </w:t>
            </w:r>
            <w:r w:rsidRPr="00E46882">
              <w:rPr>
                <w:snapToGrid w:val="0"/>
              </w:rPr>
              <w:t>samhälls</w:t>
            </w:r>
            <w:r>
              <w:rPr>
                <w:snapToGrid w:val="0"/>
              </w:rPr>
              <w:softHyphen/>
            </w:r>
            <w:r w:rsidRPr="00E46882">
              <w:rPr>
                <w:snapToGrid w:val="0"/>
              </w:rPr>
              <w:t>sektorer och politikområden.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E46882">
              <w:rPr>
                <w:snapToGrid w:val="0"/>
              </w:rPr>
              <w:t xml:space="preserve">Regeringen anser att Sverige kan ställa sig bakom </w:t>
            </w:r>
            <w:proofErr w:type="spellStart"/>
            <w:r w:rsidRPr="00E46882">
              <w:rPr>
                <w:snapToGrid w:val="0"/>
              </w:rPr>
              <w:t>rådsslutsatserna</w:t>
            </w:r>
            <w:proofErr w:type="spellEnd"/>
            <w:r w:rsidRPr="00E46882">
              <w:rPr>
                <w:snapToGrid w:val="0"/>
              </w:rPr>
              <w:t>.</w:t>
            </w: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Utskottet</w:t>
            </w:r>
          </w:p>
          <w:p w:rsidR="007754FC" w:rsidRDefault="007754FC" w:rsidP="007754FC">
            <w:r w:rsidRPr="00F11C3E">
              <w:t>Ordföranden konstaterade att det fanns stöd för regeringens ståndpunkt.</w:t>
            </w:r>
            <w:r w:rsidRPr="007F03AF">
              <w:t xml:space="preserve"> </w:t>
            </w:r>
          </w:p>
          <w:p w:rsidR="007754FC" w:rsidRDefault="007754FC" w:rsidP="007754FC"/>
          <w:p w:rsidR="007754FC" w:rsidRDefault="007754FC" w:rsidP="007754FC">
            <w:r>
              <w:t xml:space="preserve">Ledamoten från Vänsterpartiet lämnade en avvikande ståndpunkt om att det i slutet av andra stycket bör läggas till ”… </w:t>
            </w:r>
            <w:r w:rsidRPr="00402462">
              <w:t>med respekt för den personliga integriteten</w:t>
            </w:r>
            <w:r>
              <w:t xml:space="preserve">”. </w:t>
            </w:r>
          </w:p>
          <w:p w:rsidR="007754FC" w:rsidRPr="00BC4D9F" w:rsidRDefault="007754FC" w:rsidP="007754FC"/>
          <w:p w:rsidR="007754FC" w:rsidRDefault="007754FC" w:rsidP="007754FC">
            <w:r w:rsidRPr="00C92DB6">
              <w:t>Denna paragraf förklarades omedelbart justerad.</w:t>
            </w:r>
            <w:r w:rsidRPr="00230C9F">
              <w:t xml:space="preserve"> </w:t>
            </w:r>
          </w:p>
          <w:p w:rsidR="007754FC" w:rsidRPr="00230C9F" w:rsidRDefault="007754FC" w:rsidP="007754FC">
            <w:pPr>
              <w:rPr>
                <w:snapToGrid w:val="0"/>
              </w:rPr>
            </w:pPr>
          </w:p>
        </w:tc>
      </w:tr>
      <w:tr w:rsidR="007754FC" w:rsidTr="0001177E">
        <w:tc>
          <w:tcPr>
            <w:tcW w:w="567" w:type="dxa"/>
          </w:tcPr>
          <w:p w:rsidR="007754FC" w:rsidRPr="003B4DE8" w:rsidRDefault="007754FC" w:rsidP="007754FC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754FC" w:rsidRDefault="007754FC" w:rsidP="007754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4B23">
              <w:rPr>
                <w:b/>
                <w:snapToGrid w:val="0"/>
              </w:rPr>
              <w:t xml:space="preserve">EU-överläggning </w:t>
            </w:r>
            <w:r w:rsidRPr="00F71978">
              <w:rPr>
                <w:b/>
                <w:snapToGrid w:val="0"/>
              </w:rPr>
              <w:t xml:space="preserve">om </w:t>
            </w:r>
            <w:proofErr w:type="spellStart"/>
            <w:r w:rsidRPr="00F71978">
              <w:rPr>
                <w:b/>
                <w:snapToGrid w:val="0"/>
              </w:rPr>
              <w:t>rådsslutsatser</w:t>
            </w:r>
            <w:proofErr w:type="spellEnd"/>
            <w:r w:rsidRPr="00F71978">
              <w:rPr>
                <w:b/>
                <w:snapToGrid w:val="0"/>
              </w:rPr>
              <w:t xml:space="preserve"> om rymdtrafikledning </w:t>
            </w:r>
          </w:p>
          <w:p w:rsidR="007754FC" w:rsidRPr="003B1314" w:rsidRDefault="007754FC" w:rsidP="007754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Pr="009F71C5">
              <w:t xml:space="preserve">Utskottet överlade med </w:t>
            </w:r>
            <w:r>
              <w:t xml:space="preserve">statssekreterare Samuel Engblom, </w:t>
            </w:r>
            <w:r w:rsidRPr="00F71978">
              <w:t>biträdd av</w:t>
            </w:r>
            <w:r>
              <w:t xml:space="preserve"> departementssekreteraren Jessica </w:t>
            </w:r>
            <w:proofErr w:type="spellStart"/>
            <w:r>
              <w:t>Umegård</w:t>
            </w:r>
            <w:proofErr w:type="spellEnd"/>
            <w:r>
              <w:t xml:space="preserve"> samt ämnesråden Magnus Härviden och Per-Erik Yngwe, om </w:t>
            </w:r>
            <w:proofErr w:type="spellStart"/>
            <w:r w:rsidRPr="00F71978">
              <w:t>rådsslutsatser</w:t>
            </w:r>
            <w:proofErr w:type="spellEnd"/>
            <w:r w:rsidRPr="00F71978">
              <w:t xml:space="preserve"> om</w:t>
            </w:r>
            <w:r>
              <w:t xml:space="preserve"> r</w:t>
            </w:r>
            <w:r w:rsidRPr="00F71978">
              <w:t>ymdtrafikledning</w:t>
            </w:r>
            <w:r w:rsidRPr="009F71C5">
              <w:t>.</w:t>
            </w:r>
            <w:r w:rsidRPr="002D4B23">
              <w:rPr>
                <w:snapToGrid w:val="0"/>
              </w:rPr>
              <w:t xml:space="preserve">  </w:t>
            </w: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Underlag för överläggningen</w:t>
            </w:r>
          </w:p>
          <w:p w:rsidR="007754FC" w:rsidRPr="00DE7484" w:rsidRDefault="007754FC" w:rsidP="007754FC">
            <w:pPr>
              <w:rPr>
                <w:snapToGrid w:val="0"/>
              </w:rPr>
            </w:pPr>
            <w:r w:rsidRPr="00DE7484">
              <w:rPr>
                <w:snapToGrid w:val="0"/>
              </w:rPr>
              <w:t>Promemoria från Utbildningsdepartementet (</w:t>
            </w:r>
            <w:proofErr w:type="gramStart"/>
            <w:r w:rsidRPr="00DE7484">
              <w:rPr>
                <w:snapToGrid w:val="0"/>
              </w:rPr>
              <w:t>1980-2021</w:t>
            </w:r>
            <w:proofErr w:type="gramEnd"/>
            <w:r w:rsidRPr="00DE7484">
              <w:rPr>
                <w:snapToGrid w:val="0"/>
              </w:rPr>
              <w:t>/22)</w:t>
            </w:r>
          </w:p>
          <w:p w:rsidR="007754FC" w:rsidRDefault="007754FC" w:rsidP="007754FC">
            <w:pPr>
              <w:rPr>
                <w:snapToGrid w:val="0"/>
              </w:rPr>
            </w:pPr>
            <w:r w:rsidRPr="00DE7484">
              <w:rPr>
                <w:snapToGrid w:val="0"/>
              </w:rPr>
              <w:t xml:space="preserve">Rådsdokument ST 8479/2022 </w:t>
            </w:r>
          </w:p>
          <w:p w:rsidR="007754FC" w:rsidRPr="002D4B23" w:rsidRDefault="007754FC" w:rsidP="007754FC">
            <w:pPr>
              <w:rPr>
                <w:snapToGrid w:val="0"/>
              </w:rPr>
            </w:pP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Regeringens förslag till svensk ståndpunkt</w:t>
            </w:r>
          </w:p>
          <w:p w:rsidR="007754FC" w:rsidRPr="00C32BFA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C32BFA">
              <w:rPr>
                <w:snapToGrid w:val="0"/>
              </w:rPr>
              <w:t>Regeringen konstaterar att rymdens och rymdverksamhetens betydelse för</w:t>
            </w:r>
            <w:r>
              <w:rPr>
                <w:snapToGrid w:val="0"/>
              </w:rPr>
              <w:t xml:space="preserve"> </w:t>
            </w:r>
            <w:r w:rsidRPr="00C32BFA">
              <w:rPr>
                <w:snapToGrid w:val="0"/>
              </w:rPr>
              <w:t>olika samhällsfunktioner växer på många områden, t.ex. för</w:t>
            </w:r>
            <w:r>
              <w:rPr>
                <w:snapToGrid w:val="0"/>
              </w:rPr>
              <w:t xml:space="preserve"> </w:t>
            </w:r>
            <w:r w:rsidRPr="00C32BFA">
              <w:rPr>
                <w:snapToGrid w:val="0"/>
              </w:rPr>
              <w:t>kommunikation, navigation, finansiella transaktioner, jordobservation</w:t>
            </w:r>
            <w:r>
              <w:rPr>
                <w:snapToGrid w:val="0"/>
              </w:rPr>
              <w:t xml:space="preserve"> </w:t>
            </w:r>
            <w:r w:rsidRPr="00C32BFA">
              <w:rPr>
                <w:snapToGrid w:val="0"/>
              </w:rPr>
              <w:t>och</w:t>
            </w:r>
            <w:r>
              <w:rPr>
                <w:snapToGrid w:val="0"/>
              </w:rPr>
              <w:t xml:space="preserve"> </w:t>
            </w:r>
            <w:r w:rsidRPr="00C32BFA">
              <w:rPr>
                <w:snapToGrid w:val="0"/>
              </w:rPr>
              <w:t>klimatövervakning. Samhället har därför blivit alltmer beroende av de</w:t>
            </w:r>
            <w:r>
              <w:rPr>
                <w:snapToGrid w:val="0"/>
              </w:rPr>
              <w:t xml:space="preserve"> </w:t>
            </w:r>
            <w:r w:rsidRPr="00C32BFA">
              <w:rPr>
                <w:snapToGrid w:val="0"/>
              </w:rPr>
              <w:t>tjänster och funktioner som satelliter tillhandahåller.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Pr="00C32BFA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C32BFA">
              <w:rPr>
                <w:snapToGrid w:val="0"/>
              </w:rPr>
              <w:t>Regeringen anser att det därmed är viktigt att skydda rymdmiljön och</w:t>
            </w:r>
            <w:r>
              <w:rPr>
                <w:snapToGrid w:val="0"/>
              </w:rPr>
              <w:t xml:space="preserve"> </w:t>
            </w:r>
            <w:r w:rsidRPr="00C32BFA">
              <w:rPr>
                <w:snapToGrid w:val="0"/>
              </w:rPr>
              <w:t>bidra till ett långsiktigt hållbart och fredligt nyttjande av rymden för</w:t>
            </w:r>
            <w:r>
              <w:rPr>
                <w:snapToGrid w:val="0"/>
              </w:rPr>
              <w:t xml:space="preserve"> </w:t>
            </w:r>
            <w:r w:rsidRPr="00C32BFA">
              <w:rPr>
                <w:snapToGrid w:val="0"/>
              </w:rPr>
              <w:lastRenderedPageBreak/>
              <w:t>att</w:t>
            </w:r>
            <w:r>
              <w:rPr>
                <w:snapToGrid w:val="0"/>
              </w:rPr>
              <w:t xml:space="preserve"> </w:t>
            </w:r>
            <w:r w:rsidRPr="00C32BFA">
              <w:rPr>
                <w:snapToGrid w:val="0"/>
              </w:rPr>
              <w:t>säkerställa tillgången till den.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Pr="00C32BFA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C32BFA">
              <w:rPr>
                <w:snapToGrid w:val="0"/>
              </w:rPr>
              <w:t>Regeringen anser att utvecklingen av en EU-gemensam strategi för</w:t>
            </w:r>
            <w:r>
              <w:rPr>
                <w:snapToGrid w:val="0"/>
              </w:rPr>
              <w:t xml:space="preserve"> </w:t>
            </w:r>
            <w:r w:rsidRPr="00C32BFA">
              <w:rPr>
                <w:snapToGrid w:val="0"/>
              </w:rPr>
              <w:t>rymdtrafikledning är ett viktigt steg framåt som utgångspunkt för</w:t>
            </w:r>
            <w:r>
              <w:rPr>
                <w:snapToGrid w:val="0"/>
              </w:rPr>
              <w:t xml:space="preserve"> </w:t>
            </w:r>
            <w:r w:rsidRPr="00C32BFA">
              <w:rPr>
                <w:snapToGrid w:val="0"/>
              </w:rPr>
              <w:t>internationella diskussioner i frågan och för en säker och hållbar</w:t>
            </w:r>
            <w:r>
              <w:rPr>
                <w:snapToGrid w:val="0"/>
              </w:rPr>
              <w:t xml:space="preserve"> </w:t>
            </w:r>
            <w:r w:rsidRPr="00C32BFA">
              <w:rPr>
                <w:snapToGrid w:val="0"/>
              </w:rPr>
              <w:t>rymdverksamhet i framtiden.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 w:rsidRPr="00C32BFA">
              <w:rPr>
                <w:snapToGrid w:val="0"/>
              </w:rPr>
              <w:t xml:space="preserve">Regeringen anser att Sverige kan ställa sig bakom </w:t>
            </w:r>
            <w:proofErr w:type="spellStart"/>
            <w:r w:rsidRPr="00C32BFA">
              <w:rPr>
                <w:snapToGrid w:val="0"/>
              </w:rPr>
              <w:t>rådsslutsatserna</w:t>
            </w:r>
            <w:proofErr w:type="spellEnd"/>
            <w:r w:rsidRPr="00C32BFA">
              <w:rPr>
                <w:snapToGrid w:val="0"/>
              </w:rPr>
              <w:t>.</w:t>
            </w: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Pr="002D4B23" w:rsidRDefault="007754FC" w:rsidP="007754FC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Utskottet</w:t>
            </w:r>
          </w:p>
          <w:p w:rsidR="007754FC" w:rsidRDefault="007754FC" w:rsidP="007754FC">
            <w:r w:rsidRPr="00F11C3E">
              <w:t>Ordföranden konstaterade att det fanns stöd för regeringens ståndpunkt.</w:t>
            </w:r>
            <w:r w:rsidRPr="007F03AF">
              <w:t xml:space="preserve"> </w:t>
            </w:r>
          </w:p>
          <w:p w:rsidR="007754FC" w:rsidRDefault="007754FC" w:rsidP="007754FC"/>
          <w:p w:rsidR="007754FC" w:rsidRPr="00230C9F" w:rsidRDefault="007754FC" w:rsidP="007754FC">
            <w:r w:rsidRPr="00C92DB6">
              <w:t>Denna paragraf förklarades omedelbart justerad.</w:t>
            </w:r>
            <w:r w:rsidRPr="00230C9F">
              <w:t xml:space="preserve"> </w:t>
            </w:r>
          </w:p>
          <w:p w:rsidR="007754FC" w:rsidRPr="00230C9F" w:rsidRDefault="007754FC" w:rsidP="007754FC">
            <w:pPr>
              <w:pStyle w:val="Default"/>
              <w:rPr>
                <w:snapToGrid w:val="0"/>
              </w:rPr>
            </w:pPr>
          </w:p>
        </w:tc>
      </w:tr>
      <w:tr w:rsidR="007754FC" w:rsidTr="0001177E">
        <w:tc>
          <w:tcPr>
            <w:tcW w:w="567" w:type="dxa"/>
          </w:tcPr>
          <w:p w:rsidR="007754FC" w:rsidRPr="003B4DE8" w:rsidRDefault="007754FC" w:rsidP="007754FC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754FC" w:rsidRDefault="007754FC" w:rsidP="007754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B1314">
              <w:rPr>
                <w:b/>
                <w:snapToGrid w:val="0"/>
              </w:rPr>
              <w:t xml:space="preserve">EU-information </w:t>
            </w:r>
            <w:r w:rsidRPr="00DE7484">
              <w:rPr>
                <w:b/>
                <w:snapToGrid w:val="0"/>
              </w:rPr>
              <w:t>om ändring av förordningen om gemensamma företag under Horisont Europa gällande det gemensamma halvledarföretaget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t>Statssekreterare Samuel Engblom, biträdd av departements</w:t>
            </w:r>
            <w:r>
              <w:softHyphen/>
              <w:t xml:space="preserve">sekreteraren Jessica </w:t>
            </w:r>
            <w:proofErr w:type="spellStart"/>
            <w:r>
              <w:t>Umegård</w:t>
            </w:r>
            <w:proofErr w:type="spellEnd"/>
            <w:r>
              <w:t xml:space="preserve"> samt ämnesråden Magnus Härviden och Per-Erik Yngwe, informerade om ändring av förordningen om gemensamma företag under Horisont Europa gällande det gemensamma halvledarföretaget</w:t>
            </w:r>
            <w:r w:rsidRPr="009F71C5">
              <w:t>.</w:t>
            </w:r>
            <w:r w:rsidRPr="002D4B23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 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754FC" w:rsidTr="0001177E">
        <w:tc>
          <w:tcPr>
            <w:tcW w:w="567" w:type="dxa"/>
          </w:tcPr>
          <w:p w:rsidR="007754FC" w:rsidRPr="003B4DE8" w:rsidRDefault="007754FC" w:rsidP="007754FC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754FC" w:rsidRDefault="007754FC" w:rsidP="007754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2021/22:37.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754FC" w:rsidTr="0001177E">
        <w:tc>
          <w:tcPr>
            <w:tcW w:w="567" w:type="dxa"/>
          </w:tcPr>
          <w:p w:rsidR="007754FC" w:rsidRPr="00656420" w:rsidRDefault="007754FC" w:rsidP="007754FC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754FC" w:rsidRDefault="007754FC" w:rsidP="007754F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zCs w:val="24"/>
              </w:rPr>
            </w:pPr>
          </w:p>
          <w:p w:rsidR="007754FC" w:rsidRDefault="007754FC" w:rsidP="007754FC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torsdagen den 19 maj 2022 kl. 10.00.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754FC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754FC" w:rsidRDefault="007754FC" w:rsidP="007754FC">
            <w:pPr>
              <w:tabs>
                <w:tab w:val="left" w:pos="1701"/>
              </w:tabs>
              <w:rPr>
                <w:b/>
              </w:rPr>
            </w:pPr>
          </w:p>
          <w:p w:rsidR="007754FC" w:rsidRDefault="007754FC" w:rsidP="007754FC">
            <w:pPr>
              <w:tabs>
                <w:tab w:val="left" w:pos="1701"/>
              </w:tabs>
            </w:pPr>
            <w:r>
              <w:t>Vid protokollet</w:t>
            </w:r>
          </w:p>
          <w:p w:rsidR="007754FC" w:rsidRDefault="007754FC" w:rsidP="007754FC">
            <w:pPr>
              <w:tabs>
                <w:tab w:val="left" w:pos="1701"/>
              </w:tabs>
            </w:pPr>
          </w:p>
          <w:p w:rsidR="007754FC" w:rsidRDefault="007754FC" w:rsidP="007754FC">
            <w:pPr>
              <w:tabs>
                <w:tab w:val="left" w:pos="1701"/>
              </w:tabs>
            </w:pPr>
          </w:p>
          <w:p w:rsidR="007754FC" w:rsidRDefault="00FC3C9D" w:rsidP="007754FC">
            <w:pPr>
              <w:tabs>
                <w:tab w:val="left" w:pos="1701"/>
              </w:tabs>
            </w:pPr>
            <w:r>
              <w:t>Karolina Gustafson</w:t>
            </w:r>
          </w:p>
          <w:p w:rsidR="007754FC" w:rsidRDefault="007754FC" w:rsidP="007754FC">
            <w:pPr>
              <w:tabs>
                <w:tab w:val="left" w:pos="1701"/>
              </w:tabs>
            </w:pPr>
          </w:p>
          <w:p w:rsidR="007754FC" w:rsidRDefault="007754FC" w:rsidP="007754FC">
            <w:pPr>
              <w:tabs>
                <w:tab w:val="left" w:pos="1701"/>
              </w:tabs>
            </w:pPr>
          </w:p>
          <w:p w:rsidR="007754FC" w:rsidRDefault="007754FC" w:rsidP="007754FC">
            <w:pPr>
              <w:tabs>
                <w:tab w:val="left" w:pos="1701"/>
              </w:tabs>
            </w:pPr>
            <w:r w:rsidRPr="00C56172">
              <w:t xml:space="preserve">Justeras </w:t>
            </w:r>
            <w:r>
              <w:t>torsdagen den 19 maj 2022</w:t>
            </w:r>
          </w:p>
          <w:p w:rsidR="007754FC" w:rsidRDefault="007754FC" w:rsidP="007754FC">
            <w:pPr>
              <w:tabs>
                <w:tab w:val="left" w:pos="1701"/>
              </w:tabs>
            </w:pPr>
          </w:p>
          <w:p w:rsidR="007754FC" w:rsidRDefault="007754FC" w:rsidP="007754FC">
            <w:pPr>
              <w:tabs>
                <w:tab w:val="left" w:pos="1701"/>
              </w:tabs>
            </w:pPr>
          </w:p>
          <w:p w:rsidR="007754FC" w:rsidRDefault="007754FC" w:rsidP="007754FC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7754FC" w:rsidRDefault="007754FC" w:rsidP="007754FC">
            <w:pPr>
              <w:tabs>
                <w:tab w:val="left" w:pos="1701"/>
              </w:tabs>
              <w:rPr>
                <w:b/>
              </w:rPr>
            </w:pPr>
          </w:p>
          <w:p w:rsidR="007754FC" w:rsidRDefault="007754FC" w:rsidP="007754FC">
            <w:pPr>
              <w:tabs>
                <w:tab w:val="left" w:pos="1701"/>
              </w:tabs>
              <w:rPr>
                <w:b/>
              </w:rPr>
            </w:pPr>
          </w:p>
          <w:p w:rsidR="007754FC" w:rsidRDefault="007754FC" w:rsidP="007754FC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977"/>
        <w:gridCol w:w="425"/>
        <w:gridCol w:w="45"/>
        <w:gridCol w:w="356"/>
        <w:gridCol w:w="356"/>
        <w:gridCol w:w="356"/>
        <w:gridCol w:w="356"/>
        <w:gridCol w:w="356"/>
        <w:gridCol w:w="356"/>
        <w:gridCol w:w="356"/>
        <w:gridCol w:w="86"/>
        <w:gridCol w:w="270"/>
        <w:gridCol w:w="356"/>
        <w:gridCol w:w="356"/>
        <w:gridCol w:w="356"/>
        <w:gridCol w:w="356"/>
        <w:gridCol w:w="356"/>
        <w:gridCol w:w="356"/>
      </w:tblGrid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  <w:r w:rsidRPr="00310016">
              <w:t>NÄRVAROFÖRTECKNING</w:t>
            </w: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310016" w:rsidRPr="00DB43E0" w:rsidRDefault="00310016" w:rsidP="00310016">
            <w:pPr>
              <w:tabs>
                <w:tab w:val="left" w:pos="1276"/>
              </w:tabs>
            </w:pPr>
            <w:r w:rsidRPr="00DB43E0">
              <w:t>till protokoll</w:t>
            </w:r>
          </w:p>
          <w:p w:rsidR="00310016" w:rsidRP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 w:rsidRPr="00DB43E0">
              <w:t>2021/22:</w:t>
            </w:r>
            <w:r w:rsidR="00BD4E67">
              <w:t>3</w:t>
            </w:r>
            <w:r w:rsidR="006B0455">
              <w:t>8</w:t>
            </w:r>
          </w:p>
        </w:tc>
      </w:tr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10016" w:rsidTr="00310016"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7754FC">
              <w:rPr>
                <w:sz w:val="22"/>
              </w:rPr>
              <w:t>1–8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6110B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RPr="0000117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3D41A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00117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00117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00117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00117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00117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00117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00117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00117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00117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00117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EC27A5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3D41A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3D41A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3D41A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3D41A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3D41A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3D41A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3D41A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3D41A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3D41A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7754FC" w:rsidP="00887A1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3D41A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3D41A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3D41A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3D41A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87A19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3D41A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87A19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0C461C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9E1FCA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87A19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0C461C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87A19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0C461C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402D5D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0C461C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0C461C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0C461C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0C461C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Pontus Andersson </w:t>
            </w:r>
            <w:r w:rsidRPr="000C461C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3D41A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3D41A2" w:rsidRDefault="00887A19" w:rsidP="0088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3D41A2" w:rsidRDefault="00887A19" w:rsidP="0088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3D41A2" w:rsidRDefault="00887A19" w:rsidP="0088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Pr="003D41A2" w:rsidRDefault="00887A19" w:rsidP="0088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87A19" w:rsidTr="00310016"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:rsidR="00887A19" w:rsidRPr="003D41A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87A19" w:rsidTr="00310016"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:rsidR="00887A19" w:rsidRPr="003D41A2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887A19" w:rsidRDefault="00887A19" w:rsidP="00887A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30054F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31B3676"/>
    <w:multiLevelType w:val="hybridMultilevel"/>
    <w:tmpl w:val="FCA267F0"/>
    <w:lvl w:ilvl="0" w:tplc="89F05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80"/>
    <w:rsid w:val="00001172"/>
    <w:rsid w:val="0001177E"/>
    <w:rsid w:val="00013FF4"/>
    <w:rsid w:val="0001407C"/>
    <w:rsid w:val="00022A7C"/>
    <w:rsid w:val="00026856"/>
    <w:rsid w:val="00033465"/>
    <w:rsid w:val="00066E8C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0307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054F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1341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20D71"/>
    <w:rsid w:val="005331E3"/>
    <w:rsid w:val="005349AA"/>
    <w:rsid w:val="005739C0"/>
    <w:rsid w:val="00574D87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0455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4FC"/>
    <w:rsid w:val="00775DBD"/>
    <w:rsid w:val="007765ED"/>
    <w:rsid w:val="00776CA2"/>
    <w:rsid w:val="007801D9"/>
    <w:rsid w:val="007838D8"/>
    <w:rsid w:val="00786FC6"/>
    <w:rsid w:val="007A1350"/>
    <w:rsid w:val="007A2073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87A19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3E80"/>
    <w:rsid w:val="00A35508"/>
    <w:rsid w:val="00A370F4"/>
    <w:rsid w:val="00A428EC"/>
    <w:rsid w:val="00A47DB2"/>
    <w:rsid w:val="00A53D6F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4E67"/>
    <w:rsid w:val="00BF1E92"/>
    <w:rsid w:val="00BF5F58"/>
    <w:rsid w:val="00C04265"/>
    <w:rsid w:val="00C1169B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C6A13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13B7"/>
    <w:rsid w:val="00E776AC"/>
    <w:rsid w:val="00E77ADF"/>
    <w:rsid w:val="00E810DC"/>
    <w:rsid w:val="00E81B4F"/>
    <w:rsid w:val="00E92F86"/>
    <w:rsid w:val="00E93918"/>
    <w:rsid w:val="00EB577E"/>
    <w:rsid w:val="00EC27A5"/>
    <w:rsid w:val="00EC418A"/>
    <w:rsid w:val="00EE1955"/>
    <w:rsid w:val="00EE4C8A"/>
    <w:rsid w:val="00EE73D8"/>
    <w:rsid w:val="00F12574"/>
    <w:rsid w:val="00F148BC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C3C9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5FE2A-061B-4CDC-A412-1E5BA21F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customStyle="1" w:styleId="Default">
    <w:name w:val="Default"/>
    <w:rsid w:val="007754F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1</TotalTime>
  <Pages>7</Pages>
  <Words>1385</Words>
  <Characters>9422</Characters>
  <Application>Microsoft Office Word</Application>
  <DocSecurity>0</DocSecurity>
  <Lines>1177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2</cp:revision>
  <cp:lastPrinted>2013-04-22T11:37:00Z</cp:lastPrinted>
  <dcterms:created xsi:type="dcterms:W3CDTF">2022-05-19T12:14:00Z</dcterms:created>
  <dcterms:modified xsi:type="dcterms:W3CDTF">2022-05-19T12:14:00Z</dcterms:modified>
</cp:coreProperties>
</file>