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9A4" w:rsidRPr="005969A4" w:rsidRDefault="005969A4">
      <w:pPr>
        <w:pStyle w:val="RubrikInnehllsf"/>
        <w:shd w:val="clear" w:color="000000" w:fill="auto"/>
      </w:pPr>
      <w:r w:rsidRPr="005969A4">
        <w:t>Innehållsförteckning</w:t>
      </w:r>
    </w:p>
    <w:p w:rsidR="005969A4" w:rsidRPr="005969A4" w:rsidRDefault="005969A4">
      <w:pPr>
        <w:pStyle w:val="Innehll1"/>
        <w:shd w:val="clear" w:color="000000" w:fill="auto"/>
        <w:tabs>
          <w:tab w:val="left" w:pos="567"/>
        </w:tabs>
        <w:rPr>
          <w:sz w:val="24"/>
          <w:szCs w:val="24"/>
        </w:rPr>
      </w:pPr>
      <w:r w:rsidRPr="005969A4">
        <w:rPr>
          <w:sz w:val="24"/>
        </w:rPr>
        <w:fldChar w:fldCharType="begin" w:fldLock="1"/>
      </w:r>
      <w:r w:rsidRPr="005969A4">
        <w:instrText xml:space="preserve"> TOC \o "2-3" \t "Rubrik 1;1;Förslagsrubrik;1;RubrikSammanf;1" </w:instrText>
      </w:r>
      <w:r w:rsidRPr="005969A4">
        <w:rPr>
          <w:sz w:val="24"/>
        </w:rPr>
        <w:fldChar w:fldCharType="separate"/>
      </w:r>
      <w:r w:rsidRPr="005969A4">
        <w:t>2</w:t>
      </w:r>
      <w:r w:rsidRPr="005969A4">
        <w:rPr>
          <w:sz w:val="24"/>
          <w:szCs w:val="24"/>
        </w:rPr>
        <w:tab/>
      </w:r>
      <w:r w:rsidRPr="005969A4">
        <w:t>Förslag till riksdagsbeslut</w:t>
      </w:r>
      <w:r w:rsidRPr="005969A4">
        <w:tab/>
      </w:r>
      <w:r w:rsidRPr="005969A4">
        <w:fldChar w:fldCharType="begin" w:fldLock="1"/>
      </w:r>
      <w:r w:rsidRPr="005969A4">
        <w:instrText xml:space="preserve"> PAGEREF _Toc281815717 \h </w:instrText>
      </w:r>
      <w:r w:rsidRPr="005969A4">
        <w:fldChar w:fldCharType="separate"/>
      </w:r>
      <w:r w:rsidRPr="005969A4">
        <w:t>2</w:t>
      </w:r>
      <w:r w:rsidRPr="005969A4">
        <w:fldChar w:fldCharType="end"/>
      </w:r>
    </w:p>
    <w:p w:rsidR="005969A4" w:rsidRPr="005969A4" w:rsidRDefault="005969A4">
      <w:pPr>
        <w:pStyle w:val="Innehll1"/>
        <w:shd w:val="clear" w:color="000000" w:fill="auto"/>
        <w:tabs>
          <w:tab w:val="left" w:pos="567"/>
        </w:tabs>
        <w:rPr>
          <w:sz w:val="24"/>
          <w:szCs w:val="24"/>
        </w:rPr>
      </w:pPr>
      <w:r w:rsidRPr="005969A4">
        <w:t>3</w:t>
      </w:r>
      <w:r w:rsidRPr="005969A4">
        <w:rPr>
          <w:sz w:val="24"/>
          <w:szCs w:val="24"/>
        </w:rPr>
        <w:tab/>
      </w:r>
      <w:r w:rsidRPr="005969A4">
        <w:t>Bakgrund</w:t>
      </w:r>
      <w:r w:rsidRPr="005969A4">
        <w:tab/>
      </w:r>
      <w:r w:rsidRPr="005969A4">
        <w:fldChar w:fldCharType="begin" w:fldLock="1"/>
      </w:r>
      <w:r w:rsidRPr="005969A4">
        <w:instrText xml:space="preserve"> PAGEREF _Toc281815718 \h </w:instrText>
      </w:r>
      <w:r w:rsidRPr="005969A4">
        <w:fldChar w:fldCharType="separate"/>
      </w:r>
      <w:r w:rsidRPr="005969A4">
        <w:t>2</w:t>
      </w:r>
      <w:r w:rsidRPr="005969A4">
        <w:fldChar w:fldCharType="end"/>
      </w:r>
    </w:p>
    <w:p w:rsidR="005969A4" w:rsidRPr="005969A4" w:rsidRDefault="005969A4">
      <w:pPr>
        <w:pStyle w:val="Innehll1"/>
        <w:shd w:val="clear" w:color="000000" w:fill="auto"/>
        <w:tabs>
          <w:tab w:val="left" w:pos="567"/>
        </w:tabs>
        <w:rPr>
          <w:sz w:val="24"/>
          <w:szCs w:val="24"/>
        </w:rPr>
      </w:pPr>
      <w:r w:rsidRPr="005969A4">
        <w:t>4</w:t>
      </w:r>
      <w:r w:rsidRPr="005969A4">
        <w:rPr>
          <w:sz w:val="24"/>
          <w:szCs w:val="24"/>
        </w:rPr>
        <w:tab/>
      </w:r>
      <w:r w:rsidRPr="005969A4">
        <w:t>Normpolitiken</w:t>
      </w:r>
      <w:r w:rsidRPr="005969A4">
        <w:tab/>
      </w:r>
      <w:r w:rsidRPr="005969A4">
        <w:fldChar w:fldCharType="begin" w:fldLock="1"/>
      </w:r>
      <w:r w:rsidRPr="005969A4">
        <w:instrText xml:space="preserve"> PAGEREF _Toc281815719 \h </w:instrText>
      </w:r>
      <w:r w:rsidRPr="005969A4">
        <w:fldChar w:fldCharType="separate"/>
      </w:r>
      <w:r w:rsidRPr="005969A4">
        <w:t>4</w:t>
      </w:r>
      <w:r w:rsidRPr="005969A4">
        <w:fldChar w:fldCharType="end"/>
      </w:r>
    </w:p>
    <w:p w:rsidR="005969A4" w:rsidRPr="005969A4" w:rsidRDefault="005969A4">
      <w:pPr>
        <w:pStyle w:val="Innehll1"/>
        <w:shd w:val="clear" w:color="000000" w:fill="auto"/>
        <w:tabs>
          <w:tab w:val="left" w:pos="567"/>
        </w:tabs>
        <w:rPr>
          <w:sz w:val="24"/>
          <w:szCs w:val="24"/>
        </w:rPr>
      </w:pPr>
      <w:r w:rsidRPr="005969A4">
        <w:t>5</w:t>
      </w:r>
      <w:r w:rsidRPr="005969A4">
        <w:rPr>
          <w:sz w:val="24"/>
          <w:szCs w:val="24"/>
        </w:rPr>
        <w:tab/>
      </w:r>
      <w:r w:rsidRPr="005969A4">
        <w:t>Principiella överväganden</w:t>
      </w:r>
      <w:r w:rsidRPr="005969A4">
        <w:tab/>
      </w:r>
      <w:r w:rsidRPr="005969A4">
        <w:fldChar w:fldCharType="begin" w:fldLock="1"/>
      </w:r>
      <w:r w:rsidRPr="005969A4">
        <w:instrText xml:space="preserve"> PAGEREF _Toc281815720 \h </w:instrText>
      </w:r>
      <w:r w:rsidRPr="005969A4">
        <w:fldChar w:fldCharType="separate"/>
      </w:r>
      <w:r w:rsidRPr="005969A4">
        <w:t>6</w:t>
      </w:r>
      <w:r w:rsidRPr="005969A4">
        <w:fldChar w:fldCharType="end"/>
      </w:r>
    </w:p>
    <w:p w:rsidR="005969A4" w:rsidRPr="005969A4" w:rsidRDefault="005969A4">
      <w:pPr>
        <w:pStyle w:val="Innehll1"/>
        <w:shd w:val="clear" w:color="000000" w:fill="auto"/>
        <w:tabs>
          <w:tab w:val="left" w:pos="567"/>
        </w:tabs>
        <w:rPr>
          <w:sz w:val="24"/>
          <w:szCs w:val="24"/>
        </w:rPr>
      </w:pPr>
      <w:r w:rsidRPr="005969A4">
        <w:t>6</w:t>
      </w:r>
      <w:r w:rsidRPr="005969A4">
        <w:rPr>
          <w:sz w:val="24"/>
          <w:szCs w:val="24"/>
        </w:rPr>
        <w:tab/>
      </w:r>
      <w:r w:rsidRPr="005969A4">
        <w:t>Utgiftstaken</w:t>
      </w:r>
      <w:r w:rsidRPr="005969A4">
        <w:tab/>
      </w:r>
      <w:r w:rsidRPr="005969A4">
        <w:fldChar w:fldCharType="begin" w:fldLock="1"/>
      </w:r>
      <w:r w:rsidRPr="005969A4">
        <w:instrText xml:space="preserve"> PAGEREF _Toc281815721 \h </w:instrText>
      </w:r>
      <w:r w:rsidRPr="005969A4">
        <w:fldChar w:fldCharType="separate"/>
      </w:r>
      <w:r w:rsidRPr="005969A4">
        <w:t>6</w:t>
      </w:r>
      <w:r w:rsidRPr="005969A4">
        <w:fldChar w:fldCharType="end"/>
      </w:r>
    </w:p>
    <w:p w:rsidR="005969A4" w:rsidRPr="005969A4" w:rsidRDefault="005969A4">
      <w:pPr>
        <w:pStyle w:val="Innehll1"/>
        <w:shd w:val="clear" w:color="000000" w:fill="auto"/>
        <w:tabs>
          <w:tab w:val="left" w:pos="567"/>
        </w:tabs>
        <w:rPr>
          <w:sz w:val="24"/>
          <w:szCs w:val="24"/>
        </w:rPr>
      </w:pPr>
      <w:r w:rsidRPr="005969A4">
        <w:t>7</w:t>
      </w:r>
      <w:r w:rsidRPr="005969A4">
        <w:rPr>
          <w:sz w:val="24"/>
          <w:szCs w:val="24"/>
        </w:rPr>
        <w:tab/>
      </w:r>
      <w:r w:rsidRPr="005969A4">
        <w:t>Överskottsmålet</w:t>
      </w:r>
      <w:r w:rsidRPr="005969A4">
        <w:tab/>
      </w:r>
      <w:r w:rsidRPr="005969A4">
        <w:fldChar w:fldCharType="begin" w:fldLock="1"/>
      </w:r>
      <w:r w:rsidRPr="005969A4">
        <w:instrText xml:space="preserve"> PAGEREF _Toc281815722 \h </w:instrText>
      </w:r>
      <w:r w:rsidRPr="005969A4">
        <w:fldChar w:fldCharType="separate"/>
      </w:r>
      <w:r w:rsidRPr="005969A4">
        <w:t>7</w:t>
      </w:r>
      <w:r w:rsidRPr="005969A4">
        <w:fldChar w:fldCharType="end"/>
      </w:r>
    </w:p>
    <w:p w:rsidR="005969A4" w:rsidRPr="005969A4" w:rsidRDefault="005969A4">
      <w:pPr>
        <w:pStyle w:val="Innehll1"/>
        <w:shd w:val="clear" w:color="000000" w:fill="auto"/>
        <w:tabs>
          <w:tab w:val="left" w:pos="567"/>
        </w:tabs>
        <w:rPr>
          <w:sz w:val="24"/>
          <w:szCs w:val="24"/>
        </w:rPr>
      </w:pPr>
      <w:r w:rsidRPr="005969A4">
        <w:t>8</w:t>
      </w:r>
      <w:r w:rsidRPr="005969A4">
        <w:rPr>
          <w:sz w:val="24"/>
          <w:szCs w:val="24"/>
        </w:rPr>
        <w:tab/>
      </w:r>
      <w:r w:rsidRPr="005969A4">
        <w:t>Infrastruktur och statligt ägande</w:t>
      </w:r>
      <w:r w:rsidRPr="005969A4">
        <w:tab/>
      </w:r>
      <w:r w:rsidRPr="005969A4">
        <w:fldChar w:fldCharType="begin" w:fldLock="1"/>
      </w:r>
      <w:r w:rsidRPr="005969A4">
        <w:instrText xml:space="preserve"> PAGEREF _Toc281815723 \h </w:instrText>
      </w:r>
      <w:r w:rsidRPr="005969A4">
        <w:fldChar w:fldCharType="separate"/>
      </w:r>
      <w:r w:rsidRPr="005969A4">
        <w:t>9</w:t>
      </w:r>
      <w:r w:rsidRPr="005969A4">
        <w:fldChar w:fldCharType="end"/>
      </w:r>
    </w:p>
    <w:p w:rsidR="005969A4" w:rsidRPr="005969A4" w:rsidRDefault="005969A4">
      <w:pPr>
        <w:pStyle w:val="Innehll2"/>
        <w:shd w:val="clear" w:color="000000" w:fill="auto"/>
        <w:tabs>
          <w:tab w:val="left" w:pos="1200"/>
        </w:tabs>
        <w:rPr>
          <w:sz w:val="24"/>
          <w:szCs w:val="24"/>
        </w:rPr>
      </w:pPr>
      <w:r w:rsidRPr="005969A4">
        <w:t>8.1</w:t>
      </w:r>
      <w:r w:rsidRPr="005969A4">
        <w:rPr>
          <w:sz w:val="24"/>
          <w:szCs w:val="24"/>
        </w:rPr>
        <w:tab/>
      </w:r>
      <w:r w:rsidRPr="005969A4">
        <w:t>Finansiering av infrastruktur</w:t>
      </w:r>
      <w:r w:rsidRPr="005969A4">
        <w:tab/>
      </w:r>
      <w:r w:rsidRPr="005969A4">
        <w:fldChar w:fldCharType="begin" w:fldLock="1"/>
      </w:r>
      <w:r w:rsidRPr="005969A4">
        <w:instrText xml:space="preserve"> PAGEREF _Toc281815724 \h </w:instrText>
      </w:r>
      <w:r w:rsidRPr="005969A4">
        <w:fldChar w:fldCharType="separate"/>
      </w:r>
      <w:r w:rsidRPr="005969A4">
        <w:t>9</w:t>
      </w:r>
      <w:r w:rsidRPr="005969A4">
        <w:fldChar w:fldCharType="end"/>
      </w:r>
    </w:p>
    <w:p w:rsidR="005969A4" w:rsidRPr="005969A4" w:rsidRDefault="005969A4">
      <w:pPr>
        <w:pStyle w:val="Innehll2"/>
        <w:shd w:val="clear" w:color="000000" w:fill="auto"/>
        <w:tabs>
          <w:tab w:val="left" w:pos="1200"/>
        </w:tabs>
        <w:rPr>
          <w:sz w:val="24"/>
          <w:szCs w:val="24"/>
        </w:rPr>
      </w:pPr>
      <w:r w:rsidRPr="005969A4">
        <w:t>8.2</w:t>
      </w:r>
      <w:r w:rsidRPr="005969A4">
        <w:rPr>
          <w:sz w:val="24"/>
          <w:szCs w:val="24"/>
        </w:rPr>
        <w:tab/>
      </w:r>
      <w:r w:rsidRPr="005969A4">
        <w:t>Förvärv av aktier och kapitaltillskott</w:t>
      </w:r>
      <w:r w:rsidRPr="005969A4">
        <w:tab/>
      </w:r>
      <w:r w:rsidRPr="005969A4">
        <w:fldChar w:fldCharType="begin" w:fldLock="1"/>
      </w:r>
      <w:r w:rsidRPr="005969A4">
        <w:instrText xml:space="preserve"> PAGEREF _Toc281815725 \h </w:instrText>
      </w:r>
      <w:r w:rsidRPr="005969A4">
        <w:fldChar w:fldCharType="separate"/>
      </w:r>
      <w:r w:rsidRPr="005969A4">
        <w:t>10</w:t>
      </w:r>
      <w:r w:rsidRPr="005969A4">
        <w:fldChar w:fldCharType="end"/>
      </w:r>
    </w:p>
    <w:p w:rsidR="005969A4" w:rsidRPr="005969A4" w:rsidRDefault="005969A4">
      <w:pPr>
        <w:pStyle w:val="Innehll2"/>
        <w:shd w:val="clear" w:color="000000" w:fill="auto"/>
        <w:tabs>
          <w:tab w:val="left" w:pos="1200"/>
        </w:tabs>
        <w:rPr>
          <w:sz w:val="24"/>
          <w:szCs w:val="24"/>
        </w:rPr>
      </w:pPr>
      <w:r w:rsidRPr="005969A4">
        <w:t>8.3</w:t>
      </w:r>
      <w:r w:rsidRPr="005969A4">
        <w:rPr>
          <w:sz w:val="24"/>
          <w:szCs w:val="24"/>
        </w:rPr>
        <w:tab/>
      </w:r>
      <w:r w:rsidRPr="005969A4">
        <w:t>Förslag</w:t>
      </w:r>
      <w:r w:rsidRPr="005969A4">
        <w:tab/>
      </w:r>
      <w:r w:rsidRPr="005969A4">
        <w:fldChar w:fldCharType="begin" w:fldLock="1"/>
      </w:r>
      <w:r w:rsidRPr="005969A4">
        <w:instrText xml:space="preserve"> PAGEREF _Toc281815726 \h </w:instrText>
      </w:r>
      <w:r w:rsidRPr="005969A4">
        <w:fldChar w:fldCharType="separate"/>
      </w:r>
      <w:r w:rsidRPr="005969A4">
        <w:t>11</w:t>
      </w:r>
      <w:r w:rsidRPr="005969A4">
        <w:fldChar w:fldCharType="end"/>
      </w:r>
    </w:p>
    <w:p w:rsidR="005969A4" w:rsidRPr="005969A4" w:rsidRDefault="005969A4">
      <w:pPr>
        <w:pStyle w:val="Innehll1"/>
        <w:shd w:val="clear" w:color="000000" w:fill="auto"/>
        <w:tabs>
          <w:tab w:val="left" w:pos="567"/>
        </w:tabs>
        <w:rPr>
          <w:sz w:val="24"/>
          <w:szCs w:val="24"/>
        </w:rPr>
      </w:pPr>
      <w:r w:rsidRPr="005969A4">
        <w:t>9</w:t>
      </w:r>
      <w:r w:rsidRPr="005969A4">
        <w:rPr>
          <w:sz w:val="24"/>
          <w:szCs w:val="24"/>
        </w:rPr>
        <w:tab/>
      </w:r>
      <w:r w:rsidRPr="005969A4">
        <w:t>Utlåning och CSN</w:t>
      </w:r>
      <w:r w:rsidRPr="005969A4">
        <w:tab/>
      </w:r>
      <w:r w:rsidRPr="005969A4">
        <w:fldChar w:fldCharType="begin" w:fldLock="1"/>
      </w:r>
      <w:r w:rsidRPr="005969A4">
        <w:instrText xml:space="preserve"> PAGEREF _Toc281815727 \h </w:instrText>
      </w:r>
      <w:r w:rsidRPr="005969A4">
        <w:fldChar w:fldCharType="separate"/>
      </w:r>
      <w:r w:rsidRPr="005969A4">
        <w:t>11</w:t>
      </w:r>
      <w:r w:rsidRPr="005969A4">
        <w:fldChar w:fldCharType="end"/>
      </w:r>
    </w:p>
    <w:p w:rsidR="005969A4" w:rsidRPr="005969A4" w:rsidRDefault="005969A4">
      <w:r w:rsidRPr="005969A4">
        <w:br w:type="page"/>
      </w:r>
      <w:r w:rsidRPr="005969A4">
        <w:lastRenderedPageBreak/>
        <w:fldChar w:fldCharType="end"/>
      </w:r>
      <w:bookmarkStart w:id="0" w:name="_Toc281815717"/>
    </w:p>
    <w:p w:rsidR="005969A4" w:rsidRPr="005969A4" w:rsidRDefault="005969A4">
      <w:pPr>
        <w:pStyle w:val="Frslagsrubrik"/>
        <w:shd w:val="clear" w:color="000000" w:fill="auto"/>
      </w:pPr>
      <w:r w:rsidRPr="005969A4">
        <w:t>Förslag till riksdagsbeslut</w:t>
      </w:r>
      <w:bookmarkEnd w:id="0"/>
    </w:p>
    <w:p w:rsidR="005969A4" w:rsidRPr="005969A4" w:rsidRDefault="005969A4">
      <w:pPr>
        <w:pStyle w:val="Hemstlatt"/>
        <w:numPr>
          <w:ilvl w:val="0"/>
          <w:numId w:val="1"/>
        </w:numPr>
        <w:shd w:val="clear" w:color="000000" w:fill="auto"/>
      </w:pPr>
      <w:r w:rsidRPr="005969A4">
        <w:t>Riksdagen avslår regeringens förslag till 2 kap. 2 § budgetlagen.</w:t>
      </w:r>
    </w:p>
    <w:p w:rsidR="005969A4" w:rsidRPr="005969A4" w:rsidRDefault="005969A4">
      <w:pPr>
        <w:pStyle w:val="Hemstlatt"/>
        <w:numPr>
          <w:ilvl w:val="0"/>
          <w:numId w:val="1"/>
        </w:numPr>
        <w:shd w:val="clear" w:color="000000" w:fill="auto"/>
      </w:pPr>
      <w:r w:rsidRPr="005969A4">
        <w:t>Riksdagen avslår regeringens förslag till 2 kap. 4 § budgetlagen.</w:t>
      </w:r>
    </w:p>
    <w:p w:rsidR="005969A4" w:rsidRPr="005969A4" w:rsidRDefault="005969A4">
      <w:pPr>
        <w:pStyle w:val="Hemstlatt"/>
        <w:numPr>
          <w:ilvl w:val="0"/>
          <w:numId w:val="1"/>
        </w:numPr>
        <w:shd w:val="clear" w:color="000000" w:fill="auto"/>
      </w:pPr>
      <w:r w:rsidRPr="005969A4">
        <w:t>Riksdagen beslutar med ändring av regeringens förslag att 2 kap. 1 § budgetlagen ska ha följande lydelse: Regeringen ska till riksdagen lämna förslag till mål för den offentliga sektorns finansiella sparande (saldomålet).</w:t>
      </w:r>
    </w:p>
    <w:p w:rsidR="005969A4" w:rsidRPr="005969A4" w:rsidRDefault="005969A4">
      <w:pPr>
        <w:pStyle w:val="Hemstlatt"/>
        <w:numPr>
          <w:ilvl w:val="0"/>
          <w:numId w:val="1"/>
        </w:numPr>
        <w:shd w:val="clear" w:color="000000" w:fill="auto"/>
      </w:pPr>
      <w:r w:rsidRPr="005969A4">
        <w:t>Riksdagen beslutar med ändring av regeringens förslag att 7 kap. 5 § budgetlagen ska ha följande lydelse: A</w:t>
      </w:r>
      <w:r w:rsidRPr="005969A4">
        <w:rPr>
          <w:color w:val="000000"/>
          <w:szCs w:val="24"/>
        </w:rPr>
        <w:t>ndra tillgångar än de som anges i 1, 3 och 4 §§ ska finansieras med lån eller med inkomster som anges i 8 kap. 9–12 §§.</w:t>
      </w:r>
    </w:p>
    <w:p w:rsidR="005969A4" w:rsidRPr="005969A4" w:rsidRDefault="005969A4">
      <w:pPr>
        <w:pStyle w:val="Hemstlatt"/>
        <w:numPr>
          <w:ilvl w:val="0"/>
          <w:numId w:val="1"/>
        </w:numPr>
        <w:shd w:val="clear" w:color="000000" w:fill="auto"/>
      </w:pPr>
      <w:r w:rsidRPr="005969A4">
        <w:t>Riksdagen beslutar med ändring av regeringens förslag att 7 kap. 2 § budgetlagen ska ha följande lydelse: Förvärv av aktier eller andelar i ett företag och annat tillskott av kapital ska finansieras med lån.</w:t>
      </w:r>
    </w:p>
    <w:p w:rsidR="005969A4" w:rsidRPr="005969A4" w:rsidRDefault="005969A4">
      <w:pPr>
        <w:pStyle w:val="Hemstlatt"/>
        <w:numPr>
          <w:ilvl w:val="0"/>
          <w:numId w:val="1"/>
        </w:numPr>
        <w:shd w:val="clear" w:color="000000" w:fill="auto"/>
      </w:pPr>
      <w:r w:rsidRPr="005969A4">
        <w:t>Riksdagen beslutar med ändring av regeringens förslag att 7 kap. 6 § budgetlagen ska ha följande lydelse:</w:t>
      </w:r>
      <w:r w:rsidRPr="005969A4">
        <w:rPr>
          <w:color w:val="000000"/>
          <w:szCs w:val="24"/>
        </w:rPr>
        <w:t xml:space="preserve"> Bestämmelserna i 1–5 §§ gäller inte om riksdagen för en viss myndighet, ett visst anslag, ett visst lån eller en viss anskaffning beslutar om någon annan finansiering.</w:t>
      </w:r>
    </w:p>
    <w:p w:rsidR="005969A4" w:rsidRPr="005969A4" w:rsidRDefault="005969A4">
      <w:pPr>
        <w:pStyle w:val="Rubrik1"/>
        <w:shd w:val="clear" w:color="000000" w:fill="auto"/>
      </w:pPr>
      <w:bookmarkStart w:id="1" w:name="_Toc281815718"/>
      <w:r w:rsidRPr="005969A4">
        <w:t>Bakgrund</w:t>
      </w:r>
      <w:bookmarkEnd w:id="1"/>
    </w:p>
    <w:p w:rsidR="005969A4" w:rsidRPr="005969A4" w:rsidRDefault="005969A4">
      <w:pPr>
        <w:shd w:val="clear" w:color="000000" w:fill="auto"/>
      </w:pPr>
      <w:r w:rsidRPr="005969A4">
        <w:t>År 1996 antog riksdagen lagen (1996:1059) om statsbudgeten (budgetlagen). Dessförinnan saknade Sverige en lag som explicit reglerade statsbudgeten. Regeringen och riksdagen ansåg att regeringsformens och riksdagsordningens bestämmelser om finansmakten och statsbudgeten behövde kompletteras och preciseras. Man menade bl.a. att det förelåg ett behov av att tydliggöra bef</w:t>
      </w:r>
      <w:r w:rsidRPr="005969A4">
        <w:t>o</w:t>
      </w:r>
      <w:r w:rsidRPr="005969A4">
        <w:t>genhetsfördelningen mellan riksdag och regering på finansmaktens område och att införa bestämmelser som kunde stärka budgetdisciplinen. Med b</w:t>
      </w:r>
      <w:r w:rsidRPr="005969A4">
        <w:t>e</w:t>
      </w:r>
      <w:r w:rsidRPr="005969A4">
        <w:t>greppet finansmakt avses främst rätten att bestämma hur statens inkomster ska beräknas och att besluta om statens utgifter och på annat sätt förfoga över statens tillgångar.</w:t>
      </w:r>
    </w:p>
    <w:p w:rsidR="005969A4" w:rsidRPr="005969A4" w:rsidRDefault="005969A4">
      <w:pPr>
        <w:pStyle w:val="Normaltindrag"/>
        <w:shd w:val="clear" w:color="000000" w:fill="auto"/>
      </w:pPr>
      <w:r w:rsidRPr="005969A4">
        <w:t>En viktig bestämmelse som infördes i den gamla budgetlagen var att rege</w:t>
      </w:r>
      <w:r w:rsidRPr="005969A4">
        <w:t>r</w:t>
      </w:r>
      <w:r w:rsidRPr="005969A4">
        <w:t>ingen – med hänvisning till riksdagsordningen – gavs möjligheten att föreslå riksdagen att införa ett tak för statens utgifter (utgiftstak), samt att dessa tak fick avse en längre tid än för det kommande budgetåret. Det infördes också en bestämmelse om att i det fall ett beslutat utgiftstak riskerade att överstigas skulle regeringen för att undvika detta vidta sådana åtgärder som den hade befogenhet till eller föreslå riksdagen nödvändiga åtgärder.</w:t>
      </w:r>
    </w:p>
    <w:p w:rsidR="005969A4" w:rsidRPr="005969A4" w:rsidRDefault="005969A4">
      <w:pPr>
        <w:pStyle w:val="Normaltindrag"/>
        <w:shd w:val="clear" w:color="000000" w:fill="auto"/>
      </w:pPr>
      <w:r w:rsidRPr="005969A4">
        <w:t>Strax innan riksdagen antog lagen om statsbudgeten hade de</w:t>
      </w:r>
      <w:r w:rsidRPr="005969A4">
        <w:t>t infogats en ny bestämmelse i riksdagsordningen av stor vikt för budgetprocessen, den s.k. rambeslutsmodellen. Denna bestämmelse regleras för närvarande i 5 kap. 12 § riksdagsordningen. Modellen innebär att riksdagen först beslutar om budgeten i dess helhet och lägger fast ramar för den totala omfattningen av statsutgi</w:t>
      </w:r>
      <w:r w:rsidRPr="005969A4">
        <w:t>f</w:t>
      </w:r>
      <w:r w:rsidRPr="005969A4">
        <w:t>terna och för utgiftsnivån för vart och ett av de 27 utgiftsområdena. Samtidigt tar riksdagen ställning till vilka förslag till skatter och avgifter som ska genomföras. I ett andra steg besl</w:t>
      </w:r>
      <w:r w:rsidRPr="005969A4">
        <w:t>utar riksdagen om anslagen på respektive utgiftsområde inom ramen för det belopp som redan fastställts. Bestämmelsen har inneburit att regeringens inflytande på den ekonomiska politiken och budgetprocessen har stärkts i betydande omfattning på riksdagens bekostnad. Förespråkarna för modellen hävdar att den stärkt budgetdisciplinen under budgetprocessen.</w:t>
      </w:r>
    </w:p>
    <w:p w:rsidR="005969A4" w:rsidRPr="005969A4" w:rsidRDefault="005969A4">
      <w:pPr>
        <w:pStyle w:val="Normaltindrag"/>
        <w:shd w:val="clear" w:color="000000" w:fill="auto"/>
      </w:pPr>
      <w:r w:rsidRPr="005969A4">
        <w:t>I 2007 års ekonomiska vårproposition anförde regeringen att den avsåg att göra en översyn av budgetlagen. Detta har hittills resulterat i flera viktiga förä</w:t>
      </w:r>
      <w:r w:rsidRPr="005969A4">
        <w:t>ndringar av budgetlagen.</w:t>
      </w:r>
    </w:p>
    <w:p w:rsidR="005969A4" w:rsidRPr="005969A4" w:rsidRDefault="005969A4">
      <w:pPr>
        <w:pStyle w:val="Normaltindrag"/>
        <w:shd w:val="clear" w:color="000000" w:fill="auto"/>
      </w:pPr>
      <w:r w:rsidRPr="005969A4">
        <w:t>I samband med att riksdagen biföll regeringens proposition 2009/10:5 O</w:t>
      </w:r>
      <w:r w:rsidRPr="005969A4">
        <w:t>b</w:t>
      </w:r>
      <w:r w:rsidRPr="005969A4">
        <w:t xml:space="preserve">ligatoriskt utgiftstak ändrades budgetlagen genom </w:t>
      </w:r>
      <w:r w:rsidRPr="005969A4">
        <w:rPr>
          <w:i/>
        </w:rPr>
        <w:t xml:space="preserve">lagen </w:t>
      </w:r>
      <w:r w:rsidRPr="005969A4">
        <w:t xml:space="preserve">(2009:1444) på två centrala områden. Regeringen </w:t>
      </w:r>
      <w:r w:rsidRPr="005969A4">
        <w:rPr>
          <w:i/>
        </w:rPr>
        <w:t xml:space="preserve">ska </w:t>
      </w:r>
      <w:r w:rsidRPr="005969A4">
        <w:t>numera i budgetpropositionen</w:t>
      </w:r>
      <w:r w:rsidRPr="005969A4">
        <w:rPr>
          <w:i/>
        </w:rPr>
        <w:t xml:space="preserve"> </w:t>
      </w:r>
      <w:r w:rsidRPr="005969A4">
        <w:t>lämna fö</w:t>
      </w:r>
      <w:r w:rsidRPr="005969A4">
        <w:t>r</w:t>
      </w:r>
      <w:r w:rsidRPr="005969A4">
        <w:t xml:space="preserve">slag till tak för statens utgifter. Innan denna förändring föreskrev budgetlagen endast att regeringen hade </w:t>
      </w:r>
      <w:r w:rsidRPr="005969A4">
        <w:rPr>
          <w:i/>
        </w:rPr>
        <w:t>möjligheten</w:t>
      </w:r>
      <w:r w:rsidRPr="005969A4">
        <w:t xml:space="preserve"> att föreslå tak för statens utgifter. En annan viktig förändring i budgetlagen som antagandet av propositionen me</w:t>
      </w:r>
      <w:r w:rsidRPr="005969A4">
        <w:t>d</w:t>
      </w:r>
      <w:r w:rsidRPr="005969A4">
        <w:t xml:space="preserve">förde är att utgiftstaken numera </w:t>
      </w:r>
      <w:r w:rsidRPr="005969A4">
        <w:rPr>
          <w:i/>
        </w:rPr>
        <w:t xml:space="preserve">ska </w:t>
      </w:r>
      <w:r w:rsidRPr="005969A4">
        <w:t>vara treåriga, detta till skillnad mot den föregående bestämmelsen som uttryckte att utgiftsta</w:t>
      </w:r>
      <w:r w:rsidRPr="005969A4">
        <w:t xml:space="preserve">ken </w:t>
      </w:r>
      <w:r w:rsidRPr="005969A4">
        <w:rPr>
          <w:i/>
        </w:rPr>
        <w:t xml:space="preserve">fick </w:t>
      </w:r>
      <w:r w:rsidRPr="005969A4">
        <w:t>omfatta en längre tidsperiod än det kommande budgetåret.</w:t>
      </w:r>
    </w:p>
    <w:p w:rsidR="005969A4" w:rsidRPr="005969A4" w:rsidRDefault="005969A4">
      <w:pPr>
        <w:pStyle w:val="Normaltindrag"/>
        <w:shd w:val="clear" w:color="000000" w:fill="auto"/>
        <w:rPr>
          <w:i/>
        </w:rPr>
      </w:pPr>
      <w:r w:rsidRPr="005969A4">
        <w:t>Den 4 juni 2009 beslutade regeringen att tillkalla en särskild utredare med uppdrag att göra en översyn av budgetlagen. På basis av Finansdeparteme</w:t>
      </w:r>
      <w:r w:rsidRPr="005969A4">
        <w:t>n</w:t>
      </w:r>
      <w:r w:rsidRPr="005969A4">
        <w:t>tets departementspromemoria Utvärdering av överskottsmålet (Ds 2010:4) beslutade regeringen om ett tilläggsdirektiv till utredningen av budgetlagen med innebörden att utredningen skulle lämna förslag till reglering av överskottsmålet, vilket resulterade i rapporten Obligatoriskt överskottsmål (dnr Fi2010/1192). I samband med 2010 års ekonomiska vårproposition tog regeringen ställning till rapportens förslag. I vårpropositionen föreslog rege</w:t>
      </w:r>
      <w:r w:rsidRPr="005969A4">
        <w:t>r</w:t>
      </w:r>
      <w:r w:rsidRPr="005969A4">
        <w:t>ingen att det införs en skyldighet för regeringen att dels till ri</w:t>
      </w:r>
      <w:r w:rsidRPr="005969A4">
        <w:t>ksdagens lämna förslag till mål för den finansiella sektorns sparande, dels vid minst två tillfä</w:t>
      </w:r>
      <w:r w:rsidRPr="005969A4">
        <w:t>l</w:t>
      </w:r>
      <w:r w:rsidRPr="005969A4">
        <w:t>len under budgetåret redovisa för riksdagen hur målet uppnås. Trots att rege</w:t>
      </w:r>
      <w:r w:rsidRPr="005969A4">
        <w:t>r</w:t>
      </w:r>
      <w:r w:rsidRPr="005969A4">
        <w:t>ingen inte föreslog att nivån på målet skulle regleras i budgetlagen förordade man att målet skulle benämnas ”överskottsmålet”. Riksdagen biföll regerin</w:t>
      </w:r>
      <w:r w:rsidRPr="005969A4">
        <w:t>g</w:t>
      </w:r>
      <w:r w:rsidRPr="005969A4">
        <w:t xml:space="preserve">ens förslag och bestämmelserna infördes i budgetlagen genom </w:t>
      </w:r>
      <w:r w:rsidRPr="005969A4">
        <w:rPr>
          <w:i/>
        </w:rPr>
        <w:t xml:space="preserve">lagen </w:t>
      </w:r>
      <w:r w:rsidRPr="005969A4">
        <w:t>(2010:716).</w:t>
      </w:r>
    </w:p>
    <w:p w:rsidR="005969A4" w:rsidRPr="005969A4" w:rsidRDefault="005969A4">
      <w:pPr>
        <w:pStyle w:val="Normaltindrag"/>
        <w:shd w:val="clear" w:color="000000" w:fill="auto"/>
      </w:pPr>
      <w:r w:rsidRPr="005969A4">
        <w:t>I proposition 2010/11:40 En reformerad budgetlag lämnar regeringen nu förslag till ytterligare ett antal fö</w:t>
      </w:r>
      <w:r w:rsidRPr="005969A4">
        <w:t>rändringar av budgetlagen. De nya bestä</w:t>
      </w:r>
      <w:r w:rsidRPr="005969A4">
        <w:t>m</w:t>
      </w:r>
      <w:r w:rsidRPr="005969A4">
        <w:t>melserna handlar bl.a. om förbud mot utgifter på budgetens inkomstsida, vissa förändringar av budgetens anslagstyper, förändringar av bestämmelse</w:t>
      </w:r>
      <w:r w:rsidRPr="005969A4">
        <w:t>r</w:t>
      </w:r>
      <w:r w:rsidRPr="005969A4">
        <w:t>na beträffande anslagskrediter och anslagssparande, en ny modell för statlig utlåning samt ny reglering avseende förvärv av aktier.</w:t>
      </w:r>
    </w:p>
    <w:p w:rsidR="005969A4" w:rsidRPr="005969A4" w:rsidRDefault="005969A4">
      <w:pPr>
        <w:pStyle w:val="Rubrik1"/>
        <w:shd w:val="clear" w:color="000000" w:fill="auto"/>
      </w:pPr>
      <w:bookmarkStart w:id="2" w:name="_Toc281815719"/>
      <w:r w:rsidRPr="005969A4">
        <w:t>Normpolitiken</w:t>
      </w:r>
      <w:bookmarkEnd w:id="2"/>
    </w:p>
    <w:p w:rsidR="005969A4" w:rsidRPr="005969A4" w:rsidRDefault="005969A4">
      <w:pPr>
        <w:shd w:val="clear" w:color="000000" w:fill="auto"/>
      </w:pPr>
      <w:r w:rsidRPr="005969A4">
        <w:t xml:space="preserve">Beskrivningen ovan av tillkomsten av den nuvarande budgetlagen kan ge intrycket av att det mest handlar om budgettekniska frågor utan väsentligt politiskt innehåll. Sanningen är snarare den motsatta. Budgetlagen måste ses i ett politiskt sammanhang för att bli begriplig. Delar av budgetlagen, såsom systemet med utgiftstaken och överskottsmålet, är fundamentala inslag i det finanspolitiska ramverket. Detsamma gäller riksdagsordningens bestämmelser om den s.k. rambeslutsmodellen. Andra centrala inslag i det </w:t>
      </w:r>
      <w:r w:rsidRPr="005969A4">
        <w:t>finans- och pe</w:t>
      </w:r>
      <w:r w:rsidRPr="005969A4">
        <w:t>n</w:t>
      </w:r>
      <w:r w:rsidRPr="005969A4">
        <w:t>ningpolitiska ramverket är kommunernas balanskrav som regleras i komm</w:t>
      </w:r>
      <w:r w:rsidRPr="005969A4">
        <w:t>u</w:t>
      </w:r>
      <w:r w:rsidRPr="005969A4">
        <w:t>nallagen samt Riksbankens s.k. oberoende ställning och dess ensidiga infl</w:t>
      </w:r>
      <w:r w:rsidRPr="005969A4">
        <w:t>a</w:t>
      </w:r>
      <w:r w:rsidRPr="005969A4">
        <w:t>tionsmål som regleras i riksbankslagen. Till detta kan läggas regeringens finanspolitiska råd som består av förment objektiva experter – men som sn</w:t>
      </w:r>
      <w:r w:rsidRPr="005969A4">
        <w:t>a</w:t>
      </w:r>
      <w:r w:rsidRPr="005969A4">
        <w:t>rast har en kraftig marknadsliberal slagsida – som i praktiken fungerar som ett slags vetenskaplig överdomare i den ekonomiskpolitiska debatten.</w:t>
      </w:r>
    </w:p>
    <w:p w:rsidR="005969A4" w:rsidRPr="005969A4" w:rsidRDefault="005969A4">
      <w:pPr>
        <w:pStyle w:val="Normaltindrag"/>
        <w:shd w:val="clear" w:color="000000" w:fill="auto"/>
      </w:pPr>
      <w:r w:rsidRPr="005969A4">
        <w:t>Det finans- och penningpolitiska ramverket avser att begräns</w:t>
      </w:r>
      <w:r w:rsidRPr="005969A4">
        <w:t>a regeringens och riksdagens handlingsfrihet i ekonomiska frågor. Syftet är att riktlinjerna för den ekonomiska politiken ska baseras på dessa ramverk, eller normer som de också kallas. Normpolitikens inträde i de västerländska ekonomierna tog fart under 1980-talet. Denna politik kan i mångt och mycket ses som en rea</w:t>
      </w:r>
      <w:r w:rsidRPr="005969A4">
        <w:t>k</w:t>
      </w:r>
      <w:r w:rsidRPr="005969A4">
        <w:t>tion på den keynesianska ekonomiska politiken som alltsedan 1930-talets djupa ekonomiska kris präglat politiken i de flesta utvecklade ekonomier. Vi i Vänsterpartiet har i våra budgetmotioner i</w:t>
      </w:r>
      <w:r w:rsidRPr="005969A4">
        <w:t>ngående beskrivit och analyserat de brister vi ser i de olika ramverken. Den analysen ska inte i alla dess delar upprepas här, men det kan finnas skäl att i detta sammanhang kortfattat b</w:t>
      </w:r>
      <w:r w:rsidRPr="005969A4">
        <w:t>e</w:t>
      </w:r>
      <w:r w:rsidRPr="005969A4">
        <w:t>skriva och skärskåda bevekelsegrunderna till det paradigmskifte som kraftigt undergrävt de folkvaldas inflytande över den ekonomiska politiken.</w:t>
      </w:r>
    </w:p>
    <w:p w:rsidR="005969A4" w:rsidRPr="005969A4" w:rsidRDefault="005969A4">
      <w:pPr>
        <w:pStyle w:val="Normaltindrag"/>
        <w:shd w:val="clear" w:color="000000" w:fill="auto"/>
      </w:pPr>
      <w:r w:rsidRPr="005969A4">
        <w:t>Det finns framför allt två officiella och ett outtalat motiv till normpolit</w:t>
      </w:r>
      <w:r w:rsidRPr="005969A4">
        <w:t>i</w:t>
      </w:r>
      <w:r w:rsidRPr="005969A4">
        <w:t>ken. Det sistnämnda mer outtalade motivet är att genom olika budgetrestri</w:t>
      </w:r>
      <w:r w:rsidRPr="005969A4">
        <w:t>k</w:t>
      </w:r>
      <w:r w:rsidRPr="005969A4">
        <w:t>tioner minska storleken på den offentliga sektorn och i förlängningen öka den privata konsumtionen. Denna ambition förefaller ha haft avsedd effekt. I Sverige, vars politik sedan början av 1990-talet hör till de mest normstyrda, har den offentliga konsumtionen i fasta priser ökat med 21 % mellan 1990 och 2010, vilket ska jämföras med att den privata konsumtionen i fasta priser har ökat med 42 % under samma tidsperiod. Den samlade eff</w:t>
      </w:r>
      <w:r w:rsidRPr="005969A4">
        <w:t>ekten av den normstyrda politiken är att offentliga välfärdsambitioner har hållits tillbaka, samtidigt som stora skattesänkningar har genomförts, vilket resulterat i att den offentliga sektorn som andel av BNP trendmässigt minskat under nämnda tidsperiod.</w:t>
      </w:r>
    </w:p>
    <w:p w:rsidR="005969A4" w:rsidRPr="005969A4" w:rsidRDefault="005969A4">
      <w:pPr>
        <w:pStyle w:val="Normaltindrag"/>
        <w:shd w:val="clear" w:color="000000" w:fill="auto"/>
      </w:pPr>
      <w:r w:rsidRPr="005969A4">
        <w:t>Ett av de klart uttalade argumenten för övergången till en mer normbaserad ekonomisk politik baseras på uppfattningen att finans- och penningpolitiken på lång sikt inte kan påverka vare sig den långsiktiga sysselsättnings- eller arbetslöshetsnivån. Denna t</w:t>
      </w:r>
      <w:r w:rsidRPr="005969A4">
        <w:t>eori var på det internationella planet populär fra</w:t>
      </w:r>
      <w:r w:rsidRPr="005969A4">
        <w:t>m</w:t>
      </w:r>
      <w:r w:rsidRPr="005969A4">
        <w:t>för allt under 1970-talet i oljeprischockernas efterdyningar samt under 1980-talets nyliberala våg, men förfäktas numera främst av svenska borgerliga ekonomer och debattörer. Det är lätt att konstatera att teorin är felaktig. Ek</w:t>
      </w:r>
      <w:r w:rsidRPr="005969A4">
        <w:t>o</w:t>
      </w:r>
      <w:r w:rsidRPr="005969A4">
        <w:t>nomier drabbas regelbundet av mindre eller större störningar och konjunktu</w:t>
      </w:r>
      <w:r w:rsidRPr="005969A4">
        <w:t>r</w:t>
      </w:r>
      <w:r w:rsidRPr="005969A4">
        <w:t>variationer. Vid en djup lågkonjunktur med kraftigt produktionsbortfall ökar arbetslösheten i allmänhet snabbt. En expansiv finans- och penningpolitik som st</w:t>
      </w:r>
      <w:r w:rsidRPr="005969A4">
        <w:t>imulerar ekonomin kan i ett sådant skede leda till att färre personer slås ut från arbetsmarknaden och därmed att fler personer kommer att ha ett arbete på längre sikt. En expansiv finans- och penningpolitik kan alltså bidra till varaktigt högre sysselsättning och BNP och följaktligen till starkare offentliga finanser på sikt.</w:t>
      </w:r>
    </w:p>
    <w:p w:rsidR="005969A4" w:rsidRPr="005969A4" w:rsidRDefault="005969A4">
      <w:pPr>
        <w:pStyle w:val="Normaltindrag"/>
        <w:shd w:val="clear" w:color="000000" w:fill="auto"/>
      </w:pPr>
      <w:r w:rsidRPr="005969A4">
        <w:t>Det vanligaste argumentet för strikta finanspolitiska ramverk är att det finns ett ”deficit bias” i moderna politiska system. Argumentet baseras fra</w:t>
      </w:r>
      <w:r w:rsidRPr="005969A4">
        <w:t>m</w:t>
      </w:r>
      <w:r w:rsidRPr="005969A4">
        <w:t>för allt på tesen att politiker i dagens moderna politiska system i allmänhet tenderar att värdera kortsiktiga intressen tyngre än långsiktiga hänsynstaga</w:t>
      </w:r>
      <w:r w:rsidRPr="005969A4">
        <w:t>n</w:t>
      </w:r>
      <w:r w:rsidRPr="005969A4">
        <w:t>den, vilket antas leda till svag budgetdisciplin och därmed för stora offentliga underskott. Det kan naturligtvis ligga en del i att kortsiktiga intressen ibland kan väga tyngre bland politiska beslutsfattare än långsiktiga hänsynstaganden. Detta kan leda till för svag finanspolitik. I sammanhanget är det dock värt att framhålla att få av den senaste tid</w:t>
      </w:r>
      <w:r w:rsidRPr="005969A4">
        <w:t>ens ekonomiska kriser har haft svaga offen</w:t>
      </w:r>
      <w:r w:rsidRPr="005969A4">
        <w:t>t</w:t>
      </w:r>
      <w:r w:rsidRPr="005969A4">
        <w:t xml:space="preserve">liga finanser som huvudsaklig </w:t>
      </w:r>
      <w:r w:rsidRPr="005969A4">
        <w:rPr>
          <w:i/>
        </w:rPr>
        <w:t xml:space="preserve">orsak </w:t>
      </w:r>
      <w:r w:rsidRPr="005969A4">
        <w:t>till de uppkomna kriserna.</w:t>
      </w:r>
      <w:r w:rsidRPr="005969A4">
        <w:rPr>
          <w:rStyle w:val="Fotnotsreferens"/>
        </w:rPr>
        <w:footnoteReference w:id="2"/>
      </w:r>
      <w:r w:rsidRPr="005969A4">
        <w:t xml:space="preserve"> Samtliga kriser har resulterat i problem med de offentliga finanserna, men dessa pr</w:t>
      </w:r>
      <w:r w:rsidRPr="005969A4">
        <w:t>o</w:t>
      </w:r>
      <w:r w:rsidRPr="005969A4">
        <w:t xml:space="preserve">blem är en </w:t>
      </w:r>
      <w:r w:rsidRPr="005969A4">
        <w:rPr>
          <w:i/>
        </w:rPr>
        <w:t xml:space="preserve">följd </w:t>
      </w:r>
      <w:r w:rsidRPr="005969A4">
        <w:t>av de ekonomiska kriserna, inte deras orsak.</w:t>
      </w:r>
    </w:p>
    <w:p w:rsidR="005969A4" w:rsidRPr="005969A4" w:rsidRDefault="005969A4">
      <w:pPr>
        <w:pStyle w:val="Normaltindrag"/>
        <w:shd w:val="clear" w:color="000000" w:fill="auto"/>
      </w:pPr>
      <w:r w:rsidRPr="005969A4">
        <w:t>Samtidigt är det så att länder med starka offentliga finanser, i synnerhet små exportberoende länder som Sverige, står sig starkare när väl en ekon</w:t>
      </w:r>
      <w:r w:rsidRPr="005969A4">
        <w:t>o</w:t>
      </w:r>
      <w:r w:rsidRPr="005969A4">
        <w:t>misk kris inträffar. Det finns således goda skäl för finanspolitiska ramverk som främjar budgetdisciplin och starka offentliga finanser. De relevanta fr</w:t>
      </w:r>
      <w:r w:rsidRPr="005969A4">
        <w:t>å</w:t>
      </w:r>
      <w:r w:rsidRPr="005969A4">
        <w:t>gorna är snarast hur dessa ska utformas och huruvida de, och i så fall vilka, ska lagstiftas i en särskild budgetlag, samt att de står i proportion till de i</w:t>
      </w:r>
      <w:r w:rsidRPr="005969A4">
        <w:t>n</w:t>
      </w:r>
      <w:r w:rsidRPr="005969A4">
        <w:t>skränkningar av de folkvaldas handlingsfrihet som dessa de facto utgör. Detta konstaterande för oss in på nästa avsnitt där vi på ett övergripande plan red</w:t>
      </w:r>
      <w:r w:rsidRPr="005969A4">
        <w:t>o</w:t>
      </w:r>
      <w:r w:rsidRPr="005969A4">
        <w:t>gör för de principer vi anser bör vägleda ut</w:t>
      </w:r>
      <w:r w:rsidRPr="005969A4">
        <w:t>formandet av en budgetlag.</w:t>
      </w:r>
    </w:p>
    <w:p w:rsidR="005969A4" w:rsidRPr="005969A4" w:rsidRDefault="005969A4">
      <w:pPr>
        <w:pStyle w:val="Rubrik1"/>
        <w:shd w:val="clear" w:color="000000" w:fill="auto"/>
      </w:pPr>
      <w:bookmarkStart w:id="3" w:name="_Toc281815720"/>
      <w:r w:rsidRPr="005969A4">
        <w:t>Principiella överväganden</w:t>
      </w:r>
      <w:bookmarkEnd w:id="3"/>
    </w:p>
    <w:p w:rsidR="005969A4" w:rsidRPr="005969A4" w:rsidRDefault="005969A4">
      <w:pPr>
        <w:shd w:val="clear" w:color="000000" w:fill="auto"/>
      </w:pPr>
      <w:r w:rsidRPr="005969A4">
        <w:t>Som redan konstaterats ovan innehåller 9 kap. regeringsformen grundlägga</w:t>
      </w:r>
      <w:r w:rsidRPr="005969A4">
        <w:t>n</w:t>
      </w:r>
      <w:r w:rsidRPr="005969A4">
        <w:t>de bestämmelser om statens budget samt om riksdagens och regeringens b</w:t>
      </w:r>
      <w:r w:rsidRPr="005969A4">
        <w:t>e</w:t>
      </w:r>
      <w:r w:rsidRPr="005969A4">
        <w:t>fogenheter på finansmaktens område. I riksdagsordningen finns därtill bl.a. bestämmelser om vad som ska ingå i budgetpropositionen samt bestämmelser om den s.k. rambeslutsmodellen. Vänsterpartiet anser att det finns behov av en lagstiftning i form av en budgetlag som kompletterar regeringsformens övergripande bestämmelser och tydliggör och preciserar regeringens bef</w:t>
      </w:r>
      <w:r w:rsidRPr="005969A4">
        <w:t>o</w:t>
      </w:r>
      <w:r w:rsidRPr="005969A4">
        <w:t>genheter på finansmaktens område.</w:t>
      </w:r>
    </w:p>
    <w:p w:rsidR="005969A4" w:rsidRPr="005969A4" w:rsidRDefault="005969A4">
      <w:pPr>
        <w:pStyle w:val="Normaltindrag"/>
        <w:shd w:val="clear" w:color="000000" w:fill="auto"/>
      </w:pPr>
      <w:r w:rsidRPr="005969A4">
        <w:t xml:space="preserve">Det är emellertid viktigt att skilja </w:t>
      </w:r>
      <w:r w:rsidRPr="005969A4">
        <w:t>mellan å ena sidan finanspolitiska ra</w:t>
      </w:r>
      <w:r w:rsidRPr="005969A4">
        <w:t>m</w:t>
      </w:r>
      <w:r w:rsidRPr="005969A4">
        <w:t>verk och ekonomiska riktlinjer och å andra sidan vad som ska vara lagreglerat i en budgetlag. Alla regeringar har goda skäl att etablera finanspolitiska ra</w:t>
      </w:r>
      <w:r w:rsidRPr="005969A4">
        <w:t>m</w:t>
      </w:r>
      <w:r w:rsidRPr="005969A4">
        <w:t>verk som styrmedel i budgetprocessen, men alla delar i ett finanspolitiskt ramverk behöver dock, och bör, inte lagregleras. Budgetlagen bör utgöra en avvägning mellan å ena sidan tydlighet och fasthet och å andra sidan flexibil</w:t>
      </w:r>
      <w:r w:rsidRPr="005969A4">
        <w:t>i</w:t>
      </w:r>
      <w:r w:rsidRPr="005969A4">
        <w:t>tet och handlingsfrihet. Den sistnämnda aspekten är viktig inte minst utifrån demokratiska</w:t>
      </w:r>
      <w:r w:rsidRPr="005969A4">
        <w:t xml:space="preserve"> överväganden, eftersom det inte är rimligt att varje ny regering med skiftande politisk färg ska tvingas att revidera budgetlagen för att kunna få riksdagens godkännande för sin politik och riktlinjerna för den ekonomiska politiken.</w:t>
      </w:r>
    </w:p>
    <w:p w:rsidR="005969A4" w:rsidRPr="005969A4" w:rsidRDefault="005969A4">
      <w:pPr>
        <w:pStyle w:val="Normaltindrag"/>
        <w:shd w:val="clear" w:color="000000" w:fill="auto"/>
      </w:pPr>
      <w:r w:rsidRPr="005969A4">
        <w:t>Vänsterpartiets principiella syn är därför att man bör visa stor försiktighet med vad som regleras i budgetlagen. Huvudprincipen bör vara att regeringen i samband med budgetpropositionen och den ekonomiska vårpropositionen lägger fram sitt förslag till finanspolitiskt ramverk o</w:t>
      </w:r>
      <w:r w:rsidRPr="005969A4">
        <w:t>ch riktlinjerna för den ekonomiska politiken och begär stöd för denna genom riksdagsbeslut snarare än att dessa ska regleras i en budgetlag.</w:t>
      </w:r>
    </w:p>
    <w:p w:rsidR="005969A4" w:rsidRPr="005969A4" w:rsidRDefault="005969A4">
      <w:pPr>
        <w:pStyle w:val="Rubrik1"/>
        <w:shd w:val="clear" w:color="000000" w:fill="auto"/>
      </w:pPr>
      <w:bookmarkStart w:id="4" w:name="_Toc281815721"/>
      <w:r w:rsidRPr="005969A4">
        <w:t>Utgiftstaken</w:t>
      </w:r>
      <w:bookmarkEnd w:id="4"/>
    </w:p>
    <w:p w:rsidR="005969A4" w:rsidRPr="005969A4" w:rsidRDefault="005969A4">
      <w:pPr>
        <w:shd w:val="clear" w:color="000000" w:fill="auto"/>
      </w:pPr>
      <w:r w:rsidRPr="005969A4">
        <w:t>Systemet med utgiftstak har länge varit en del av det finanspolitiska ramve</w:t>
      </w:r>
      <w:r w:rsidRPr="005969A4">
        <w:t>r</w:t>
      </w:r>
      <w:r w:rsidRPr="005969A4">
        <w:t>ket. Det kan finnas goda skäl för en regering att använda sig av utgiftstak i budgetpolitiken eftersom varje regering är i behov av olika former av styrm</w:t>
      </w:r>
      <w:r w:rsidRPr="005969A4">
        <w:t>e</w:t>
      </w:r>
      <w:r w:rsidRPr="005969A4">
        <w:t>del och restriktioner under budgetprocessen. Det finns emellertid ett antal brister med dagens system.</w:t>
      </w:r>
    </w:p>
    <w:p w:rsidR="005969A4" w:rsidRPr="005969A4" w:rsidRDefault="005969A4">
      <w:pPr>
        <w:pStyle w:val="Normaltindrag"/>
        <w:shd w:val="clear" w:color="000000" w:fill="auto"/>
      </w:pPr>
      <w:r w:rsidRPr="005969A4">
        <w:t>Utgiftstaken sätter en övre gräns för de statliga utgifterna tre år framåt. Något motsvarande golv för statens inkomster finns inte. Systemet har dä</w:t>
      </w:r>
      <w:r w:rsidRPr="005969A4">
        <w:t>r</w:t>
      </w:r>
      <w:r w:rsidRPr="005969A4">
        <w:t>med en tydlig ideologisk slagsida eftersom statsbudgeten utifrån ett givet reformutrymme innehåller en explicit restriktion på statsbudgetens utgiftssida utan någon motsvarighet på dess inkomstsida.</w:t>
      </w:r>
    </w:p>
    <w:p w:rsidR="005969A4" w:rsidRPr="005969A4" w:rsidRDefault="005969A4">
      <w:pPr>
        <w:pStyle w:val="Normaltindrag"/>
        <w:shd w:val="clear" w:color="000000" w:fill="auto"/>
      </w:pPr>
      <w:r w:rsidRPr="005969A4">
        <w:t>En annan svaghet med de treåriga utgiftstaken har sin grund i svårighete</w:t>
      </w:r>
      <w:r w:rsidRPr="005969A4">
        <w:t>r</w:t>
      </w:r>
      <w:r w:rsidRPr="005969A4">
        <w:t>na att prognostisera statens utgifter. En stor del av statens utgifter är konjun</w:t>
      </w:r>
      <w:r w:rsidRPr="005969A4">
        <w:t>k</w:t>
      </w:r>
      <w:r w:rsidRPr="005969A4">
        <w:t>turkänsliga och påverkas i hög grad av pris- och löneutvecklingen. När ek</w:t>
      </w:r>
      <w:r w:rsidRPr="005969A4">
        <w:t>o</w:t>
      </w:r>
      <w:r w:rsidRPr="005969A4">
        <w:t>nomin går in i en kraftig lågkonjunktur ökar utgifterna för bl.a. arbetslöshet</w:t>
      </w:r>
      <w:r w:rsidRPr="005969A4">
        <w:t>s</w:t>
      </w:r>
      <w:r w:rsidRPr="005969A4">
        <w:t>ersättningen. Det kan då uppkomma situationer som innebär att utgiftstaken blir hotade och att man därmed saknar förmågan att motverka lågkonjunkt</w:t>
      </w:r>
      <w:r w:rsidRPr="005969A4">
        <w:t>u</w:t>
      </w:r>
      <w:r w:rsidRPr="005969A4">
        <w:t>ren med en aktiv arbetsmarknadspolitik. Därför är det oklokt att sätta ett tak för statsbudgetens utgifter tre år i förväg och syn</w:t>
      </w:r>
      <w:r w:rsidRPr="005969A4">
        <w:t>nerligen olämpligt att detta ramverk återfinns som ett tvång för regeringen i form av en reglering i bu</w:t>
      </w:r>
      <w:r w:rsidRPr="005969A4">
        <w:t>d</w:t>
      </w:r>
      <w:r w:rsidRPr="005969A4">
        <w:t>getlagen.</w:t>
      </w:r>
      <w:r w:rsidRPr="005969A4">
        <w:rPr>
          <w:rStyle w:val="Fotnotsreferens"/>
        </w:rPr>
        <w:footnoteReference w:id="3"/>
      </w:r>
      <w:r w:rsidRPr="005969A4">
        <w:t xml:space="preserve"> Vänsterpartiet yrkar därför att riksdagen avslår regeringens förslag till 2 kap. 2 § budgetlagen och därmed även att riksdagen avslår regeringens förslag till 2 kap. 4 § budgetlagen.</w:t>
      </w:r>
    </w:p>
    <w:p w:rsidR="005969A4" w:rsidRPr="005969A4" w:rsidRDefault="005969A4">
      <w:pPr>
        <w:pStyle w:val="Rubrik1"/>
        <w:shd w:val="clear" w:color="000000" w:fill="auto"/>
      </w:pPr>
      <w:bookmarkStart w:id="5" w:name="_Toc281815722"/>
      <w:r w:rsidRPr="005969A4">
        <w:t>Överskottsmålet</w:t>
      </w:r>
      <w:bookmarkEnd w:id="5"/>
    </w:p>
    <w:p w:rsidR="005969A4" w:rsidRPr="005969A4" w:rsidRDefault="005969A4">
      <w:pPr>
        <w:shd w:val="clear" w:color="000000" w:fill="auto"/>
      </w:pPr>
      <w:r w:rsidRPr="005969A4">
        <w:t>Som nämndes i bakgrundsavsnittet föreslog regeringen i 2010 års ekonomiska vårproposition en bestämmelse om att regeringen till riksdagen ska lämna förslag till mål för den offentliga sektorns finansiella sparande. Trots att n</w:t>
      </w:r>
      <w:r w:rsidRPr="005969A4">
        <w:t>å</w:t>
      </w:r>
      <w:r w:rsidRPr="005969A4">
        <w:t>gon nivå för målet inte angavs benämnde regeringen målet överskottsmålet. Regeringen föreslog också att om riksdagen beslutat om ett mål för den o</w:t>
      </w:r>
      <w:r w:rsidRPr="005969A4">
        <w:t>f</w:t>
      </w:r>
      <w:r w:rsidRPr="005969A4">
        <w:t xml:space="preserve">fentliga sektorns finansiella sparande ska regeringen vid minst två tillfällen under budgetåret redovisa för riksdagen hur målet uppnås. Riksdagen biföll regeringens förslag och genom </w:t>
      </w:r>
      <w:r w:rsidRPr="005969A4">
        <w:rPr>
          <w:i/>
        </w:rPr>
        <w:t xml:space="preserve">lagen </w:t>
      </w:r>
      <w:r w:rsidRPr="005969A4">
        <w:t>(2010:716) infördes bestämmelserna i budgetlagen.</w:t>
      </w:r>
    </w:p>
    <w:p w:rsidR="005969A4" w:rsidRPr="005969A4" w:rsidRDefault="005969A4">
      <w:pPr>
        <w:pStyle w:val="Normaltindrag"/>
        <w:shd w:val="clear" w:color="000000" w:fill="auto"/>
      </w:pPr>
      <w:r w:rsidRPr="005969A4">
        <w:t>Överskottsmålet är, och har varit, en central del av det finanspolitiska ra</w:t>
      </w:r>
      <w:r w:rsidRPr="005969A4">
        <w:t>m</w:t>
      </w:r>
      <w:r w:rsidRPr="005969A4">
        <w:t>verket och innebär att den offentliga sektorns finansiella sparande ska uppgå till 1 % i genomsnitt över en konjunkturcykel.</w:t>
      </w:r>
      <w:r w:rsidRPr="005969A4">
        <w:rPr>
          <w:rStyle w:val="Fotnotsreferens"/>
        </w:rPr>
        <w:footnoteReference w:id="4"/>
      </w:r>
      <w:r w:rsidRPr="005969A4">
        <w:t xml:space="preserve"> Vänsterpartiet stödde initialt överskottsmålet eftersom vi menade att det var angeläget att få ned de offen</w:t>
      </w:r>
      <w:r w:rsidRPr="005969A4">
        <w:t>t</w:t>
      </w:r>
      <w:r w:rsidRPr="005969A4">
        <w:t>liga skuldkvoterna till rimliga nivåer efter den skulduppbyggnad som skedde i samband med 1990-talskrisen. Detta mål är för länge sedan uppnått.</w:t>
      </w:r>
    </w:p>
    <w:p w:rsidR="005969A4" w:rsidRPr="005969A4" w:rsidRDefault="005969A4">
      <w:pPr>
        <w:pStyle w:val="Normaltindrag"/>
        <w:shd w:val="clear" w:color="000000" w:fill="auto"/>
      </w:pPr>
      <w:r w:rsidRPr="005969A4">
        <w:t>När överskottsmålet infördes angavs, vid sidan av ambitionen att snabbt få ned de offentliga skuldkvoterna, den förväntande framtida demografiska utvecklingen som huvudmotiv. Analyserna grundades till stor del på Finan</w:t>
      </w:r>
      <w:r w:rsidRPr="005969A4">
        <w:t>s</w:t>
      </w:r>
      <w:r w:rsidRPr="005969A4">
        <w:t>departementets långsiktskalkyler. Basalternativen i Finansdepartementets långsiktskalkyler baserades (och baseras) på konstanta skattesatser och ofö</w:t>
      </w:r>
      <w:r w:rsidRPr="005969A4">
        <w:t>r</w:t>
      </w:r>
      <w:r w:rsidRPr="005969A4">
        <w:t>ändrade välfärdsambitioner. När dessa kalkyler gjordes i början av 2000-talet resulterade de i överskott i de offentliga finanserna under den närmaste tjug</w:t>
      </w:r>
      <w:r w:rsidRPr="005969A4">
        <w:t>o</w:t>
      </w:r>
      <w:r w:rsidRPr="005969A4">
        <w:t>årsperioden</w:t>
      </w:r>
      <w:r w:rsidRPr="005969A4">
        <w:rPr>
          <w:rStyle w:val="Fotnotsreferens"/>
        </w:rPr>
        <w:footnoteReference w:id="5"/>
      </w:r>
      <w:r w:rsidRPr="005969A4">
        <w:t xml:space="preserve"> för att sedan förbytas i underskott i takt med att de demografiskt betingade utgifterna började stiga. Tankeramen bakom överskottsmålet var att vi behövde överskott ”nu” för att kunna ha underskott ”sedan”. På så sätt skulle också välfärdsambitionerna kunna vara konstanta över tiden.</w:t>
      </w:r>
    </w:p>
    <w:p w:rsidR="005969A4" w:rsidRPr="005969A4" w:rsidRDefault="005969A4">
      <w:pPr>
        <w:pStyle w:val="Normaltindrag"/>
        <w:shd w:val="clear" w:color="000000" w:fill="auto"/>
      </w:pPr>
      <w:r w:rsidRPr="005969A4">
        <w:rPr>
          <w:szCs w:val="24"/>
        </w:rPr>
        <w:t>Det fanns (och finns) flera invändningar mot detta resonemang. För det första förefaller det oklokt att vi i dag ska utforma vår ekonomiska politik på basis av hur vi tror att kommande, och förmodligen skiftande, parlamentari</w:t>
      </w:r>
      <w:r w:rsidRPr="005969A4">
        <w:rPr>
          <w:szCs w:val="24"/>
        </w:rPr>
        <w:t>s</w:t>
      </w:r>
      <w:r w:rsidRPr="005969A4">
        <w:rPr>
          <w:szCs w:val="24"/>
        </w:rPr>
        <w:t>ka majoriteter kommer att agera om 30–40 år. Tankeramen bakom överskottsmålet föreföll alltså bygga på något diffust, outtalat, ”politikerko</w:t>
      </w:r>
      <w:r w:rsidRPr="005969A4">
        <w:rPr>
          <w:szCs w:val="24"/>
        </w:rPr>
        <w:t>n</w:t>
      </w:r>
      <w:r w:rsidRPr="005969A4">
        <w:rPr>
          <w:szCs w:val="24"/>
        </w:rPr>
        <w:t>trakt” där dagens politiker levererar överskott i de offentliga finanserna i förhoppning att kommande parlamentariska majoriteter om 30–40 år kontin</w:t>
      </w:r>
      <w:r w:rsidRPr="005969A4">
        <w:rPr>
          <w:szCs w:val="24"/>
        </w:rPr>
        <w:t>u</w:t>
      </w:r>
      <w:r w:rsidRPr="005969A4">
        <w:rPr>
          <w:szCs w:val="24"/>
        </w:rPr>
        <w:t>erligt ska underbalansera de offentliga finanserna. Därtill är resonemanget minst sagt problematiskt ur demokratisk synvinkel. Vilka välfärdsambitioner ett samhälle ska ha, och därmed vilka skatter som bör tas ut, är ju i</w:t>
      </w:r>
      <w:r w:rsidRPr="005969A4">
        <w:rPr>
          <w:szCs w:val="24"/>
        </w:rPr>
        <w:t xml:space="preserve"> allra hög</w:t>
      </w:r>
      <w:r w:rsidRPr="005969A4">
        <w:rPr>
          <w:szCs w:val="24"/>
        </w:rPr>
        <w:t>s</w:t>
      </w:r>
      <w:r w:rsidRPr="005969A4">
        <w:rPr>
          <w:szCs w:val="24"/>
        </w:rPr>
        <w:t>ta grad politiska frågor där det råder skilda åsikter.</w:t>
      </w:r>
    </w:p>
    <w:p w:rsidR="005969A4" w:rsidRPr="005969A4" w:rsidRDefault="005969A4">
      <w:pPr>
        <w:pStyle w:val="Normaltindrag"/>
        <w:shd w:val="clear" w:color="000000" w:fill="auto"/>
      </w:pPr>
      <w:r w:rsidRPr="005969A4">
        <w:t>Numera visar emellertid Finansdepartementets långsiktskalkyler utifrån samma antaganden om konstanta skattesatser och oförändrade välfärdsamb</w:t>
      </w:r>
      <w:r w:rsidRPr="005969A4">
        <w:t>i</w:t>
      </w:r>
      <w:r w:rsidRPr="005969A4">
        <w:t>tioner att den offentliga sektorns finansiella sparande går med löpande öve</w:t>
      </w:r>
      <w:r w:rsidRPr="005969A4">
        <w:t>r</w:t>
      </w:r>
      <w:r w:rsidRPr="005969A4">
        <w:t>skott under hela kalkylens tidshorisont (som sträcker sig fram till 2099). Vid kalkylens slutår uppgår överskottet till hela 5 % av BNP.</w:t>
      </w:r>
      <w:r w:rsidRPr="005969A4">
        <w:rPr>
          <w:rStyle w:val="Fotnotsreferens"/>
        </w:rPr>
        <w:footnoteReference w:id="6"/>
      </w:r>
      <w:r w:rsidRPr="005969A4">
        <w:t xml:space="preserve"> Därmed faller hela motivet att vi måste ha överskott nu för att kunna ha underskott sedan.</w:t>
      </w:r>
    </w:p>
    <w:p w:rsidR="005969A4" w:rsidRPr="005969A4" w:rsidRDefault="005969A4">
      <w:pPr>
        <w:pStyle w:val="Normaltindrag"/>
        <w:shd w:val="clear" w:color="000000" w:fill="auto"/>
        <w:rPr>
          <w:szCs w:val="24"/>
        </w:rPr>
      </w:pPr>
      <w:r w:rsidRPr="005969A4">
        <w:rPr>
          <w:szCs w:val="24"/>
        </w:rPr>
        <w:t xml:space="preserve">Ett annat skäl som angavs, och som fortfarande anges, </w:t>
      </w:r>
      <w:r w:rsidRPr="005969A4">
        <w:t>är att dagens gen</w:t>
      </w:r>
      <w:r w:rsidRPr="005969A4">
        <w:t>e</w:t>
      </w:r>
      <w:r w:rsidRPr="005969A4">
        <w:t>rationer måste spara för att kommande generationer ska kunna få god offen</w:t>
      </w:r>
      <w:r w:rsidRPr="005969A4">
        <w:t>t</w:t>
      </w:r>
      <w:r w:rsidRPr="005969A4">
        <w:t>lig service.</w:t>
      </w:r>
      <w:r w:rsidRPr="005969A4">
        <w:rPr>
          <w:rStyle w:val="Fotnotsreferens"/>
        </w:rPr>
        <w:footnoteReference w:id="7"/>
      </w:r>
      <w:r w:rsidRPr="005969A4">
        <w:t xml:space="preserve"> Vi menar emellertid att detta resonemang i grunden vilar på en felaktig bild av samhällsutvecklingen. Kommande generationer kommer inte att vara fattigare än dagens generationer, tvärtom. Finansdepartementets olika långsiktskalkyler visar att BNP per capita kommer att öka med över 100 % under de närmaste 50 åren. Mot den bakgrunden är det svårt att förstå varför dagens generationer måste spara för att morgondagens generationer ska ha råd med vård, skola och omsorg.</w:t>
      </w:r>
    </w:p>
    <w:p w:rsidR="005969A4" w:rsidRPr="005969A4" w:rsidRDefault="005969A4">
      <w:pPr>
        <w:pStyle w:val="Normaltindrag"/>
        <w:shd w:val="clear" w:color="000000" w:fill="auto"/>
      </w:pPr>
      <w:r w:rsidRPr="005969A4">
        <w:t>Vidare är själva idén att vi kan spara os</w:t>
      </w:r>
      <w:r w:rsidRPr="005969A4">
        <w:t>s till ökade framtida möjligheter till god offentlig service i grunden feltänkt. Överskottsmålet innebär de facto att vi för en form av kontinuerlig åtstramningspolitik, vilket leder till lägre sy</w:t>
      </w:r>
      <w:r w:rsidRPr="005969A4">
        <w:t>s</w:t>
      </w:r>
      <w:r w:rsidRPr="005969A4">
        <w:t>selsättning och produktion. Och produktionsbortfall i dag betalas inte tillbaka i morgon med ränta.</w:t>
      </w:r>
    </w:p>
    <w:p w:rsidR="005969A4" w:rsidRPr="005969A4" w:rsidRDefault="005969A4">
      <w:pPr>
        <w:pStyle w:val="Normaltindrag"/>
        <w:shd w:val="clear" w:color="000000" w:fill="auto"/>
      </w:pPr>
      <w:r w:rsidRPr="005969A4">
        <w:t>I Vänsterpartiets senaste egna budgetmotion (på regeringens budgetprop</w:t>
      </w:r>
      <w:r w:rsidRPr="005969A4">
        <w:t>o</w:t>
      </w:r>
      <w:r w:rsidRPr="005969A4">
        <w:t>sition för 2010) angav vi ett medelfristigt mål för de offentliga finanserna. Vi definierade detta mål som att den offentliga sektorns finansiella sparande ska vara i balans över en konjunkturcykel.</w:t>
      </w:r>
      <w:r w:rsidRPr="005969A4">
        <w:rPr>
          <w:rStyle w:val="Fotnotsreferens"/>
        </w:rPr>
        <w:footnoteReference w:id="8"/>
      </w:r>
      <w:r w:rsidRPr="005969A4">
        <w:t xml:space="preserve"> Vi anser med andra ord att ett mål för den offentliga sektorns finansiella sparande bör ingå i det finanspolitiska ramverket. Ett saldomål för de offentliga finanserna beaktar, till skillnad mot systemet med utgiftstaken, dels hela den offentliga sektorn, dels både inkom</w:t>
      </w:r>
      <w:r w:rsidRPr="005969A4">
        <w:t>s</w:t>
      </w:r>
      <w:r w:rsidRPr="005969A4">
        <w:t>ter och utgifter. Ett mål för det finansiella sparandet fungerar därmed som ett centralt styrinstrument i budgetpolitiken och utgör ett ankare för finanspolit</w:t>
      </w:r>
      <w:r w:rsidRPr="005969A4">
        <w:t>i</w:t>
      </w:r>
      <w:r w:rsidRPr="005969A4">
        <w:t>ken i ett medelfristigt perspektiv och bidrar därmed till att stärka förtroendet</w:t>
      </w:r>
      <w:r w:rsidRPr="005969A4">
        <w:t xml:space="preserve"> för de offentliga finansernas långsiktiga hållbarhet.</w:t>
      </w:r>
      <w:r w:rsidRPr="005969A4">
        <w:rPr>
          <w:rStyle w:val="Fotnotsreferens"/>
        </w:rPr>
        <w:footnoteReference w:id="9"/>
      </w:r>
      <w:r w:rsidRPr="005969A4">
        <w:t xml:space="preserve"> Vi tillstyrker därför bu</w:t>
      </w:r>
      <w:r w:rsidRPr="005969A4">
        <w:t>d</w:t>
      </w:r>
      <w:r w:rsidRPr="005969A4">
        <w:t>getlagens bestämmelser att regeringen till riksdagen ska lämna förslag till mål för den offentliga sektorns finansiella sparande. Vi tillstyrker också att om riksdagen beslutat om ett mål för den offentliga sektorns finansiella sparande ska regeringen vid minst två tillfällen under budgetåret redovisa för riksdagen hur målet uppnås.</w:t>
      </w:r>
    </w:p>
    <w:p w:rsidR="005969A4" w:rsidRPr="005969A4" w:rsidRDefault="005969A4">
      <w:pPr>
        <w:pStyle w:val="Normaltindrag"/>
        <w:shd w:val="clear" w:color="000000" w:fill="auto"/>
      </w:pPr>
      <w:r w:rsidRPr="005969A4">
        <w:t>Av skäl som beskrivits ovan, samt att budgetlagens lagtext inte innefattar någon nivå för den offentliga sektorns finansiella sparande, avstyrker vi dä</w:t>
      </w:r>
      <w:r w:rsidRPr="005969A4">
        <w:t>r</w:t>
      </w:r>
      <w:r w:rsidRPr="005969A4">
        <w:t xml:space="preserve">emot att nämnda mål benämns överskottsmål. </w:t>
      </w:r>
      <w:r w:rsidRPr="005969A4">
        <w:rPr>
          <w:color w:val="000000"/>
          <w:szCs w:val="24"/>
        </w:rPr>
        <w:t>Mot bakgrund av det ova</w:t>
      </w:r>
      <w:r w:rsidRPr="005969A4">
        <w:rPr>
          <w:color w:val="000000"/>
          <w:szCs w:val="24"/>
        </w:rPr>
        <w:t>n</w:t>
      </w:r>
      <w:r w:rsidRPr="005969A4">
        <w:rPr>
          <w:color w:val="000000"/>
          <w:szCs w:val="24"/>
        </w:rPr>
        <w:t>nämnda bör därför förslaget till 2 kap. 1 § budgetlagen ha följande lydelse:</w:t>
      </w:r>
      <w:r w:rsidRPr="005969A4">
        <w:t xml:space="preserve"> Regeringen ska till riksdagen lämna förslag till mål för den offentliga se</w:t>
      </w:r>
      <w:r w:rsidRPr="005969A4">
        <w:t>k</w:t>
      </w:r>
      <w:r w:rsidRPr="005969A4">
        <w:t>torns finansiella sparande (saldomålet).</w:t>
      </w:r>
      <w:r w:rsidRPr="005969A4">
        <w:rPr>
          <w:rStyle w:val="Fotnotsreferens"/>
        </w:rPr>
        <w:footnoteReference w:id="10"/>
      </w:r>
    </w:p>
    <w:p w:rsidR="005969A4" w:rsidRPr="005969A4" w:rsidRDefault="005969A4">
      <w:pPr>
        <w:pStyle w:val="Rubrik1"/>
        <w:shd w:val="clear" w:color="000000" w:fill="auto"/>
      </w:pPr>
      <w:bookmarkStart w:id="6" w:name="_Toc281815723"/>
      <w:r w:rsidRPr="005969A4">
        <w:t>Infrastruktur och statligt ägande</w:t>
      </w:r>
      <w:bookmarkEnd w:id="6"/>
    </w:p>
    <w:p w:rsidR="005969A4" w:rsidRPr="005969A4" w:rsidRDefault="005969A4">
      <w:pPr>
        <w:pStyle w:val="Rubrik2"/>
        <w:shd w:val="clear" w:color="000000" w:fill="auto"/>
      </w:pPr>
      <w:bookmarkStart w:id="7" w:name="_Toc281815724"/>
      <w:r w:rsidRPr="005969A4">
        <w:t>Finansiering av infrastruktur</w:t>
      </w:r>
      <w:bookmarkEnd w:id="7"/>
    </w:p>
    <w:p w:rsidR="005969A4" w:rsidRPr="005969A4" w:rsidRDefault="005969A4">
      <w:pPr>
        <w:pStyle w:val="Normaltindrag"/>
        <w:shd w:val="clear" w:color="000000" w:fill="auto"/>
        <w:ind w:firstLine="0"/>
      </w:pPr>
      <w:r w:rsidRPr="005969A4">
        <w:t>I nuvarande budgetlag ska finansiering av investeringar i väg och järnväg ske genom att staten tar upp kostnaden för investeringen under ett utgiftsområde (22 §). Det betyder en direktavskrivning, vilket är ett ovanligt förfaringssätt jämfört med vad som är brukligt i andra sektorer som kommuner, landsting, myndigheter, organisationer eller företag.</w:t>
      </w:r>
    </w:p>
    <w:p w:rsidR="005969A4" w:rsidRPr="005969A4" w:rsidRDefault="005969A4">
      <w:pPr>
        <w:pStyle w:val="Normaltindrag"/>
        <w:shd w:val="clear" w:color="000000" w:fill="auto"/>
      </w:pPr>
      <w:r w:rsidRPr="005969A4">
        <w:t>Men nuvarande budgetlag tillåter även att riksdagen (23 §) kan besluta att finansiera infrastrukturinvesteringar genom lån i Riksgäldskontoret.</w:t>
      </w:r>
    </w:p>
    <w:p w:rsidR="005969A4" w:rsidRPr="005969A4" w:rsidRDefault="005969A4">
      <w:pPr>
        <w:pStyle w:val="Normaltindrag"/>
        <w:shd w:val="clear" w:color="000000" w:fill="auto"/>
      </w:pPr>
      <w:r w:rsidRPr="005969A4">
        <w:t>Regeringens förslag till ny budgetlag ändrar emellertid inte på principen att huvudregeln för finansiering av investeringar i väg och järnvägar är att denna ska ske genom anslagsfinansiering. Det är beklagligt att regeringen inte tar tillfället i akt och ändrar på detta omoderna och förvrängda sätt att se på en investering. Regeringen verkar inte se en väg eller järnväg som en tillgång utan behandlar långsiktiga investeringar på samma sätt som kortsiktig ko</w:t>
      </w:r>
      <w:r w:rsidRPr="005969A4">
        <w:t>n</w:t>
      </w:r>
      <w:r w:rsidRPr="005969A4">
        <w:t>sumtion.</w:t>
      </w:r>
    </w:p>
    <w:p w:rsidR="005969A4" w:rsidRPr="005969A4" w:rsidRDefault="005969A4">
      <w:pPr>
        <w:pStyle w:val="Normaltindrag"/>
        <w:shd w:val="clear" w:color="000000" w:fill="auto"/>
      </w:pPr>
      <w:r w:rsidRPr="005969A4">
        <w:t>Det finns en rad problem med synsättet att investeringar ska anslagsfina</w:t>
      </w:r>
      <w:r w:rsidRPr="005969A4">
        <w:t>n</w:t>
      </w:r>
      <w:r w:rsidRPr="005969A4">
        <w:t>sieras. För det första tas anslag inte anspråk i takt med att utgifterna uppstår. De medel som staten tilldelat i statsbudgeten gäller oberoende av om det skapas utrymme att gå vidare med ett projekt. Det finns därmed en risk för att projekt dras ut tidsmässigt och ökar totalkostnaden. För det andra är en inv</w:t>
      </w:r>
      <w:r w:rsidRPr="005969A4">
        <w:t>e</w:t>
      </w:r>
      <w:r w:rsidRPr="005969A4">
        <w:t>stering något som man kan konsumera under en längre tid. Hus, vägar, spår, fabriker, osv. är tydliga investeringar. Investeringar skiljer sig från konsu</w:t>
      </w:r>
      <w:r w:rsidRPr="005969A4">
        <w:t>m</w:t>
      </w:r>
      <w:r w:rsidRPr="005969A4">
        <w:t>tionsvaror, eftersom de sistnämnda inte kan kon</w:t>
      </w:r>
      <w:r w:rsidRPr="005969A4">
        <w:t>sumeras under en längre tid. För det tredje innebär anslagsfinansiering av vägar och järnvägar att man påför alla kostnader på dagens generation fast det är uppenbart att ett hus eller en järnvägssträcka kan användas av många generationer framöver. Vill man ha en rättvis fördelning av kostnader ska dagens generation betala för allt som konsumeras i dag, medan det som kan konsumeras under en längre tid, dvs. en investering, ska delas upp under en längre amorteringstid. För det fjärde blir dagens budgetlag en</w:t>
      </w:r>
      <w:r w:rsidRPr="005969A4">
        <w:t xml:space="preserve"> hämsko i miljö- och klimatarbetet. I en tid när vi har behov av att snabbt genomföra stora satsningar på nya spår och hållbara transporter hindras staten från att agera miljöinriktat utifrån budgetlagens skrivningar. Det krävs ett ändrat tankesätt när det gäller vad som är en inv</w:t>
      </w:r>
      <w:r w:rsidRPr="005969A4">
        <w:t>e</w:t>
      </w:r>
      <w:r w:rsidRPr="005969A4">
        <w:t>stering för framtiden.</w:t>
      </w:r>
    </w:p>
    <w:p w:rsidR="005969A4" w:rsidRPr="005969A4" w:rsidRDefault="005969A4">
      <w:pPr>
        <w:pStyle w:val="Normaltindrag"/>
        <w:shd w:val="clear" w:color="000000" w:fill="auto"/>
      </w:pPr>
      <w:r w:rsidRPr="005969A4">
        <w:t>Vi anser att det snarare borde vara tvärtom, dvs. att man som regel lånar till en investering. Det är ett system om används av företag, kommuner, land</w:t>
      </w:r>
      <w:r w:rsidRPr="005969A4">
        <w:t>s</w:t>
      </w:r>
      <w:r w:rsidRPr="005969A4">
        <w:t>ting, bostadsrättsföreningar m.m. Så gott som alla utom staten delar upp sin budget i en driftdel och en investeringsdel. Även hushåll agerar så i pra</w:t>
      </w:r>
      <w:r w:rsidRPr="005969A4">
        <w:t>k</w:t>
      </w:r>
      <w:r w:rsidRPr="005969A4">
        <w:t>tiken, eftersom det är få som kan betala av sitt hus eller bil samma dag som köpet görs. Staten bör således införa en investeringsbudget på samma sätt som sker i kommunsektorn.</w:t>
      </w:r>
    </w:p>
    <w:p w:rsidR="005969A4" w:rsidRPr="005969A4" w:rsidRDefault="005969A4">
      <w:pPr>
        <w:pStyle w:val="Rubrik2"/>
        <w:shd w:val="clear" w:color="000000" w:fill="auto"/>
      </w:pPr>
      <w:bookmarkStart w:id="8" w:name="_Toc281815725"/>
      <w:r w:rsidRPr="005969A4">
        <w:t>Förvärv av aktier och kapitaltillskott</w:t>
      </w:r>
      <w:bookmarkEnd w:id="8"/>
    </w:p>
    <w:p w:rsidR="005969A4" w:rsidRPr="005969A4" w:rsidRDefault="005969A4">
      <w:pPr>
        <w:shd w:val="clear" w:color="000000" w:fill="auto"/>
      </w:pPr>
      <w:r w:rsidRPr="005969A4">
        <w:t>Vänsterpartiet är ett socialistiskt parti. Det innebär att vi är för ekonomisk demokrati, att de arbetande människorna ska få mer makt över produktion och företag. Vi vill öka det gemensamma ägandet. Vi tror dock inte på en enda form för ägandet. Det statliga ägandet utgör en av flera olika ägandeformer. Grunden för det statliga ägandet bör vara samhällsintresset. Statligt ägande innebär att det i sista hand är folkvalda företrädare som har inflytandet och bestämmanderätten. Detta innebär såväl möjligheter</w:t>
      </w:r>
      <w:r w:rsidRPr="005969A4">
        <w:t xml:space="preserve"> som begränsningar för företagen. Möjligheterna ligger framför allt i att de statliga företagen inte behöver ha samma krav på avkastning till ägarna som de privata bolagen. Detta innebär att statliga bolag kan producera sådant som inte är företagsek</w:t>
      </w:r>
      <w:r w:rsidRPr="005969A4">
        <w:t>o</w:t>
      </w:r>
      <w:r w:rsidRPr="005969A4">
        <w:t>nomiskt lönsamt men där det finns samhällsekonomiska eller andra sa</w:t>
      </w:r>
      <w:r w:rsidRPr="005969A4">
        <w:t>m</w:t>
      </w:r>
      <w:r w:rsidRPr="005969A4">
        <w:t>hällsmotiv för produktionen. Staten kan också som ägare i sina bolag agera mer långsiktigt än många privata företag.</w:t>
      </w:r>
    </w:p>
    <w:p w:rsidR="005969A4" w:rsidRPr="005969A4" w:rsidRDefault="005969A4">
      <w:pPr>
        <w:pStyle w:val="Normaltindrag"/>
        <w:shd w:val="clear" w:color="000000" w:fill="auto"/>
      </w:pPr>
      <w:r w:rsidRPr="005969A4">
        <w:t>Huvuddelen av statens aktieinnehav förvaltas i dag av Regeringskansliet. Väns</w:t>
      </w:r>
      <w:r w:rsidRPr="005969A4">
        <w:t>terpartiet ser i det statliga ägandet en möjlighet till en strategisk näring</w:t>
      </w:r>
      <w:r w:rsidRPr="005969A4">
        <w:t>s</w:t>
      </w:r>
      <w:r w:rsidRPr="005969A4">
        <w:t>politik som i dag lyser med sin frånvaro. Vi ser det statliga ägandet som en viktig och långsiktig samhällsinvestering. Vänsterpartiet menar därför att det statliga ägandet i likhet med investeringar i infrastruktur ska ingå i en särskild investeringsbudget. Vid förvärv av aktier eller andelar i ett företag och annat tillskott av kapital bör därför finansiering genom lån utgöra huvudprincip.</w:t>
      </w:r>
    </w:p>
    <w:p w:rsidR="005969A4" w:rsidRPr="005969A4" w:rsidRDefault="005969A4">
      <w:pPr>
        <w:pStyle w:val="Rubrik2"/>
        <w:shd w:val="clear" w:color="000000" w:fill="auto"/>
      </w:pPr>
      <w:bookmarkStart w:id="9" w:name="_Toc281815726"/>
      <w:r w:rsidRPr="005969A4">
        <w:t>Förslag</w:t>
      </w:r>
      <w:bookmarkEnd w:id="9"/>
    </w:p>
    <w:p w:rsidR="005969A4" w:rsidRPr="005969A4" w:rsidRDefault="005969A4">
      <w:pPr>
        <w:shd w:val="clear" w:color="000000" w:fill="auto"/>
      </w:pPr>
      <w:r w:rsidRPr="005969A4">
        <w:t>Mot bakgrund av det ovannämnda bör därför förslaget till ny budgetlag i 7 kap. 5 § lyda enligt följande: Andra tillgångar än de som anges i 1, 3 och 4 §§ ska finansieras med lån eller med inkomster som anges i 8 kap. 9–12 §§.</w:t>
      </w:r>
    </w:p>
    <w:p w:rsidR="005969A4" w:rsidRPr="005969A4" w:rsidRDefault="005969A4">
      <w:pPr>
        <w:pStyle w:val="Normaltindrag"/>
        <w:shd w:val="clear" w:color="000000" w:fill="auto"/>
      </w:pPr>
      <w:r w:rsidRPr="005969A4">
        <w:t>Mot bakgrund av det ovannämnda bör därför förslaget till ny budgetlag i 7 kap. 2 § lyda enligt följande: Förvärv av aktier eller andelar i ett företag och annat tillskott av kapital ska finansieras med lån.</w:t>
      </w:r>
    </w:p>
    <w:p w:rsidR="005969A4" w:rsidRPr="005969A4" w:rsidRDefault="005969A4">
      <w:pPr>
        <w:pStyle w:val="Normaltindrag"/>
        <w:shd w:val="clear" w:color="000000" w:fill="auto"/>
      </w:pPr>
      <w:r w:rsidRPr="005969A4">
        <w:t>Mot bakgrund av det ovannämnda bör därför förslaget till ny budgetlag 7 kap. 6 § lyda enligt följande: Bestämmelserna i 1–5 §§ gäller inte om rik</w:t>
      </w:r>
      <w:r w:rsidRPr="005969A4">
        <w:t>s</w:t>
      </w:r>
      <w:r w:rsidRPr="005969A4">
        <w:t>dagen för en viss myndighet, ett visst anslag eller en viss anskaffning beslutar om någon annan finansiering.</w:t>
      </w:r>
    </w:p>
    <w:p w:rsidR="005969A4" w:rsidRPr="005969A4" w:rsidRDefault="005969A4">
      <w:pPr>
        <w:pStyle w:val="Rubrik1"/>
        <w:shd w:val="clear" w:color="000000" w:fill="auto"/>
      </w:pPr>
      <w:bookmarkStart w:id="10" w:name="_Toc281815727"/>
      <w:r w:rsidRPr="005969A4">
        <w:t>Utlåning och CSN</w:t>
      </w:r>
      <w:bookmarkEnd w:id="10"/>
    </w:p>
    <w:p w:rsidR="005969A4" w:rsidRPr="005969A4" w:rsidRDefault="005969A4">
      <w:pPr>
        <w:shd w:val="clear" w:color="000000" w:fill="auto"/>
      </w:pPr>
      <w:r w:rsidRPr="005969A4">
        <w:t>Huvuddelen av den statliga utlåningen består av studielån och hemutrus</w:t>
      </w:r>
      <w:r w:rsidRPr="005969A4">
        <w:t>t</w:t>
      </w:r>
      <w:r w:rsidRPr="005969A4">
        <w:t>ningslån från Centrala studiestödsnämnden (CSN) och finansieras genom upplåning i Riksgäldskontoret. Denna utlåning är redan reglerad och enligt vad som sägs i propositionen kommer den nya lagstiftningen inte att påverka CSN:s utlåning – åtminstone inte vad gäller studielånen.</w:t>
      </w:r>
    </w:p>
    <w:p w:rsidR="005969A4" w:rsidRPr="005969A4" w:rsidRDefault="005969A4">
      <w:pPr>
        <w:pStyle w:val="Normaltindrag"/>
        <w:shd w:val="clear" w:color="000000" w:fill="auto"/>
        <w:rPr>
          <w:color w:val="000000"/>
          <w:szCs w:val="24"/>
        </w:rPr>
      </w:pPr>
      <w:r w:rsidRPr="005969A4">
        <w:t xml:space="preserve">Den del av propositionen som skulle kunna ha störst inverkan för CSN:s låntagare är förslaget att ”i den ränta eller avgift som tas ut av låntagaren bör, utöver en ersättning som täcker statens upplåningskostnad, ingå ersättning för </w:t>
      </w:r>
      <w:r w:rsidRPr="005969A4">
        <w:t>statens förväntade kreditförluster och de administrativa kostnader som staten har för utlåningen”. Detta skulle kunna innebära att det skulle bli dyrare att betala tillbaka studielånen, vilket skulle få negativa konsekvenser för viljan att studera inom många grupper, särskilt bland dem som saknar studietrad</w:t>
      </w:r>
      <w:r w:rsidRPr="005969A4">
        <w:t>i</w:t>
      </w:r>
      <w:r w:rsidRPr="005969A4">
        <w:t xml:space="preserve">tion, och den sociala snedrekryteringen till många utbildningar skulle därför öka. Regeringen skriver emellertid i propositionen att denna förändring inte ska påverka låntagarnas kostnader för lånen och </w:t>
      </w:r>
      <w:r w:rsidRPr="005969A4">
        <w:t>har därför gett CSN i up</w:t>
      </w:r>
      <w:r w:rsidRPr="005969A4">
        <w:t>p</w:t>
      </w:r>
      <w:r w:rsidRPr="005969A4">
        <w:t xml:space="preserve">drag att utreda hur en övergång till förväntade förluster ska genomföras och finansieras i framtiden. </w:t>
      </w:r>
      <w:r w:rsidRPr="005969A4">
        <w:rPr>
          <w:color w:val="000000"/>
          <w:szCs w:val="24"/>
        </w:rPr>
        <w:t>Oavsett vilka resultat denna utredning kommer fram till förväntar vi oss från Vänsterpartiets sida att kostnaderna för studielånt</w:t>
      </w:r>
      <w:r w:rsidRPr="005969A4">
        <w:rPr>
          <w:color w:val="000000"/>
          <w:szCs w:val="24"/>
        </w:rPr>
        <w:t>a</w:t>
      </w:r>
      <w:r w:rsidRPr="005969A4">
        <w:rPr>
          <w:color w:val="000000"/>
          <w:szCs w:val="24"/>
        </w:rPr>
        <w:t>garna inte kommer att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69A4">
        <w:trPr>
          <w:cantSplit/>
        </w:trPr>
        <w:tc>
          <w:tcPr>
            <w:tcW w:w="3046" w:type="dxa"/>
          </w:tcPr>
          <w:p w:rsidR="005969A4" w:rsidRPr="005969A4" w:rsidRDefault="005969A4">
            <w:pPr>
              <w:pStyle w:val="UnderskriftDatum"/>
              <w:shd w:val="clear" w:color="000000" w:fill="auto"/>
              <w:spacing w:before="240"/>
            </w:pPr>
            <w:r w:rsidRPr="005969A4">
              <w:t>Stockholm den 20 december 2010</w:t>
            </w:r>
          </w:p>
        </w:tc>
        <w:tc>
          <w:tcPr>
            <w:tcW w:w="3047" w:type="dxa"/>
          </w:tcPr>
          <w:p w:rsidR="005969A4" w:rsidRPr="005969A4" w:rsidRDefault="005969A4">
            <w:pPr>
              <w:pStyle w:val="Underskrifter"/>
              <w:shd w:val="clear" w:color="000000" w:fill="auto"/>
              <w:spacing w:before="240"/>
            </w:pPr>
          </w:p>
        </w:tc>
      </w:tr>
      <w:tr w:rsidR="00000000" w:rsidRPr="005969A4">
        <w:trPr>
          <w:cantSplit/>
        </w:trPr>
        <w:tc>
          <w:tcPr>
            <w:tcW w:w="3046" w:type="dxa"/>
          </w:tcPr>
          <w:p w:rsidR="005969A4" w:rsidRPr="005969A4" w:rsidRDefault="005969A4">
            <w:pPr>
              <w:pStyle w:val="Underskrifter"/>
              <w:shd w:val="clear" w:color="000000" w:fill="auto"/>
            </w:pPr>
            <w:r w:rsidRPr="005969A4">
              <w:t>Lars Ohly (V)</w:t>
            </w:r>
          </w:p>
        </w:tc>
        <w:tc>
          <w:tcPr>
            <w:tcW w:w="3046" w:type="dxa"/>
          </w:tcPr>
          <w:p w:rsidR="005969A4" w:rsidRPr="005969A4" w:rsidRDefault="005969A4">
            <w:pPr>
              <w:pStyle w:val="Underskrifter"/>
              <w:shd w:val="clear" w:color="000000" w:fill="auto"/>
            </w:pPr>
          </w:p>
        </w:tc>
      </w:tr>
      <w:tr w:rsidR="00000000" w:rsidRPr="005969A4">
        <w:trPr>
          <w:cantSplit/>
        </w:trPr>
        <w:tc>
          <w:tcPr>
            <w:tcW w:w="3046" w:type="dxa"/>
          </w:tcPr>
          <w:p w:rsidR="005969A4" w:rsidRPr="005969A4" w:rsidRDefault="005969A4">
            <w:pPr>
              <w:pStyle w:val="Underskrifter"/>
              <w:shd w:val="clear" w:color="000000" w:fill="auto"/>
            </w:pPr>
            <w:r w:rsidRPr="005969A4">
              <w:t>Hans Linde (V)</w:t>
            </w:r>
          </w:p>
        </w:tc>
        <w:tc>
          <w:tcPr>
            <w:tcW w:w="3046" w:type="dxa"/>
          </w:tcPr>
          <w:p w:rsidR="005969A4" w:rsidRPr="005969A4" w:rsidRDefault="005969A4">
            <w:pPr>
              <w:pStyle w:val="Underskrifter"/>
              <w:shd w:val="clear" w:color="000000" w:fill="auto"/>
            </w:pPr>
            <w:r w:rsidRPr="005969A4">
              <w:t>Lena Olsson (V)</w:t>
            </w:r>
          </w:p>
        </w:tc>
      </w:tr>
      <w:tr w:rsidR="00000000" w:rsidRPr="005969A4">
        <w:trPr>
          <w:cantSplit/>
        </w:trPr>
        <w:tc>
          <w:tcPr>
            <w:tcW w:w="3046" w:type="dxa"/>
          </w:tcPr>
          <w:p w:rsidR="005969A4" w:rsidRPr="005969A4" w:rsidRDefault="005969A4">
            <w:pPr>
              <w:pStyle w:val="Underskrifter"/>
              <w:shd w:val="clear" w:color="000000" w:fill="auto"/>
            </w:pPr>
            <w:r w:rsidRPr="005969A4">
              <w:t>Jonas Sjöstedt (V)</w:t>
            </w:r>
          </w:p>
        </w:tc>
        <w:tc>
          <w:tcPr>
            <w:tcW w:w="3046" w:type="dxa"/>
          </w:tcPr>
          <w:p w:rsidR="005969A4" w:rsidRPr="005969A4" w:rsidRDefault="005969A4">
            <w:pPr>
              <w:pStyle w:val="Underskrifter"/>
              <w:shd w:val="clear" w:color="000000" w:fill="auto"/>
            </w:pPr>
            <w:r w:rsidRPr="005969A4">
              <w:t>Mia Sydow Mölleby (V)</w:t>
            </w:r>
          </w:p>
        </w:tc>
      </w:tr>
      <w:tr w:rsidR="00000000" w:rsidRPr="005969A4">
        <w:trPr>
          <w:cantSplit/>
        </w:trPr>
        <w:tc>
          <w:tcPr>
            <w:tcW w:w="3046" w:type="dxa"/>
          </w:tcPr>
          <w:p w:rsidR="005969A4" w:rsidRPr="005969A4" w:rsidRDefault="005969A4">
            <w:pPr>
              <w:pStyle w:val="Underskrifter"/>
              <w:shd w:val="clear" w:color="000000" w:fill="auto"/>
            </w:pPr>
            <w:r w:rsidRPr="005969A4">
              <w:t>Ulla Andersson (V)</w:t>
            </w:r>
          </w:p>
        </w:tc>
        <w:tc>
          <w:tcPr>
            <w:tcW w:w="3046" w:type="dxa"/>
          </w:tcPr>
          <w:p w:rsidR="005969A4" w:rsidRPr="005969A4" w:rsidRDefault="005969A4">
            <w:pPr>
              <w:pStyle w:val="Underskrifter"/>
              <w:shd w:val="clear" w:color="000000" w:fill="auto"/>
            </w:pPr>
          </w:p>
        </w:tc>
      </w:tr>
    </w:tbl>
    <w:p w:rsidR="005969A4" w:rsidRPr="005969A4" w:rsidRDefault="005969A4">
      <w:pPr>
        <w:pStyle w:val="Normaltindrag"/>
        <w:shd w:val="clear" w:color="000000" w:fill="auto"/>
      </w:pPr>
    </w:p>
    <w:sectPr w:rsidR="00000000" w:rsidRPr="005969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9A4" w:rsidRPr="005969A4" w:rsidRDefault="005969A4">
      <w:r w:rsidRPr="005969A4">
        <w:separator/>
      </w:r>
    </w:p>
  </w:endnote>
  <w:endnote w:type="continuationSeparator" w:id="0">
    <w:p w:rsidR="005969A4" w:rsidRPr="005969A4" w:rsidRDefault="005969A4">
      <w:r w:rsidRPr="00596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9A4" w:rsidRPr="005969A4" w:rsidRDefault="005969A4">
    <w:pPr>
      <w:pStyle w:val="Sidfot"/>
    </w:pPr>
    <w:r w:rsidRPr="005969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4633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9A4" w:rsidRDefault="005969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9A4" w:rsidRDefault="005969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9A4" w:rsidRPr="005969A4" w:rsidRDefault="005969A4">
    <w:pPr>
      <w:pStyle w:val="Sidfot"/>
    </w:pPr>
    <w:r w:rsidRPr="005969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898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9A4" w:rsidRDefault="005969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9A4" w:rsidRDefault="005969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9A4" w:rsidRPr="005969A4" w:rsidRDefault="005969A4">
    <w:pPr>
      <w:pStyle w:val="Sidfot"/>
    </w:pPr>
    <w:r w:rsidRPr="005969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567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9A4" w:rsidRDefault="005969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9A4" w:rsidRDefault="005969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9A4" w:rsidRPr="005969A4" w:rsidRDefault="005969A4">
      <w:pPr>
        <w:pStyle w:val="Sidfot"/>
      </w:pPr>
    </w:p>
  </w:footnote>
  <w:footnote w:type="continuationSeparator" w:id="0">
    <w:p w:rsidR="005969A4" w:rsidRPr="005969A4" w:rsidRDefault="005969A4">
      <w:pPr>
        <w:pStyle w:val="Sidfot"/>
      </w:pPr>
    </w:p>
  </w:footnote>
  <w:footnote w:type="continuationNotice" w:id="1">
    <w:p w:rsidR="005969A4" w:rsidRPr="005969A4" w:rsidRDefault="005969A4"/>
  </w:footnote>
  <w:footnote w:id="2">
    <w:p w:rsidR="005969A4" w:rsidRPr="005969A4" w:rsidRDefault="005969A4">
      <w:pPr>
        <w:spacing w:line="200" w:lineRule="exact"/>
      </w:pPr>
      <w:r w:rsidRPr="005969A4">
        <w:rPr>
          <w:rStyle w:val="Fotnotsreferens"/>
        </w:rPr>
        <w:footnoteRef/>
      </w:r>
      <w:r w:rsidRPr="005969A4">
        <w:t xml:space="preserve"> </w:t>
      </w:r>
      <w:r w:rsidRPr="005969A4">
        <w:rPr>
          <w:rStyle w:val="FotnotstextChar"/>
          <w:sz w:val="16"/>
          <w:szCs w:val="16"/>
        </w:rPr>
        <w:t>Beträffande den svenska 1990-talskrisen är det väl belagt att orsaken till denna inte bero</w:t>
      </w:r>
      <w:r w:rsidRPr="005969A4">
        <w:rPr>
          <w:rStyle w:val="FotnotstextChar"/>
          <w:sz w:val="16"/>
          <w:szCs w:val="16"/>
        </w:rPr>
        <w:t>d</w:t>
      </w:r>
      <w:r w:rsidRPr="005969A4">
        <w:rPr>
          <w:rStyle w:val="FotnotstextChar"/>
          <w:sz w:val="16"/>
          <w:szCs w:val="16"/>
        </w:rPr>
        <w:t>de på en för svag finanspolitik. Krisens orsaker hade sin grund i kredit- och valutaavregl</w:t>
      </w:r>
      <w:r w:rsidRPr="005969A4">
        <w:rPr>
          <w:rStyle w:val="FotnotstextChar"/>
          <w:sz w:val="16"/>
          <w:szCs w:val="16"/>
        </w:rPr>
        <w:t>e</w:t>
      </w:r>
      <w:r w:rsidRPr="005969A4">
        <w:rPr>
          <w:rStyle w:val="FotnotstextChar"/>
          <w:sz w:val="16"/>
          <w:szCs w:val="16"/>
        </w:rPr>
        <w:t>ringarna 1985 respektive 1989, skattereformen 1990–1991, fastighets- och bankkrisen samt Riksbankens utsiktslösa kronförsvar. Vad gäller den senaste finanskrisen hade denna sin grund i kapitalismens inneboende svagheter och därtill brister i den finansiella reglering som till stora delar baserades på tesen om effektiva marknade</w:t>
      </w:r>
      <w:r w:rsidRPr="005969A4">
        <w:rPr>
          <w:rStyle w:val="FotnotstextChar"/>
          <w:sz w:val="16"/>
          <w:szCs w:val="16"/>
        </w:rPr>
        <w:t>r, globala obalanser samt den mycket ojämna förmögenhets- och inkomstfördelningen i USA. Den nuvarande eurokrisen (undantaget Grekland) beror på ett samspel mellan effekterna av finanskrisen och de obala</w:t>
      </w:r>
      <w:r w:rsidRPr="005969A4">
        <w:rPr>
          <w:rStyle w:val="FotnotstextChar"/>
          <w:sz w:val="16"/>
          <w:szCs w:val="16"/>
        </w:rPr>
        <w:t>n</w:t>
      </w:r>
      <w:r w:rsidRPr="005969A4">
        <w:rPr>
          <w:rStyle w:val="FotnotstextChar"/>
          <w:sz w:val="16"/>
          <w:szCs w:val="16"/>
        </w:rPr>
        <w:t>ser i bytesbalanssaldon och konkurrenskraft som valutaunionen ger upphov till samt fasti</w:t>
      </w:r>
      <w:r w:rsidRPr="005969A4">
        <w:rPr>
          <w:rStyle w:val="FotnotstextChar"/>
          <w:sz w:val="16"/>
          <w:szCs w:val="16"/>
        </w:rPr>
        <w:t>g</w:t>
      </w:r>
      <w:r w:rsidRPr="005969A4">
        <w:rPr>
          <w:rStyle w:val="FotnotstextChar"/>
          <w:sz w:val="16"/>
          <w:szCs w:val="16"/>
        </w:rPr>
        <w:t>hets- och bankkriser i vissa av valutaunionens medlemsländer.</w:t>
      </w:r>
    </w:p>
    <w:p w:rsidR="005969A4" w:rsidRPr="005969A4" w:rsidRDefault="005969A4">
      <w:pPr>
        <w:pStyle w:val="Fotnotstext"/>
      </w:pPr>
    </w:p>
  </w:footnote>
  <w:footnote w:id="3">
    <w:p w:rsidR="005969A4" w:rsidRPr="005969A4" w:rsidRDefault="005969A4">
      <w:pPr>
        <w:pStyle w:val="Fotnotstext"/>
        <w:spacing w:line="200" w:lineRule="exact"/>
        <w:rPr>
          <w:sz w:val="16"/>
          <w:szCs w:val="16"/>
        </w:rPr>
      </w:pPr>
      <w:r w:rsidRPr="005969A4">
        <w:rPr>
          <w:rStyle w:val="Fotnotsreferens"/>
        </w:rPr>
        <w:footnoteRef/>
      </w:r>
      <w:r w:rsidRPr="005969A4">
        <w:t xml:space="preserve"> </w:t>
      </w:r>
      <w:r w:rsidRPr="005969A4">
        <w:rPr>
          <w:sz w:val="16"/>
          <w:szCs w:val="16"/>
        </w:rPr>
        <w:t>Systemet med utgiftstaken bli särskilt problematiskt utifrån budgetlagens bestämmelser om hur investeringar i infrastruktur ska finansieras och bokföras. Till skillnad från komm</w:t>
      </w:r>
      <w:r w:rsidRPr="005969A4">
        <w:rPr>
          <w:sz w:val="16"/>
          <w:szCs w:val="16"/>
        </w:rPr>
        <w:t>u</w:t>
      </w:r>
      <w:r w:rsidRPr="005969A4">
        <w:rPr>
          <w:sz w:val="16"/>
          <w:szCs w:val="16"/>
        </w:rPr>
        <w:t>ner och företag har staten ingen särskild investeringsbudget. Investeringar i väg och järnväg sker i regel genom att staten tar upp kostnaden för investeringen på ett anslag. När infr</w:t>
      </w:r>
      <w:r w:rsidRPr="005969A4">
        <w:rPr>
          <w:sz w:val="16"/>
          <w:szCs w:val="16"/>
        </w:rPr>
        <w:t>a</w:t>
      </w:r>
      <w:r w:rsidRPr="005969A4">
        <w:rPr>
          <w:sz w:val="16"/>
          <w:szCs w:val="16"/>
        </w:rPr>
        <w:t>strukturinvesteringar finansieras med anslag innebär detta att anslag tas i anspråk i takt med att utgifterna uppstår. Kombinationen av snålt tilltag</w:t>
      </w:r>
      <w:r w:rsidRPr="005969A4">
        <w:rPr>
          <w:sz w:val="16"/>
          <w:szCs w:val="16"/>
        </w:rPr>
        <w:t>na utgiftstak och infrastrukturinveste</w:t>
      </w:r>
      <w:r w:rsidRPr="005969A4">
        <w:rPr>
          <w:sz w:val="16"/>
          <w:szCs w:val="16"/>
        </w:rPr>
        <w:t>r</w:t>
      </w:r>
      <w:r w:rsidRPr="005969A4">
        <w:rPr>
          <w:sz w:val="16"/>
          <w:szCs w:val="16"/>
        </w:rPr>
        <w:t>ingar som direktavskrivs innebär att investeringar får konkurrera om utrymmet under utgift</w:t>
      </w:r>
      <w:r w:rsidRPr="005969A4">
        <w:rPr>
          <w:sz w:val="16"/>
          <w:szCs w:val="16"/>
        </w:rPr>
        <w:t>s</w:t>
      </w:r>
      <w:r w:rsidRPr="005969A4">
        <w:rPr>
          <w:sz w:val="16"/>
          <w:szCs w:val="16"/>
        </w:rPr>
        <w:t>taken med löpande utgifter som sjukpenning, barnbidrag m.m. Detta riskerar att leda till att viktiga samhällsinvesteringar inte kommer till stånd eller skjuts på framtiden.</w:t>
      </w:r>
    </w:p>
  </w:footnote>
  <w:footnote w:id="4">
    <w:p w:rsidR="005969A4" w:rsidRPr="005969A4" w:rsidRDefault="005969A4">
      <w:pPr>
        <w:pStyle w:val="Fotnotstext"/>
        <w:spacing w:before="0" w:line="200" w:lineRule="exact"/>
        <w:rPr>
          <w:sz w:val="16"/>
          <w:szCs w:val="16"/>
        </w:rPr>
      </w:pPr>
      <w:r w:rsidRPr="005969A4">
        <w:rPr>
          <w:rStyle w:val="Fotnotsreferens"/>
        </w:rPr>
        <w:footnoteRef/>
      </w:r>
      <w:r w:rsidRPr="005969A4">
        <w:t xml:space="preserve"> </w:t>
      </w:r>
      <w:r w:rsidRPr="005969A4">
        <w:rPr>
          <w:sz w:val="16"/>
          <w:szCs w:val="16"/>
        </w:rPr>
        <w:t>Ursprungligen uppgick målet till 2 % av BNP. Efter ett beslut av Eurostat att sparandet i premiepensionssystemet fr.o.m. 2007 inte längre ska räknas med i den offentliga sektorns finansiella sparande, gjordes en teknisk nedjustering av målet från 2 till 1 % av BNP.</w:t>
      </w:r>
    </w:p>
  </w:footnote>
  <w:footnote w:id="5">
    <w:p w:rsidR="005969A4" w:rsidRPr="005969A4" w:rsidRDefault="005969A4">
      <w:pPr>
        <w:pStyle w:val="Fotnotstext"/>
        <w:spacing w:before="0" w:line="200" w:lineRule="exact"/>
        <w:rPr>
          <w:sz w:val="16"/>
          <w:szCs w:val="16"/>
        </w:rPr>
      </w:pPr>
      <w:r w:rsidRPr="005969A4">
        <w:rPr>
          <w:rStyle w:val="Fotnotsreferens"/>
        </w:rPr>
        <w:footnoteRef/>
      </w:r>
      <w:r w:rsidRPr="005969A4">
        <w:t xml:space="preserve"> </w:t>
      </w:r>
      <w:r w:rsidRPr="005969A4">
        <w:rPr>
          <w:sz w:val="16"/>
          <w:szCs w:val="16"/>
        </w:rPr>
        <w:t>I långsiktskalkylen i BP04 övergick överskotten till underskott omkring 2027. Överskotten i kalkylen började dock avta markant omkring 2017.</w:t>
      </w:r>
    </w:p>
  </w:footnote>
  <w:footnote w:id="6">
    <w:p w:rsidR="005969A4" w:rsidRPr="005969A4" w:rsidRDefault="005969A4">
      <w:pPr>
        <w:pStyle w:val="Fotnotstext"/>
        <w:spacing w:before="0" w:line="200" w:lineRule="exact"/>
      </w:pPr>
      <w:r w:rsidRPr="005969A4">
        <w:rPr>
          <w:rStyle w:val="Fotnotsreferens"/>
        </w:rPr>
        <w:footnoteRef/>
      </w:r>
      <w:r w:rsidRPr="005969A4">
        <w:t xml:space="preserve"> </w:t>
      </w:r>
      <w:r w:rsidRPr="005969A4">
        <w:rPr>
          <w:sz w:val="16"/>
          <w:szCs w:val="16"/>
        </w:rPr>
        <w:t>VP10 s. 274.</w:t>
      </w:r>
    </w:p>
  </w:footnote>
  <w:footnote w:id="7">
    <w:p w:rsidR="005969A4" w:rsidRPr="005969A4" w:rsidRDefault="005969A4">
      <w:pPr>
        <w:pStyle w:val="Fotnotstext"/>
        <w:spacing w:before="0" w:line="200" w:lineRule="exact"/>
        <w:rPr>
          <w:sz w:val="16"/>
          <w:szCs w:val="16"/>
        </w:rPr>
      </w:pPr>
      <w:r w:rsidRPr="005969A4">
        <w:rPr>
          <w:rStyle w:val="Fotnotsreferens"/>
        </w:rPr>
        <w:footnoteRef/>
      </w:r>
      <w:r w:rsidRPr="005969A4">
        <w:t xml:space="preserve"> </w:t>
      </w:r>
      <w:r w:rsidRPr="005969A4">
        <w:rPr>
          <w:sz w:val="16"/>
          <w:szCs w:val="16"/>
        </w:rPr>
        <w:t>Man formulerar detta som ”en jämn fördelning av resurserna mellan generationerna” (källa: VP10 s. 87).</w:t>
      </w:r>
    </w:p>
  </w:footnote>
  <w:footnote w:id="8">
    <w:p w:rsidR="005969A4" w:rsidRPr="005969A4" w:rsidRDefault="005969A4">
      <w:pPr>
        <w:pStyle w:val="Fotnotstext"/>
        <w:spacing w:before="0" w:line="200" w:lineRule="exact"/>
        <w:rPr>
          <w:sz w:val="16"/>
          <w:szCs w:val="16"/>
        </w:rPr>
      </w:pPr>
      <w:r w:rsidRPr="005969A4">
        <w:rPr>
          <w:rStyle w:val="Fotnotsreferens"/>
        </w:rPr>
        <w:footnoteRef/>
      </w:r>
      <w:r w:rsidRPr="005969A4">
        <w:t xml:space="preserve"> </w:t>
      </w:r>
      <w:r w:rsidRPr="005969A4">
        <w:rPr>
          <w:sz w:val="16"/>
          <w:szCs w:val="16"/>
        </w:rPr>
        <w:t>En finanspolitik som baseras på ett sådant mål innebär att Sveriges redan mycket låga skuldkvoter kommer att fortsätta att minska som andel av BNP. I sammanhanget kan nä</w:t>
      </w:r>
      <w:r w:rsidRPr="005969A4">
        <w:rPr>
          <w:sz w:val="16"/>
          <w:szCs w:val="16"/>
        </w:rPr>
        <w:t>m</w:t>
      </w:r>
      <w:r w:rsidRPr="005969A4">
        <w:rPr>
          <w:sz w:val="16"/>
          <w:szCs w:val="16"/>
        </w:rPr>
        <w:t>nas att Svenskt Näringsliv, i sitt remissvar på Finansdepartementets departementspromem</w:t>
      </w:r>
      <w:r w:rsidRPr="005969A4">
        <w:rPr>
          <w:sz w:val="16"/>
          <w:szCs w:val="16"/>
        </w:rPr>
        <w:t>o</w:t>
      </w:r>
      <w:r w:rsidRPr="005969A4">
        <w:rPr>
          <w:sz w:val="16"/>
          <w:szCs w:val="16"/>
        </w:rPr>
        <w:t>ria Utvärdering av överskottsmålet (Ds 2010:4) angav att ett saldomål på mellan –1 och 0 % av BNP ger tillräcklig makroekonomisk stabilitet till en väsentlig lägre samhällsekonomisk kostnad än det mål som föreslogs i promemorian (dvs. 1 % överskott).</w:t>
      </w:r>
    </w:p>
  </w:footnote>
  <w:footnote w:id="9">
    <w:p w:rsidR="005969A4" w:rsidRPr="005969A4" w:rsidRDefault="005969A4">
      <w:pPr>
        <w:pStyle w:val="Fotnotstext"/>
        <w:spacing w:before="0" w:line="200" w:lineRule="exact"/>
        <w:rPr>
          <w:sz w:val="16"/>
          <w:szCs w:val="16"/>
        </w:rPr>
      </w:pPr>
      <w:r w:rsidRPr="005969A4">
        <w:rPr>
          <w:rStyle w:val="Fotnotsreferens"/>
        </w:rPr>
        <w:footnoteRef/>
      </w:r>
      <w:r w:rsidRPr="005969A4">
        <w:t xml:space="preserve"> </w:t>
      </w:r>
      <w:r w:rsidRPr="005969A4">
        <w:rPr>
          <w:sz w:val="16"/>
          <w:szCs w:val="16"/>
        </w:rPr>
        <w:t>Finansdepartementet använder den s.k. S2-indikatorn som ett mått för de offentliga fina</w:t>
      </w:r>
      <w:r w:rsidRPr="005969A4">
        <w:rPr>
          <w:sz w:val="16"/>
          <w:szCs w:val="16"/>
        </w:rPr>
        <w:t>n</w:t>
      </w:r>
      <w:r w:rsidRPr="005969A4">
        <w:rPr>
          <w:sz w:val="16"/>
          <w:szCs w:val="16"/>
        </w:rPr>
        <w:t>sernas långsiktiga hållbarhet. Det föreligger mycket goda skäl att helt överge användningen av denna indikator så som den nu är utformad (vi redogör för några av dessa skäl i vår motion på VP09). En mer användbar metod för att bedöma och analysera de offentliga finansernas långsiktiga hållbarhet torde vara en restriktion för storleken på den offentliga sektorns finansiella bruttoskuld i relation till BNP.</w:t>
      </w:r>
    </w:p>
  </w:footnote>
  <w:footnote w:id="10">
    <w:p w:rsidR="005969A4" w:rsidRPr="005969A4" w:rsidRDefault="005969A4">
      <w:pPr>
        <w:pStyle w:val="Fotnotstext"/>
        <w:spacing w:before="0" w:line="200" w:lineRule="exact"/>
        <w:rPr>
          <w:sz w:val="16"/>
          <w:szCs w:val="16"/>
        </w:rPr>
      </w:pPr>
      <w:r w:rsidRPr="005969A4">
        <w:rPr>
          <w:rStyle w:val="Fotnotsreferens"/>
        </w:rPr>
        <w:footnoteRef/>
      </w:r>
      <w:r w:rsidRPr="005969A4">
        <w:t xml:space="preserve"> </w:t>
      </w:r>
      <w:r w:rsidRPr="005969A4">
        <w:rPr>
          <w:sz w:val="16"/>
          <w:szCs w:val="16"/>
        </w:rPr>
        <w:t xml:space="preserve">I sammanhanget kan nämnas att remissinstanserna ESV, Finanspolitiska rådet och Svenskt Näringsliv också anser att målet bör benämnas saldomålet.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9A4" w:rsidRPr="005969A4" w:rsidRDefault="005969A4">
    <w:pPr>
      <w:pStyle w:val="Sidhuvud"/>
    </w:pPr>
    <w:r w:rsidRPr="005969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2350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9A4" w:rsidRDefault="005969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9A4" w:rsidRDefault="005969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9A4" w:rsidRPr="005969A4" w:rsidRDefault="005969A4">
    <w:pPr>
      <w:pStyle w:val="Sidhuvud"/>
    </w:pPr>
    <w:r w:rsidRPr="005969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7366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9A4" w:rsidRDefault="005969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9A4" w:rsidRDefault="005969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9A4" w:rsidRPr="005969A4" w:rsidRDefault="005969A4">
    <w:pPr>
      <w:pStyle w:val="FSHNormal"/>
      <w:tabs>
        <w:tab w:val="right" w:pos="5840"/>
      </w:tabs>
    </w:pPr>
    <w:r w:rsidRPr="005969A4">
      <w:br/>
    </w:r>
    <w:r w:rsidRPr="005969A4">
      <w:fldChar w:fldCharType="begin" w:fldLock="1"/>
    </w:r>
    <w:r w:rsidRPr="005969A4">
      <w:instrText xml:space="preserve"> DOCPROPERTY</w:instrText>
    </w:r>
    <w:r w:rsidRPr="005969A4">
      <w:rPr>
        <w:sz w:val="18"/>
      </w:rPr>
      <w:instrText xml:space="preserve"> "YearUser" *\charformat </w:instrText>
    </w:r>
    <w:r w:rsidRPr="005969A4">
      <w:fldChar w:fldCharType="separate"/>
    </w:r>
    <w:r w:rsidRPr="005969A4">
      <w:t>2010/11</w:t>
    </w:r>
    <w:r w:rsidRPr="005969A4">
      <w:fldChar w:fldCharType="end"/>
    </w:r>
    <w:r w:rsidRPr="005969A4">
      <w:t xml:space="preserve"> </w:t>
    </w:r>
    <w:r w:rsidRPr="005969A4">
      <w:tab/>
      <w:t xml:space="preserve">mnr: </w:t>
    </w:r>
    <w:r w:rsidRPr="005969A4">
      <w:fldChar w:fldCharType="begin" w:fldLock="1"/>
    </w:r>
    <w:r w:rsidRPr="005969A4">
      <w:instrText xml:space="preserve"> DOCPROPERTY</w:instrText>
    </w:r>
    <w:r w:rsidRPr="005969A4">
      <w:rPr>
        <w:sz w:val="18"/>
      </w:rPr>
      <w:instrText xml:space="preserve"> "Motionsnummer" *\charformat </w:instrText>
    </w:r>
    <w:r w:rsidRPr="005969A4">
      <w:fldChar w:fldCharType="separate"/>
    </w:r>
    <w:r w:rsidRPr="005969A4">
      <w:t>K1</w:t>
    </w:r>
    <w:r w:rsidRPr="005969A4">
      <w:fldChar w:fldCharType="end"/>
    </w:r>
    <w:r w:rsidRPr="005969A4">
      <w:br/>
    </w:r>
    <w:r w:rsidRPr="005969A4">
      <w:fldChar w:fldCharType="begin" w:fldLock="1"/>
    </w:r>
    <w:r w:rsidRPr="005969A4">
      <w:instrText xml:space="preserve"> DOCPROPERTY</w:instrText>
    </w:r>
    <w:r w:rsidRPr="005969A4">
      <w:rPr>
        <w:sz w:val="18"/>
      </w:rPr>
      <w:instrText xml:space="preserve"> "Samling" *\charformat </w:instrText>
    </w:r>
    <w:r w:rsidRPr="005969A4">
      <w:fldChar w:fldCharType="end"/>
    </w:r>
    <w:r w:rsidRPr="005969A4">
      <w:tab/>
      <w:t xml:space="preserve">pnr: </w:t>
    </w:r>
    <w:r w:rsidRPr="005969A4">
      <w:fldChar w:fldCharType="begin" w:fldLock="1"/>
    </w:r>
    <w:r w:rsidRPr="005969A4">
      <w:instrText xml:space="preserve"> DOCPROPERTY</w:instrText>
    </w:r>
    <w:r w:rsidRPr="005969A4">
      <w:rPr>
        <w:sz w:val="18"/>
      </w:rPr>
      <w:instrText xml:space="preserve"> "Partinummer" *\charformat </w:instrText>
    </w:r>
    <w:r w:rsidRPr="005969A4">
      <w:fldChar w:fldCharType="separate"/>
    </w:r>
    <w:r w:rsidRPr="005969A4">
      <w:t>V9</w:t>
    </w:r>
    <w:r w:rsidRPr="005969A4">
      <w:fldChar w:fldCharType="end"/>
    </w:r>
  </w:p>
  <w:p w:rsidR="005969A4" w:rsidRPr="005969A4" w:rsidRDefault="005969A4">
    <w:pPr>
      <w:pStyle w:val="FSHRub1"/>
    </w:pPr>
    <w:r w:rsidRPr="005969A4">
      <w:t>Motion till riksdagen</w:t>
    </w:r>
    <w:r w:rsidRPr="005969A4">
      <w:br/>
    </w:r>
    <w:r w:rsidRPr="005969A4">
      <w:fldChar w:fldCharType="begin" w:fldLock="1"/>
    </w:r>
    <w:r w:rsidRPr="005969A4">
      <w:instrText xml:space="preserve"> DOCPROPERTY "YearUser" *\charformat </w:instrText>
    </w:r>
    <w:r w:rsidRPr="005969A4">
      <w:fldChar w:fldCharType="separate"/>
    </w:r>
    <w:r w:rsidRPr="005969A4">
      <w:t>2010/11</w:t>
    </w:r>
    <w:r w:rsidRPr="005969A4">
      <w:fldChar w:fldCharType="end"/>
    </w:r>
    <w:r w:rsidRPr="005969A4">
      <w:t>:</w:t>
    </w:r>
    <w:r w:rsidRPr="005969A4">
      <w:fldChar w:fldCharType="begin" w:fldLock="1"/>
    </w:r>
    <w:r w:rsidRPr="005969A4">
      <w:instrText xml:space="preserve"> DOCPROPERTY "Motionsnummer" *\charformat </w:instrText>
    </w:r>
    <w:r w:rsidRPr="005969A4">
      <w:fldChar w:fldCharType="separate"/>
    </w:r>
    <w:r w:rsidRPr="005969A4">
      <w:t>K1</w:t>
    </w:r>
    <w:r w:rsidRPr="005969A4">
      <w:fldChar w:fldCharType="end"/>
    </w:r>
  </w:p>
  <w:p w:rsidR="005969A4" w:rsidRPr="005969A4" w:rsidRDefault="005969A4">
    <w:pPr>
      <w:pStyle w:val="FSHNormalS5"/>
    </w:pPr>
    <w:r w:rsidRPr="005969A4">
      <w:fldChar w:fldCharType="begin" w:fldLock="1"/>
    </w:r>
    <w:r w:rsidRPr="005969A4">
      <w:instrText xml:space="preserve"> DOCPROPERTY "MotionarText" *\charformat </w:instrText>
    </w:r>
    <w:r w:rsidRPr="005969A4">
      <w:fldChar w:fldCharType="separate"/>
    </w:r>
    <w:r w:rsidRPr="005969A4">
      <w:t>av Lars Ohly m.fl. (V)</w:t>
    </w:r>
    <w:r w:rsidRPr="005969A4">
      <w:fldChar w:fldCharType="end"/>
    </w:r>
    <w:r w:rsidRPr="005969A4">
      <w:br/>
    </w:r>
    <w:r w:rsidRPr="005969A4">
      <w:fldChar w:fldCharType="begin" w:fldLock="1"/>
    </w:r>
    <w:r w:rsidRPr="005969A4">
      <w:instrText xml:space="preserve"> DOCPROPERTY "SvarFrasKort" *\charformat </w:instrText>
    </w:r>
    <w:r w:rsidRPr="005969A4">
      <w:fldChar w:fldCharType="separate"/>
    </w:r>
    <w:r w:rsidRPr="005969A4">
      <w:t>med anledning av prop. 2010/11:40</w:t>
    </w:r>
    <w:r w:rsidRPr="005969A4">
      <w:fldChar w:fldCharType="end"/>
    </w:r>
  </w:p>
  <w:p w:rsidR="005969A4" w:rsidRPr="005969A4" w:rsidRDefault="005969A4">
    <w:pPr>
      <w:pStyle w:val="FSHTitel"/>
    </w:pPr>
    <w:r w:rsidRPr="005969A4">
      <w:fldChar w:fldCharType="begin" w:fldLock="1"/>
    </w:r>
    <w:r w:rsidRPr="005969A4">
      <w:instrText xml:space="preserve"> DOCPROPERTY</w:instrText>
    </w:r>
    <w:r w:rsidRPr="005969A4">
      <w:rPr>
        <w:sz w:val="18"/>
      </w:rPr>
      <w:instrText xml:space="preserve"> "RubrikSvar" *\charformat </w:instrText>
    </w:r>
    <w:r w:rsidRPr="005969A4">
      <w:fldChar w:fldCharType="separate"/>
    </w:r>
    <w:r w:rsidRPr="005969A4">
      <w:t>En reformerad budgetlag</w:t>
    </w:r>
    <w:r w:rsidRPr="005969A4">
      <w:fldChar w:fldCharType="end"/>
    </w:r>
  </w:p>
  <w:p w:rsidR="005969A4" w:rsidRPr="005969A4" w:rsidRDefault="005969A4">
    <w:pPr>
      <w:pStyle w:val="Normal00"/>
    </w:pPr>
  </w:p>
  <w:p w:rsidR="005969A4" w:rsidRPr="005969A4" w:rsidRDefault="005969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69D5522"/>
    <w:multiLevelType w:val="multilevel"/>
    <w:tmpl w:val="AB7410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C97525A"/>
    <w:multiLevelType w:val="hybridMultilevel"/>
    <w:tmpl w:val="FE2A5B64"/>
    <w:lvl w:ilvl="0" w:tplc="5A62B6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6F26C3D"/>
    <w:multiLevelType w:val="hybridMultilevel"/>
    <w:tmpl w:val="C8EC8A98"/>
    <w:lvl w:ilvl="0" w:tplc="F54275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9323CB4"/>
    <w:multiLevelType w:val="hybridMultilevel"/>
    <w:tmpl w:val="22EC3208"/>
    <w:lvl w:ilvl="0" w:tplc="D0DC20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3420227"/>
    <w:multiLevelType w:val="multilevel"/>
    <w:tmpl w:val="426EF55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3" w15:restartNumberingAfterBreak="0">
    <w:nsid w:val="769B5945"/>
    <w:multiLevelType w:val="multilevel"/>
    <w:tmpl w:val="59FE01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0685903">
    <w:abstractNumId w:val="3"/>
  </w:num>
  <w:num w:numId="2" w16cid:durableId="1505705500">
    <w:abstractNumId w:val="2"/>
  </w:num>
  <w:num w:numId="3" w16cid:durableId="1789659530">
    <w:abstractNumId w:val="1"/>
  </w:num>
  <w:num w:numId="4" w16cid:durableId="561719727">
    <w:abstractNumId w:val="0"/>
  </w:num>
  <w:num w:numId="5" w16cid:durableId="1689793659">
    <w:abstractNumId w:val="7"/>
  </w:num>
  <w:num w:numId="6" w16cid:durableId="598753827">
    <w:abstractNumId w:val="6"/>
  </w:num>
  <w:num w:numId="7" w16cid:durableId="183905589">
    <w:abstractNumId w:val="5"/>
  </w:num>
  <w:num w:numId="8" w16cid:durableId="326714752">
    <w:abstractNumId w:val="4"/>
  </w:num>
  <w:num w:numId="9" w16cid:durableId="58596341">
    <w:abstractNumId w:val="8"/>
  </w:num>
  <w:num w:numId="10" w16cid:durableId="773398185">
    <w:abstractNumId w:val="9"/>
  </w:num>
  <w:num w:numId="11" w16cid:durableId="1970671369">
    <w:abstractNumId w:val="10"/>
  </w:num>
  <w:num w:numId="12" w16cid:durableId="1852916647">
    <w:abstractNumId w:val="14"/>
  </w:num>
  <w:num w:numId="13" w16cid:durableId="253756317">
    <w:abstractNumId w:val="17"/>
  </w:num>
  <w:num w:numId="14" w16cid:durableId="1225992253">
    <w:abstractNumId w:val="20"/>
  </w:num>
  <w:num w:numId="15" w16cid:durableId="1668709407">
    <w:abstractNumId w:val="12"/>
  </w:num>
  <w:num w:numId="16" w16cid:durableId="1956674529">
    <w:abstractNumId w:val="24"/>
  </w:num>
  <w:num w:numId="17" w16cid:durableId="1053499606">
    <w:abstractNumId w:val="21"/>
  </w:num>
  <w:num w:numId="18" w16cid:durableId="1991515507">
    <w:abstractNumId w:val="16"/>
  </w:num>
  <w:num w:numId="19" w16cid:durableId="6714612">
    <w:abstractNumId w:val="13"/>
  </w:num>
  <w:num w:numId="20" w16cid:durableId="158618201">
    <w:abstractNumId w:val="15"/>
  </w:num>
  <w:num w:numId="21" w16cid:durableId="1896969886">
    <w:abstractNumId w:val="11"/>
  </w:num>
  <w:num w:numId="22" w16cid:durableId="1383292634">
    <w:abstractNumId w:val="23"/>
  </w:num>
  <w:num w:numId="23" w16cid:durableId="769862300">
    <w:abstractNumId w:val="19"/>
  </w:num>
  <w:num w:numId="24" w16cid:durableId="1266353494">
    <w:abstractNumId w:val="18"/>
  </w:num>
  <w:num w:numId="25" w16cid:durableId="15270633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08"/>
    <w:docVar w:name="PersonGUIDs" w:val="{653F0F50-6F1F-4A36-9FEB-9B3CE8CAF153},{00468181-7122-42C5-877E-69489063FE94},{B8443C99-B93B-402A-AFCA-57EA04B1EEFE},{DA248C4D-AFF6-4AC5-94CA-AED252C8C8C8},{A7313DCE-0B34-4C27-86F8-BEBB9AB9F316},{9757EBE9-5352-471C-B04A-E35C112BD16A}"/>
  </w:docVars>
  <w:rsids>
    <w:rsidRoot w:val="005C0D84"/>
    <w:rsid w:val="005969A4"/>
    <w:rsid w:val="005C0D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30961F9-8B2C-4307-AA0E-72936338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otnotstextChar">
    <w:name w:val="Fotnotstext Char"/>
    <w:basedOn w:val="Standardstycketeckensnitt"/>
    <w:link w:val="Fotnotstext"/>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3972</Words>
  <Characters>23479</Characters>
  <Application>Microsoft Office Word</Application>
  <DocSecurity>4</DocSecurity>
  <Lines>411</Lines>
  <Paragraphs>90</Paragraphs>
  <ScaleCrop>false</ScaleCrop>
  <HeadingPairs>
    <vt:vector size="2" baseType="variant">
      <vt:variant>
        <vt:lpstr>Rubrik</vt:lpstr>
      </vt:variant>
      <vt:variant>
        <vt:i4>1</vt:i4>
      </vt:variant>
    </vt:vector>
  </HeadingPairs>
  <TitlesOfParts>
    <vt:vector size="1" baseType="lpstr">
      <vt:lpstr>v009</vt:lpstr>
    </vt:vector>
  </TitlesOfParts>
  <Company>Riksdagen</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v009</dc:title>
  <dc:subject>v009</dc:subject>
  <dc:creator>Riksdagen</dc:creator>
  <cp:keywords>Riksdagen</cp:keywords>
  <dc:description>Versal/gemen i partibeteckning. Gemen i tryck för 0910, versal för 1011 och nyare</dc:description>
  <cp:lastModifiedBy>Lars Brink</cp:lastModifiedBy>
  <cp:revision>2</cp:revision>
  <cp:lastPrinted>2011-05-04T10:28:00Z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mot2000_533_2011-06-08</vt:lpwstr>
  </property>
  <property fmtid="{D5CDD505-2E9C-101B-9397-08002B2CF9AE}" pid="3" name="version">
    <vt:lpwstr>mot2000_524_2010-12-10</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2010/11:40 En reformerad budgetlag</vt:lpwstr>
  </property>
  <property fmtid="{D5CDD505-2E9C-101B-9397-08002B2CF9AE}" pid="11" name="SvarFrasKort">
    <vt:lpwstr>med anledning av prop. 2010/11:40</vt:lpwstr>
  </property>
  <property fmtid="{D5CDD505-2E9C-101B-9397-08002B2CF9AE}" pid="12" name="Svar">
    <vt:lpwstr>Proposition</vt:lpwstr>
  </property>
  <property fmtid="{D5CDD505-2E9C-101B-9397-08002B2CF9AE}" pid="13" name="SvarNr">
    <vt:lpwstr>2010/11:40</vt:lpwstr>
  </property>
  <property fmtid="{D5CDD505-2E9C-101B-9397-08002B2CF9AE}" pid="14" name="RubrikSvar">
    <vt:lpwstr>En reformerad budgetlag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(V)\Linde, Hans (V)\Olsson, Lena (V)\Sjöstedt, Jonas (V)\Sydow Mölleby, Mia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Hans Linde (V), Lena Olsson (V), Jonas Sjöstedt (V), Mia Sydow Mölleby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december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20102011000000000118000000090080</vt:lpwstr>
  </property>
  <property fmtid="{D5CDD505-2E9C-101B-9397-08002B2CF9AE}" pid="47" name="datum">
    <vt:lpwstr>101220</vt:lpwstr>
  </property>
  <property fmtid="{D5CDD505-2E9C-101B-9397-08002B2CF9AE}" pid="48" name="avsändar-e-post">
    <vt:lpwstr>maya.ek@riksdagen.se</vt:lpwstr>
  </property>
  <property fmtid="{D5CDD505-2E9C-101B-9397-08002B2CF9AE}" pid="49" name="id">
    <vt:lpwstr>20102011000000000118000000090080</vt:lpwstr>
  </property>
  <property fmtid="{D5CDD505-2E9C-101B-9397-08002B2CF9AE}" pid="50" name="nummer">
    <vt:lpwstr>1</vt:lpwstr>
  </property>
  <property fmtid="{D5CDD505-2E9C-101B-9397-08002B2CF9AE}" pid="51" name="utskottsbeteckning">
    <vt:lpwstr>K</vt:lpwstr>
  </property>
  <property fmtid="{D5CDD505-2E9C-101B-9397-08002B2CF9AE}" pid="52" name="GlobalUID">
    <vt:lpwstr>{B34DF8A9-505B-4F7F-9A01-12EB1937945C}</vt:lpwstr>
  </property>
  <property fmtid="{D5CDD505-2E9C-101B-9397-08002B2CF9AE}" pid="53" name="Överföringar">
    <vt:i4>0</vt:i4>
  </property>
  <property fmtid="{D5CDD505-2E9C-101B-9397-08002B2CF9AE}" pid="54" name="Checksum">
    <vt:lpwstr>*0002640565208*</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110608 14:05:28.667</vt:lpwstr>
  </property>
  <property fmtid="{D5CDD505-2E9C-101B-9397-08002B2CF9AE}" pid="58" name="urixGuid">
    <vt:lpwstr>{AC5D3FF7-A55E-4301-8977-1E3069906835}</vt:lpwstr>
  </property>
</Properties>
</file>