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0F6" w:rsidRPr="00F73779" w:rsidRDefault="006400F6">
      <w:pPr>
        <w:pStyle w:val="Frslagsrubrik"/>
        <w:shd w:val="clear" w:color="000000" w:fill="auto"/>
      </w:pPr>
      <w:r w:rsidRPr="00F73779">
        <w:t>Förslag till riksdagsbeslut</w:t>
      </w:r>
    </w:p>
    <w:p w:rsidR="006400F6" w:rsidRPr="00F73779" w:rsidRDefault="006400F6">
      <w:pPr>
        <w:pStyle w:val="Hemstlatt"/>
        <w:shd w:val="clear" w:color="000000" w:fill="auto"/>
        <w:ind w:left="0"/>
      </w:pPr>
      <w:r w:rsidRPr="00F73779">
        <w:t>Riksdagen anvisar med följande ändringar i förhålla</w:t>
      </w:r>
      <w:r w:rsidRPr="00F73779">
        <w:t>n</w:t>
      </w:r>
      <w:r w:rsidRPr="00F73779">
        <w:t>de till regeringens förslag anslagen under utgiftsområde 4 Rättsväsendet e</w:t>
      </w:r>
      <w:r w:rsidRPr="00F73779">
        <w:t>n</w:t>
      </w:r>
      <w:r w:rsidRPr="00F73779">
        <w:t>ligt uppställning:</w:t>
      </w:r>
    </w:p>
    <w:tbl>
      <w:tblPr>
        <w:tblW w:w="6135" w:type="dxa"/>
        <w:tblInd w:w="55" w:type="dxa"/>
        <w:tblLayout w:type="fixed"/>
        <w:tblCellMar>
          <w:left w:w="70" w:type="dxa"/>
          <w:right w:w="70" w:type="dxa"/>
        </w:tblCellMar>
        <w:tblLook w:val="0000" w:firstRow="0" w:lastRow="0" w:firstColumn="0" w:lastColumn="0" w:noHBand="0" w:noVBand="0"/>
      </w:tblPr>
      <w:tblGrid>
        <w:gridCol w:w="615"/>
        <w:gridCol w:w="2400"/>
        <w:gridCol w:w="1592"/>
        <w:gridCol w:w="1528"/>
      </w:tblGrid>
      <w:tr w:rsidR="00000000" w:rsidRPr="00F73779">
        <w:trPr>
          <w:trHeight w:val="420"/>
        </w:trPr>
        <w:tc>
          <w:tcPr>
            <w:tcW w:w="615" w:type="dxa"/>
            <w:tcBorders>
              <w:top w:val="single" w:sz="4" w:space="0" w:color="auto"/>
              <w:left w:val="nil"/>
              <w:bottom w:val="single" w:sz="4" w:space="0" w:color="auto"/>
              <w:right w:val="nil"/>
            </w:tcBorders>
          </w:tcPr>
          <w:p w:rsidR="006400F6" w:rsidRPr="00F73779" w:rsidRDefault="006400F6">
            <w:pPr>
              <w:shd w:val="clear" w:color="000000" w:fill="auto"/>
              <w:spacing w:before="60" w:line="200" w:lineRule="exact"/>
              <w:rPr>
                <w:b/>
                <w:bCs/>
                <w:color w:val="000000"/>
                <w:sz w:val="16"/>
              </w:rPr>
            </w:pPr>
            <w:r w:rsidRPr="00F73779">
              <w:rPr>
                <w:b/>
                <w:bCs/>
                <w:color w:val="000000"/>
                <w:sz w:val="16"/>
              </w:rPr>
              <w:t>Anslag</w:t>
            </w:r>
          </w:p>
        </w:tc>
        <w:tc>
          <w:tcPr>
            <w:tcW w:w="2400" w:type="dxa"/>
            <w:tcBorders>
              <w:top w:val="single" w:sz="4" w:space="0" w:color="auto"/>
              <w:left w:val="nil"/>
              <w:bottom w:val="single" w:sz="4" w:space="0" w:color="auto"/>
              <w:right w:val="nil"/>
            </w:tcBorders>
          </w:tcPr>
          <w:p w:rsidR="006400F6" w:rsidRPr="00F73779" w:rsidRDefault="006400F6">
            <w:pPr>
              <w:shd w:val="clear" w:color="000000" w:fill="auto"/>
              <w:spacing w:before="60" w:line="200" w:lineRule="exact"/>
              <w:rPr>
                <w:b/>
                <w:bCs/>
                <w:color w:val="000000"/>
                <w:sz w:val="16"/>
              </w:rPr>
            </w:pPr>
          </w:p>
        </w:tc>
        <w:tc>
          <w:tcPr>
            <w:tcW w:w="1592" w:type="dxa"/>
            <w:tcBorders>
              <w:top w:val="single" w:sz="4" w:space="0" w:color="auto"/>
              <w:left w:val="nil"/>
              <w:bottom w:val="single" w:sz="4" w:space="0" w:color="auto"/>
              <w:right w:val="nil"/>
            </w:tcBorders>
          </w:tcPr>
          <w:p w:rsidR="006400F6" w:rsidRPr="00F73779" w:rsidRDefault="006400F6">
            <w:pPr>
              <w:shd w:val="clear" w:color="000000" w:fill="auto"/>
              <w:spacing w:before="60" w:line="200" w:lineRule="exact"/>
              <w:jc w:val="right"/>
              <w:rPr>
                <w:b/>
                <w:bCs/>
                <w:color w:val="000000"/>
                <w:sz w:val="16"/>
              </w:rPr>
            </w:pPr>
            <w:r w:rsidRPr="00F73779">
              <w:rPr>
                <w:b/>
                <w:bCs/>
                <w:color w:val="000000"/>
                <w:sz w:val="16"/>
              </w:rPr>
              <w:t>Regeringens förslag (tkr)</w:t>
            </w:r>
          </w:p>
        </w:tc>
        <w:tc>
          <w:tcPr>
            <w:tcW w:w="1528" w:type="dxa"/>
            <w:tcBorders>
              <w:top w:val="single" w:sz="4" w:space="0" w:color="auto"/>
              <w:left w:val="nil"/>
              <w:bottom w:val="single" w:sz="4" w:space="0" w:color="auto"/>
              <w:right w:val="nil"/>
            </w:tcBorders>
          </w:tcPr>
          <w:p w:rsidR="006400F6" w:rsidRPr="00F73779" w:rsidRDefault="006400F6">
            <w:pPr>
              <w:shd w:val="clear" w:color="000000" w:fill="auto"/>
              <w:spacing w:before="60" w:line="200" w:lineRule="exact"/>
              <w:jc w:val="right"/>
              <w:rPr>
                <w:b/>
                <w:bCs/>
                <w:color w:val="000000"/>
                <w:sz w:val="16"/>
              </w:rPr>
            </w:pPr>
            <w:r w:rsidRPr="00F73779">
              <w:rPr>
                <w:b/>
                <w:bCs/>
                <w:color w:val="000000"/>
                <w:sz w:val="16"/>
                <w:szCs w:val="22"/>
              </w:rPr>
              <w:t xml:space="preserve">Anslagsförändring </w:t>
            </w:r>
            <w:r w:rsidRPr="00F73779">
              <w:rPr>
                <w:b/>
                <w:bCs/>
                <w:color w:val="000000"/>
                <w:sz w:val="16"/>
              </w:rPr>
              <w:t>(tkr)</w:t>
            </w:r>
          </w:p>
        </w:tc>
      </w:tr>
      <w:tr w:rsidR="00000000" w:rsidRPr="00F73779">
        <w:trPr>
          <w:trHeight w:val="227"/>
        </w:trPr>
        <w:tc>
          <w:tcPr>
            <w:tcW w:w="615" w:type="dxa"/>
            <w:tcBorders>
              <w:top w:val="single" w:sz="4" w:space="0" w:color="auto"/>
            </w:tcBorders>
            <w:vAlign w:val="bottom"/>
          </w:tcPr>
          <w:p w:rsidR="006400F6" w:rsidRPr="00F73779" w:rsidRDefault="006400F6">
            <w:pPr>
              <w:shd w:val="clear" w:color="000000" w:fill="auto"/>
              <w:spacing w:before="60" w:line="200" w:lineRule="exact"/>
              <w:rPr>
                <w:color w:val="000000"/>
                <w:sz w:val="16"/>
              </w:rPr>
            </w:pPr>
            <w:r w:rsidRPr="00F73779">
              <w:rPr>
                <w:color w:val="000000"/>
                <w:sz w:val="16"/>
              </w:rPr>
              <w:t>1:1</w:t>
            </w:r>
          </w:p>
        </w:tc>
        <w:tc>
          <w:tcPr>
            <w:tcW w:w="2400" w:type="dxa"/>
            <w:tcBorders>
              <w:top w:val="single" w:sz="4" w:space="0" w:color="auto"/>
            </w:tcBorders>
            <w:vAlign w:val="bottom"/>
          </w:tcPr>
          <w:p w:rsidR="006400F6" w:rsidRPr="00F73779" w:rsidRDefault="006400F6">
            <w:pPr>
              <w:shd w:val="clear" w:color="000000" w:fill="auto"/>
              <w:spacing w:before="60" w:line="200" w:lineRule="exact"/>
              <w:rPr>
                <w:color w:val="000000"/>
                <w:sz w:val="16"/>
              </w:rPr>
            </w:pPr>
            <w:r w:rsidRPr="00F73779">
              <w:rPr>
                <w:color w:val="000000"/>
                <w:sz w:val="16"/>
              </w:rPr>
              <w:t>Polisorganisationen</w:t>
            </w:r>
          </w:p>
        </w:tc>
        <w:tc>
          <w:tcPr>
            <w:tcW w:w="1592" w:type="dxa"/>
            <w:tcBorders>
              <w:top w:val="single" w:sz="4" w:space="0" w:color="auto"/>
            </w:tcBorders>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 xml:space="preserve">20 067 000 </w:t>
            </w:r>
          </w:p>
        </w:tc>
        <w:tc>
          <w:tcPr>
            <w:tcW w:w="1528" w:type="dxa"/>
            <w:tcBorders>
              <w:top w:val="single" w:sz="4" w:space="0" w:color="auto"/>
            </w:tcBorders>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 xml:space="preserve">–5 000       </w:t>
            </w:r>
          </w:p>
        </w:tc>
      </w:tr>
      <w:tr w:rsidR="00000000" w:rsidRPr="00F73779">
        <w:tc>
          <w:tcPr>
            <w:tcW w:w="615"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 xml:space="preserve">1:2 </w:t>
            </w:r>
          </w:p>
        </w:tc>
        <w:tc>
          <w:tcPr>
            <w:tcW w:w="2400"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Säpo</w:t>
            </w:r>
          </w:p>
        </w:tc>
        <w:tc>
          <w:tcPr>
            <w:tcW w:w="1592"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1 047 000</w:t>
            </w:r>
          </w:p>
        </w:tc>
        <w:tc>
          <w:tcPr>
            <w:tcW w:w="1528"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–43 000</w:t>
            </w:r>
          </w:p>
        </w:tc>
      </w:tr>
      <w:tr w:rsidR="00000000" w:rsidRPr="00F73779">
        <w:trPr>
          <w:trHeight w:val="227"/>
        </w:trPr>
        <w:tc>
          <w:tcPr>
            <w:tcW w:w="615"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 xml:space="preserve">1:5 </w:t>
            </w:r>
          </w:p>
        </w:tc>
        <w:tc>
          <w:tcPr>
            <w:tcW w:w="2400"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Sveriges Domstolar</w:t>
            </w:r>
          </w:p>
        </w:tc>
        <w:tc>
          <w:tcPr>
            <w:tcW w:w="1592"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4 900 000</w:t>
            </w:r>
          </w:p>
        </w:tc>
        <w:tc>
          <w:tcPr>
            <w:tcW w:w="1528"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+100 000</w:t>
            </w:r>
          </w:p>
        </w:tc>
      </w:tr>
      <w:tr w:rsidR="00000000" w:rsidRPr="00F73779">
        <w:trPr>
          <w:trHeight w:val="227"/>
        </w:trPr>
        <w:tc>
          <w:tcPr>
            <w:tcW w:w="615"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 xml:space="preserve">1:6 </w:t>
            </w:r>
          </w:p>
        </w:tc>
        <w:tc>
          <w:tcPr>
            <w:tcW w:w="2400"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Kriminalvården</w:t>
            </w:r>
          </w:p>
        </w:tc>
        <w:tc>
          <w:tcPr>
            <w:tcW w:w="1592"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7 530 000</w:t>
            </w:r>
          </w:p>
        </w:tc>
        <w:tc>
          <w:tcPr>
            <w:tcW w:w="1528"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–300 000</w:t>
            </w:r>
          </w:p>
        </w:tc>
      </w:tr>
      <w:tr w:rsidR="00000000" w:rsidRPr="00F73779">
        <w:trPr>
          <w:trHeight w:val="227"/>
        </w:trPr>
        <w:tc>
          <w:tcPr>
            <w:tcW w:w="615"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Nytt</w:t>
            </w:r>
          </w:p>
        </w:tc>
        <w:tc>
          <w:tcPr>
            <w:tcW w:w="2400"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Fångombudsman</w:t>
            </w:r>
          </w:p>
        </w:tc>
        <w:tc>
          <w:tcPr>
            <w:tcW w:w="1592"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 xml:space="preserve">0 </w:t>
            </w:r>
          </w:p>
        </w:tc>
        <w:tc>
          <w:tcPr>
            <w:tcW w:w="1528"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+5 000</w:t>
            </w:r>
          </w:p>
        </w:tc>
      </w:tr>
      <w:tr w:rsidR="00000000" w:rsidRPr="00F73779">
        <w:trPr>
          <w:trHeight w:val="227"/>
        </w:trPr>
        <w:tc>
          <w:tcPr>
            <w:tcW w:w="615"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Nytt</w:t>
            </w:r>
          </w:p>
        </w:tc>
        <w:tc>
          <w:tcPr>
            <w:tcW w:w="2400" w:type="dxa"/>
            <w:vAlign w:val="bottom"/>
          </w:tcPr>
          <w:p w:rsidR="006400F6" w:rsidRPr="00F73779" w:rsidRDefault="006400F6">
            <w:pPr>
              <w:shd w:val="clear" w:color="000000" w:fill="auto"/>
              <w:spacing w:before="60" w:line="200" w:lineRule="exact"/>
              <w:rPr>
                <w:color w:val="000000"/>
                <w:sz w:val="16"/>
              </w:rPr>
            </w:pPr>
            <w:r w:rsidRPr="00F73779">
              <w:rPr>
                <w:color w:val="000000"/>
                <w:sz w:val="16"/>
              </w:rPr>
              <w:t xml:space="preserve">Särskilda utredningsmyndigheten </w:t>
            </w:r>
          </w:p>
        </w:tc>
        <w:tc>
          <w:tcPr>
            <w:tcW w:w="1592"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0</w:t>
            </w:r>
          </w:p>
        </w:tc>
        <w:tc>
          <w:tcPr>
            <w:tcW w:w="1528" w:type="dxa"/>
            <w:vAlign w:val="bottom"/>
          </w:tcPr>
          <w:p w:rsidR="006400F6" w:rsidRPr="00F73779" w:rsidRDefault="006400F6">
            <w:pPr>
              <w:shd w:val="clear" w:color="000000" w:fill="auto"/>
              <w:spacing w:before="60" w:line="200" w:lineRule="exact"/>
              <w:jc w:val="right"/>
              <w:rPr>
                <w:color w:val="000000"/>
                <w:sz w:val="16"/>
              </w:rPr>
            </w:pPr>
            <w:r w:rsidRPr="00F73779">
              <w:rPr>
                <w:color w:val="000000"/>
                <w:sz w:val="16"/>
              </w:rPr>
              <w:t>+5 000</w:t>
            </w:r>
          </w:p>
        </w:tc>
      </w:tr>
      <w:tr w:rsidR="00000000" w:rsidRPr="00F73779">
        <w:trPr>
          <w:trHeight w:val="227"/>
        </w:trPr>
        <w:tc>
          <w:tcPr>
            <w:tcW w:w="615" w:type="dxa"/>
            <w:tcBorders>
              <w:bottom w:val="single" w:sz="4" w:space="0" w:color="auto"/>
            </w:tcBorders>
            <w:vAlign w:val="bottom"/>
          </w:tcPr>
          <w:p w:rsidR="006400F6" w:rsidRPr="00F73779" w:rsidRDefault="006400F6">
            <w:pPr>
              <w:shd w:val="clear" w:color="000000" w:fill="auto"/>
              <w:spacing w:before="60" w:line="200" w:lineRule="exact"/>
              <w:rPr>
                <w:b/>
                <w:bCs/>
                <w:color w:val="000000"/>
                <w:sz w:val="16"/>
              </w:rPr>
            </w:pPr>
          </w:p>
        </w:tc>
        <w:tc>
          <w:tcPr>
            <w:tcW w:w="2400" w:type="dxa"/>
            <w:tcBorders>
              <w:bottom w:val="single" w:sz="4" w:space="0" w:color="auto"/>
            </w:tcBorders>
            <w:vAlign w:val="bottom"/>
          </w:tcPr>
          <w:p w:rsidR="006400F6" w:rsidRPr="00F73779" w:rsidRDefault="006400F6">
            <w:pPr>
              <w:shd w:val="clear" w:color="000000" w:fill="auto"/>
              <w:spacing w:before="60" w:line="200" w:lineRule="exact"/>
              <w:rPr>
                <w:b/>
                <w:bCs/>
                <w:color w:val="000000"/>
                <w:sz w:val="16"/>
              </w:rPr>
            </w:pPr>
            <w:r w:rsidRPr="00F73779">
              <w:rPr>
                <w:b/>
                <w:bCs/>
                <w:color w:val="000000"/>
                <w:sz w:val="16"/>
              </w:rPr>
              <w:t>Summa</w:t>
            </w:r>
          </w:p>
        </w:tc>
        <w:tc>
          <w:tcPr>
            <w:tcW w:w="1592" w:type="dxa"/>
            <w:tcBorders>
              <w:bottom w:val="single" w:sz="4" w:space="0" w:color="auto"/>
            </w:tcBorders>
            <w:vAlign w:val="bottom"/>
          </w:tcPr>
          <w:p w:rsidR="006400F6" w:rsidRPr="00F73779" w:rsidRDefault="006400F6">
            <w:pPr>
              <w:shd w:val="clear" w:color="000000" w:fill="auto"/>
              <w:spacing w:before="60" w:line="200" w:lineRule="exact"/>
              <w:jc w:val="right"/>
              <w:rPr>
                <w:b/>
                <w:bCs/>
                <w:color w:val="000000"/>
                <w:sz w:val="16"/>
              </w:rPr>
            </w:pPr>
          </w:p>
        </w:tc>
        <w:tc>
          <w:tcPr>
            <w:tcW w:w="1528" w:type="dxa"/>
            <w:tcBorders>
              <w:bottom w:val="single" w:sz="4" w:space="0" w:color="auto"/>
            </w:tcBorders>
            <w:vAlign w:val="bottom"/>
          </w:tcPr>
          <w:p w:rsidR="006400F6" w:rsidRPr="00F73779" w:rsidRDefault="006400F6">
            <w:pPr>
              <w:shd w:val="clear" w:color="000000" w:fill="auto"/>
              <w:spacing w:before="60" w:line="200" w:lineRule="exact"/>
              <w:jc w:val="right"/>
              <w:rPr>
                <w:b/>
                <w:bCs/>
                <w:color w:val="000000"/>
                <w:sz w:val="16"/>
              </w:rPr>
            </w:pPr>
            <w:r w:rsidRPr="00F73779">
              <w:rPr>
                <w:b/>
                <w:bCs/>
                <w:color w:val="000000"/>
                <w:sz w:val="16"/>
              </w:rPr>
              <w:t>–238 000</w:t>
            </w:r>
          </w:p>
        </w:tc>
      </w:tr>
    </w:tbl>
    <w:p w:rsidR="006400F6" w:rsidRPr="00F73779" w:rsidRDefault="006400F6">
      <w:pPr>
        <w:shd w:val="clear" w:color="000000" w:fill="auto"/>
        <w:rPr>
          <w:sz w:val="8"/>
          <w:szCs w:val="8"/>
        </w:rPr>
      </w:pPr>
    </w:p>
    <w:p w:rsidR="006400F6" w:rsidRPr="00F73779" w:rsidRDefault="006400F6">
      <w:pPr>
        <w:pStyle w:val="Rubrik1"/>
        <w:shd w:val="clear" w:color="000000" w:fill="auto"/>
      </w:pPr>
      <w:r w:rsidRPr="00F73779">
        <w:t>1.1 Polisorganisationen</w:t>
      </w:r>
    </w:p>
    <w:p w:rsidR="006400F6" w:rsidRPr="00F73779" w:rsidRDefault="006400F6">
      <w:pPr>
        <w:shd w:val="clear" w:color="000000" w:fill="auto"/>
      </w:pPr>
      <w:r w:rsidRPr="00F73779">
        <w:t>Inom anslaget föreslår vi en minskning med 5 miljoner kronor. Vi föreslår motsvarande summa i ett nytt anslag för inrättande av en ny myndighet som ska utreda misstänkta brott inom polisen, se nedan.</w:t>
      </w:r>
    </w:p>
    <w:p w:rsidR="006400F6" w:rsidRPr="00F73779" w:rsidRDefault="006400F6">
      <w:pPr>
        <w:pStyle w:val="Rubrik1"/>
        <w:shd w:val="clear" w:color="000000" w:fill="auto"/>
      </w:pPr>
      <w:r w:rsidRPr="00F73779">
        <w:t>1.2 Säkerhetspolisen</w:t>
      </w:r>
    </w:p>
    <w:p w:rsidR="006400F6" w:rsidRPr="00F73779" w:rsidRDefault="006400F6">
      <w:pPr>
        <w:shd w:val="clear" w:color="000000" w:fill="auto"/>
      </w:pPr>
      <w:r w:rsidRPr="00F73779">
        <w:t>Vänsterpartiet accepterar hälften av den av regeringens föreslagna ökningen av anslaget till Säpo. Vi bedömer att halva den föreslagna ökningen kan til</w:t>
      </w:r>
      <w:r w:rsidRPr="00F73779">
        <w:t>l</w:t>
      </w:r>
      <w:r w:rsidRPr="00F73779">
        <w:t>godose det ökade behovet av att granska t.ex. våldsbejakande högerextr</w:t>
      </w:r>
      <w:r w:rsidRPr="00F73779">
        <w:t>e</w:t>
      </w:r>
      <w:r w:rsidRPr="00F73779">
        <w:t>m</w:t>
      </w:r>
      <w:r w:rsidRPr="00F73779">
        <w:lastRenderedPageBreak/>
        <w:t xml:space="preserve">ism. Säpo har ett högt anslag som ökat drastiskt genom åren, men även Säpo måste hushålla med sina medel. </w:t>
      </w:r>
    </w:p>
    <w:p w:rsidR="006400F6" w:rsidRPr="00F73779" w:rsidRDefault="006400F6">
      <w:pPr>
        <w:pStyle w:val="Rubrik1"/>
        <w:shd w:val="clear" w:color="000000" w:fill="auto"/>
      </w:pPr>
      <w:r w:rsidRPr="00F73779">
        <w:t>1.5 Sveriges Domstolar</w:t>
      </w:r>
    </w:p>
    <w:p w:rsidR="006400F6" w:rsidRPr="00F73779" w:rsidRDefault="006400F6">
      <w:pPr>
        <w:shd w:val="clear" w:color="000000" w:fill="auto"/>
      </w:pPr>
      <w:r w:rsidRPr="00F73779">
        <w:t>Vänsterpartiet föreslår att förvaltningsrätten förstärks med 100 miljoner kr</w:t>
      </w:r>
      <w:r w:rsidRPr="00F73779">
        <w:t>o</w:t>
      </w:r>
      <w:r w:rsidRPr="00F73779">
        <w:t xml:space="preserve">nor för att förbättra handläggningen av bl.a. socialförsäkringsärenden. Till exempel så har sjukförsäkringsärendena ökat drastiskt och vi anser att det är angeläget att öka möjligheten till snabb handläggning i dessa frågor. </w:t>
      </w:r>
    </w:p>
    <w:p w:rsidR="006400F6" w:rsidRPr="00F73779" w:rsidRDefault="006400F6">
      <w:pPr>
        <w:pStyle w:val="Rubrik1"/>
        <w:shd w:val="clear" w:color="000000" w:fill="auto"/>
      </w:pPr>
      <w:r w:rsidRPr="00F73779">
        <w:t>1.6 Kriminalvården</w:t>
      </w:r>
    </w:p>
    <w:p w:rsidR="006400F6" w:rsidRPr="00F73779" w:rsidRDefault="006400F6">
      <w:pPr>
        <w:shd w:val="clear" w:color="000000" w:fill="auto"/>
      </w:pPr>
      <w:r w:rsidRPr="00F73779">
        <w:t>Vänsterpartiet har länge drivit frågan om att återinföra villkorlig halvtidsfr</w:t>
      </w:r>
      <w:r w:rsidRPr="00F73779">
        <w:t>i</w:t>
      </w:r>
      <w:r w:rsidRPr="00F73779">
        <w:t>givning med bra frivårdsinsatser för förstagångsdömda. Vi är övertygade om att längre inlåsningstid inte leder till bättre rehabilitering. Vi tror däremot att den s.k. normaliseringsprocessen bättre gynnas av att frivården får ta ett större ansvar inom ramen för strafftiden. Vi anser på sikt att alla ska kunna omfattas av möjligheter att avtjäna halva strafftiden i frihet, men eftersom en sådan reform kräver stora strukturförändringar inom kriminalvårdens olika delar lägger vi till att börja med fram ett f</w:t>
      </w:r>
      <w:r w:rsidRPr="00F73779">
        <w:t>örslag om att denna reform ska omfatta de som för första gången dömts till frihetsberövande påföljd.</w:t>
      </w:r>
    </w:p>
    <w:p w:rsidR="006400F6" w:rsidRPr="00F73779" w:rsidRDefault="006400F6">
      <w:pPr>
        <w:pStyle w:val="Normaltindrag"/>
        <w:shd w:val="clear" w:color="000000" w:fill="auto"/>
      </w:pPr>
      <w:r w:rsidRPr="00F73779">
        <w:t>Då påföljd som avtjänas inom anstalt är väldigt kostsam i förhållande till påföljd som avtjänas inom ramen för frivården, frigörs resurser vid reformen som vi anser ska användas dels för att förstärka innehållet i kriminalvården och frivården, dels för att inom utgiftsområdet stärka förvaltningsrätten. Dä</w:t>
      </w:r>
      <w:r w:rsidRPr="00F73779">
        <w:t>r</w:t>
      </w:r>
      <w:r w:rsidRPr="00F73779">
        <w:t>utöver är det rimligt att sänka kriminalvårdens anslag. Då vi avser att införa reformen från och med den 1 juli 2012 blir besparingen med avdrag för ovan nämnda kvalitetsförstärkningar 300 miljoner kronor för andra halvåret 2012.</w:t>
      </w:r>
    </w:p>
    <w:p w:rsidR="006400F6" w:rsidRPr="00F73779" w:rsidRDefault="006400F6">
      <w:pPr>
        <w:pStyle w:val="Rubrik1"/>
        <w:shd w:val="clear" w:color="000000" w:fill="auto"/>
      </w:pPr>
      <w:r w:rsidRPr="00F73779">
        <w:t>Nytt anslag: Fångombudsman</w:t>
      </w:r>
    </w:p>
    <w:p w:rsidR="006400F6" w:rsidRPr="00F73779" w:rsidRDefault="006400F6">
      <w:pPr>
        <w:shd w:val="clear" w:color="000000" w:fill="auto"/>
      </w:pPr>
      <w:r w:rsidRPr="00F73779">
        <w:t>Situationen inom kriminalvården har hårdnat de senaste åren. Antalet anmä</w:t>
      </w:r>
      <w:r w:rsidRPr="00F73779">
        <w:t>l</w:t>
      </w:r>
      <w:r w:rsidRPr="00F73779">
        <w:t>ningar till JO ökar och antalet kritikärenden har ökat drastiskt. JO har kritis</w:t>
      </w:r>
      <w:r w:rsidRPr="00F73779">
        <w:t>e</w:t>
      </w:r>
      <w:r w:rsidRPr="00F73779">
        <w:t>rat regeringen för att inte ta bristerna på allvar. Svenska fångar är helt hänv</w:t>
      </w:r>
      <w:r w:rsidRPr="00F73779">
        <w:t>i</w:t>
      </w:r>
      <w:r w:rsidRPr="00F73779">
        <w:t>sade till JO med sina klagomål, och inget annat kontrollorgan har ansvar för klagomål från denna grupp. Vänsterpartiet anser att det är hög tid att inrätta en fångombudsman. För denna verksamhet har vi avsatt 5 miljoner kronor.</w:t>
      </w:r>
    </w:p>
    <w:p w:rsidR="006400F6" w:rsidRPr="00F73779" w:rsidRDefault="006400F6">
      <w:pPr>
        <w:pStyle w:val="Rubrik1"/>
        <w:shd w:val="clear" w:color="000000" w:fill="auto"/>
      </w:pPr>
      <w:r w:rsidRPr="00F73779">
        <w:t>Nytt anslag: Fristående myndighet för utredningar av poliser som misstänks för brott</w:t>
      </w:r>
    </w:p>
    <w:p w:rsidR="006400F6" w:rsidRPr="00F73779" w:rsidRDefault="006400F6">
      <w:pPr>
        <w:shd w:val="clear" w:color="000000" w:fill="auto"/>
      </w:pPr>
      <w:r w:rsidRPr="00F73779">
        <w:t>När anställda vid polisen och Åklagarmyndigheten begår brott är det dessa myndigheter som själva står för utredandet av brotten. Detta riskerar att skapa misstankar bland allmänheten om att utredningarna i vissa fall inte går rätt till. För att förtroendet för dessa typer av utredningar ska höjas föreslår vi att man inrättar den myndighet som utformades i utredningen ”Summa summ</w:t>
      </w:r>
      <w:r w:rsidRPr="00F73779">
        <w:t>a</w:t>
      </w:r>
      <w:r w:rsidRPr="00F73779">
        <w:t>rum – En fristående myndighet för utredning av anmälningar om brott mot polis och åklagare?” (SOU 2007:5). Vi avsätter 5 miljoner kronor årligen till denna nya myndighet och minskar i motsvarande mån polisanslaget, där kos</w:t>
      </w:r>
      <w:r w:rsidRPr="00F73779">
        <w:t>t</w:t>
      </w:r>
      <w:r w:rsidRPr="00F73779">
        <w:t>naderna för dessa utredningar huvudsakligen finns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779">
        <w:trPr>
          <w:cantSplit/>
        </w:trPr>
        <w:tc>
          <w:tcPr>
            <w:tcW w:w="3046" w:type="dxa"/>
          </w:tcPr>
          <w:p w:rsidR="006400F6" w:rsidRPr="00F73779" w:rsidRDefault="006400F6">
            <w:pPr>
              <w:pStyle w:val="UnderskriftDatum"/>
              <w:shd w:val="clear" w:color="000000" w:fill="auto"/>
              <w:spacing w:before="240"/>
            </w:pPr>
            <w:r w:rsidRPr="00F73779">
              <w:t>Stockholm den 4 oktober 2011</w:t>
            </w:r>
          </w:p>
        </w:tc>
        <w:tc>
          <w:tcPr>
            <w:tcW w:w="3047" w:type="dxa"/>
          </w:tcPr>
          <w:p w:rsidR="006400F6" w:rsidRPr="00F73779" w:rsidRDefault="006400F6">
            <w:pPr>
              <w:pStyle w:val="Underskrifter"/>
              <w:shd w:val="clear" w:color="000000" w:fill="auto"/>
              <w:spacing w:before="240"/>
            </w:pPr>
          </w:p>
        </w:tc>
      </w:tr>
      <w:tr w:rsidR="00000000" w:rsidRPr="00F73779">
        <w:trPr>
          <w:cantSplit/>
        </w:trPr>
        <w:tc>
          <w:tcPr>
            <w:tcW w:w="3046" w:type="dxa"/>
          </w:tcPr>
          <w:p w:rsidR="006400F6" w:rsidRPr="00F73779" w:rsidRDefault="006400F6">
            <w:pPr>
              <w:pStyle w:val="Underskrifter"/>
              <w:shd w:val="clear" w:color="000000" w:fill="auto"/>
            </w:pPr>
            <w:r w:rsidRPr="00F73779">
              <w:t>Lars Ohly (V)</w:t>
            </w:r>
          </w:p>
        </w:tc>
        <w:tc>
          <w:tcPr>
            <w:tcW w:w="3046" w:type="dxa"/>
          </w:tcPr>
          <w:p w:rsidR="006400F6" w:rsidRPr="00F73779" w:rsidRDefault="006400F6">
            <w:pPr>
              <w:pStyle w:val="Underskrifter"/>
              <w:shd w:val="clear" w:color="000000" w:fill="auto"/>
            </w:pPr>
          </w:p>
        </w:tc>
      </w:tr>
      <w:tr w:rsidR="00000000" w:rsidRPr="00F73779">
        <w:trPr>
          <w:cantSplit/>
        </w:trPr>
        <w:tc>
          <w:tcPr>
            <w:tcW w:w="3046" w:type="dxa"/>
          </w:tcPr>
          <w:p w:rsidR="006400F6" w:rsidRPr="00F73779" w:rsidRDefault="006400F6">
            <w:pPr>
              <w:pStyle w:val="Underskrifter"/>
              <w:shd w:val="clear" w:color="000000" w:fill="auto"/>
            </w:pPr>
            <w:r w:rsidRPr="00F73779">
              <w:t>Ulla Andersson (V)</w:t>
            </w:r>
          </w:p>
        </w:tc>
        <w:tc>
          <w:tcPr>
            <w:tcW w:w="3046" w:type="dxa"/>
          </w:tcPr>
          <w:p w:rsidR="006400F6" w:rsidRPr="00F73779" w:rsidRDefault="006400F6">
            <w:pPr>
              <w:pStyle w:val="Underskrifter"/>
              <w:shd w:val="clear" w:color="000000" w:fill="auto"/>
            </w:pPr>
            <w:r w:rsidRPr="00F73779">
              <w:t>Hans Linde (V)</w:t>
            </w:r>
          </w:p>
        </w:tc>
      </w:tr>
      <w:tr w:rsidR="00000000" w:rsidRPr="00F73779">
        <w:trPr>
          <w:cantSplit/>
        </w:trPr>
        <w:tc>
          <w:tcPr>
            <w:tcW w:w="3046" w:type="dxa"/>
          </w:tcPr>
          <w:p w:rsidR="006400F6" w:rsidRPr="00F73779" w:rsidRDefault="006400F6">
            <w:pPr>
              <w:pStyle w:val="Underskrifter"/>
              <w:shd w:val="clear" w:color="000000" w:fill="auto"/>
            </w:pPr>
            <w:r w:rsidRPr="00F73779">
              <w:t>Eva Olofsson (V)</w:t>
            </w:r>
          </w:p>
        </w:tc>
        <w:tc>
          <w:tcPr>
            <w:tcW w:w="3046" w:type="dxa"/>
          </w:tcPr>
          <w:p w:rsidR="006400F6" w:rsidRPr="00F73779" w:rsidRDefault="006400F6">
            <w:pPr>
              <w:pStyle w:val="Underskrifter"/>
              <w:shd w:val="clear" w:color="000000" w:fill="auto"/>
            </w:pPr>
            <w:r w:rsidRPr="00F73779">
              <w:t>Jonas Sjöstedt (V)</w:t>
            </w:r>
          </w:p>
        </w:tc>
      </w:tr>
      <w:tr w:rsidR="00000000" w:rsidRPr="00F73779">
        <w:trPr>
          <w:cantSplit/>
        </w:trPr>
        <w:tc>
          <w:tcPr>
            <w:tcW w:w="3046" w:type="dxa"/>
          </w:tcPr>
          <w:p w:rsidR="006400F6" w:rsidRPr="00F73779" w:rsidRDefault="006400F6">
            <w:pPr>
              <w:pStyle w:val="Underskrifter"/>
              <w:shd w:val="clear" w:color="000000" w:fill="auto"/>
            </w:pPr>
            <w:r w:rsidRPr="00F73779">
              <w:t>Mia Sydow Mölleby (V)</w:t>
            </w:r>
          </w:p>
        </w:tc>
        <w:tc>
          <w:tcPr>
            <w:tcW w:w="3046" w:type="dxa"/>
          </w:tcPr>
          <w:p w:rsidR="006400F6" w:rsidRPr="00F73779" w:rsidRDefault="006400F6">
            <w:pPr>
              <w:pStyle w:val="Underskrifter"/>
              <w:shd w:val="clear" w:color="000000" w:fill="auto"/>
            </w:pPr>
            <w:r w:rsidRPr="00F73779">
              <w:t>Lena Olsson (V)</w:t>
            </w:r>
          </w:p>
        </w:tc>
      </w:tr>
    </w:tbl>
    <w:p w:rsidR="006400F6" w:rsidRPr="00F73779" w:rsidRDefault="006400F6">
      <w:pPr>
        <w:pStyle w:val="Normaltindrag"/>
        <w:shd w:val="clear" w:color="000000" w:fill="auto"/>
      </w:pPr>
    </w:p>
    <w:sectPr w:rsidR="006400F6" w:rsidRPr="00F737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0F6" w:rsidRPr="00F73779" w:rsidRDefault="006400F6">
      <w:r w:rsidRPr="00F73779">
        <w:separator/>
      </w:r>
    </w:p>
  </w:endnote>
  <w:endnote w:type="continuationSeparator" w:id="0">
    <w:p w:rsidR="006400F6" w:rsidRPr="00F73779" w:rsidRDefault="006400F6">
      <w:r w:rsidRPr="00F73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0F6" w:rsidRPr="00F73779" w:rsidRDefault="00F73779">
    <w:pPr>
      <w:pStyle w:val="Sidfot"/>
    </w:pPr>
    <w:r w:rsidRPr="00F73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816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F6" w:rsidRDefault="006400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0F6" w:rsidRDefault="006400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0F6" w:rsidRPr="00F73779" w:rsidRDefault="00F73779">
    <w:pPr>
      <w:pStyle w:val="Sidfot"/>
    </w:pPr>
    <w:r w:rsidRPr="00F73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116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F6" w:rsidRDefault="006400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0F6" w:rsidRDefault="006400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0F6" w:rsidRPr="00F73779" w:rsidRDefault="00F73779">
    <w:pPr>
      <w:pStyle w:val="Sidfot"/>
    </w:pPr>
    <w:r w:rsidRPr="00F73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733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F6" w:rsidRDefault="006400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0F6" w:rsidRDefault="006400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0F6" w:rsidRPr="00F73779" w:rsidRDefault="006400F6">
      <w:r w:rsidRPr="00F73779">
        <w:separator/>
      </w:r>
    </w:p>
  </w:footnote>
  <w:footnote w:type="continuationSeparator" w:id="0">
    <w:p w:rsidR="006400F6" w:rsidRPr="00F73779" w:rsidRDefault="006400F6">
      <w:r w:rsidRPr="00F73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0F6" w:rsidRPr="00F73779" w:rsidRDefault="00F73779">
    <w:pPr>
      <w:pStyle w:val="Sidhuvud"/>
    </w:pPr>
    <w:r w:rsidRPr="00F73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973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F6" w:rsidRDefault="006400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0F6" w:rsidRDefault="006400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0F6" w:rsidRPr="00F73779" w:rsidRDefault="00F73779">
    <w:pPr>
      <w:pStyle w:val="Sidhuvud"/>
    </w:pPr>
    <w:r w:rsidRPr="00F73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806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F6" w:rsidRDefault="006400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0F6" w:rsidRDefault="006400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0F6" w:rsidRPr="00F73779" w:rsidRDefault="006400F6">
    <w:pPr>
      <w:pStyle w:val="FSHNormal"/>
      <w:tabs>
        <w:tab w:val="right" w:pos="5840"/>
      </w:tabs>
    </w:pPr>
    <w:r w:rsidRPr="00F73779">
      <w:br/>
    </w:r>
    <w:r w:rsidRPr="00F73779">
      <w:fldChar w:fldCharType="begin" w:fldLock="1"/>
    </w:r>
    <w:r w:rsidRPr="00F73779">
      <w:instrText xml:space="preserve"> DOCPROPERTY</w:instrText>
    </w:r>
    <w:r w:rsidRPr="00F73779">
      <w:rPr>
        <w:sz w:val="18"/>
      </w:rPr>
      <w:instrText xml:space="preserve"> "YearUser" *\charformat </w:instrText>
    </w:r>
    <w:r w:rsidRPr="00F73779">
      <w:fldChar w:fldCharType="separate"/>
    </w:r>
    <w:r w:rsidRPr="00F73779">
      <w:t>2011/12</w:t>
    </w:r>
    <w:r w:rsidRPr="00F73779">
      <w:fldChar w:fldCharType="end"/>
    </w:r>
    <w:r w:rsidRPr="00F73779">
      <w:t xml:space="preserve"> </w:t>
    </w:r>
    <w:r w:rsidRPr="00F73779">
      <w:tab/>
      <w:t xml:space="preserve">mnr: </w:t>
    </w:r>
    <w:r w:rsidRPr="00F73779">
      <w:fldChar w:fldCharType="begin" w:fldLock="1"/>
    </w:r>
    <w:r w:rsidRPr="00F73779">
      <w:instrText xml:space="preserve"> DOCPROPERTY</w:instrText>
    </w:r>
    <w:r w:rsidRPr="00F73779">
      <w:rPr>
        <w:sz w:val="18"/>
      </w:rPr>
      <w:instrText xml:space="preserve"> "Motionsnummer" *\charformat </w:instrText>
    </w:r>
    <w:r w:rsidRPr="00F73779">
      <w:fldChar w:fldCharType="separate"/>
    </w:r>
    <w:r w:rsidRPr="00F73779">
      <w:t>Ju337</w:t>
    </w:r>
    <w:r w:rsidRPr="00F73779">
      <w:fldChar w:fldCharType="end"/>
    </w:r>
    <w:r w:rsidRPr="00F73779">
      <w:br/>
    </w:r>
    <w:r w:rsidRPr="00F73779">
      <w:fldChar w:fldCharType="begin" w:fldLock="1"/>
    </w:r>
    <w:r w:rsidRPr="00F73779">
      <w:instrText xml:space="preserve"> DOCPROPERTY</w:instrText>
    </w:r>
    <w:r w:rsidRPr="00F73779">
      <w:rPr>
        <w:sz w:val="18"/>
      </w:rPr>
      <w:instrText xml:space="preserve"> "Samling" *\charformat </w:instrText>
    </w:r>
    <w:r w:rsidRPr="00F73779">
      <w:fldChar w:fldCharType="end"/>
    </w:r>
    <w:r w:rsidRPr="00F73779">
      <w:tab/>
      <w:t xml:space="preserve">pnr: </w:t>
    </w:r>
    <w:r w:rsidRPr="00F73779">
      <w:fldChar w:fldCharType="begin" w:fldLock="1"/>
    </w:r>
    <w:r w:rsidRPr="00F73779">
      <w:instrText xml:space="preserve"> DOCPROPERTY</w:instrText>
    </w:r>
    <w:r w:rsidRPr="00F73779">
      <w:rPr>
        <w:sz w:val="18"/>
      </w:rPr>
      <w:instrText xml:space="preserve"> "Partinummer" *\charformat </w:instrText>
    </w:r>
    <w:r w:rsidRPr="00F73779">
      <w:fldChar w:fldCharType="separate"/>
    </w:r>
    <w:r w:rsidRPr="00F73779">
      <w:t>V539</w:t>
    </w:r>
    <w:r w:rsidRPr="00F73779">
      <w:fldChar w:fldCharType="end"/>
    </w:r>
  </w:p>
  <w:p w:rsidR="006400F6" w:rsidRPr="00F73779" w:rsidRDefault="006400F6">
    <w:pPr>
      <w:pStyle w:val="FSHRub1"/>
    </w:pPr>
    <w:r w:rsidRPr="00F73779">
      <w:t>Motion till riksdagen</w:t>
    </w:r>
    <w:r w:rsidRPr="00F73779">
      <w:br/>
    </w:r>
    <w:r w:rsidRPr="00F73779">
      <w:fldChar w:fldCharType="begin" w:fldLock="1"/>
    </w:r>
    <w:r w:rsidRPr="00F73779">
      <w:instrText xml:space="preserve"> DOCPROPERTY "YearUser" *\charformat </w:instrText>
    </w:r>
    <w:r w:rsidRPr="00F73779">
      <w:fldChar w:fldCharType="separate"/>
    </w:r>
    <w:r w:rsidRPr="00F73779">
      <w:t>2011/12</w:t>
    </w:r>
    <w:r w:rsidRPr="00F73779">
      <w:fldChar w:fldCharType="end"/>
    </w:r>
    <w:r w:rsidRPr="00F73779">
      <w:t>:</w:t>
    </w:r>
    <w:r w:rsidRPr="00F73779">
      <w:fldChar w:fldCharType="begin" w:fldLock="1"/>
    </w:r>
    <w:r w:rsidRPr="00F73779">
      <w:instrText xml:space="preserve"> DOCPROPERTY "Motionsnummer" *\charformat </w:instrText>
    </w:r>
    <w:r w:rsidRPr="00F73779">
      <w:fldChar w:fldCharType="separate"/>
    </w:r>
    <w:r w:rsidRPr="00F73779">
      <w:t>Ju337</w:t>
    </w:r>
    <w:r w:rsidRPr="00F73779">
      <w:fldChar w:fldCharType="end"/>
    </w:r>
  </w:p>
  <w:p w:rsidR="006400F6" w:rsidRPr="00F73779" w:rsidRDefault="006400F6">
    <w:pPr>
      <w:pStyle w:val="FSHNormalS5"/>
    </w:pPr>
    <w:r w:rsidRPr="00F73779">
      <w:fldChar w:fldCharType="begin" w:fldLock="1"/>
    </w:r>
    <w:r w:rsidRPr="00F73779">
      <w:instrText xml:space="preserve"> DOCPROPERTY "MotionarText" *\charformat </w:instrText>
    </w:r>
    <w:r w:rsidRPr="00F73779">
      <w:fldChar w:fldCharType="separate"/>
    </w:r>
    <w:r w:rsidRPr="00F73779">
      <w:t>av Lars Ohly m.fl. (V)</w:t>
    </w:r>
    <w:r w:rsidRPr="00F73779">
      <w:fldChar w:fldCharType="end"/>
    </w:r>
    <w:r w:rsidRPr="00F73779">
      <w:br/>
    </w:r>
    <w:r w:rsidRPr="00F73779">
      <w:fldChar w:fldCharType="begin" w:fldLock="1"/>
    </w:r>
    <w:r w:rsidRPr="00F73779">
      <w:instrText xml:space="preserve"> DOCPROPERTY "SvarFrasKort" *\charformat </w:instrText>
    </w:r>
    <w:r w:rsidRPr="00F73779">
      <w:fldChar w:fldCharType="end"/>
    </w:r>
  </w:p>
  <w:p w:rsidR="006400F6" w:rsidRPr="00F73779" w:rsidRDefault="006400F6">
    <w:pPr>
      <w:pStyle w:val="FSHTitel"/>
    </w:pPr>
    <w:r w:rsidRPr="00F73779">
      <w:fldChar w:fldCharType="begin" w:fldLock="1"/>
    </w:r>
    <w:r w:rsidRPr="00F73779">
      <w:instrText xml:space="preserve"> DOCPROPERTY</w:instrText>
    </w:r>
    <w:r w:rsidRPr="00F73779">
      <w:rPr>
        <w:sz w:val="18"/>
      </w:rPr>
      <w:instrText xml:space="preserve"> "RubrikSvar" *\charformat </w:instrText>
    </w:r>
    <w:r w:rsidRPr="00F73779">
      <w:fldChar w:fldCharType="separate"/>
    </w:r>
    <w:r w:rsidRPr="00F73779">
      <w:t>Utgiftsområde 4 Rättsväsendet</w:t>
    </w:r>
    <w:r w:rsidRPr="00F73779">
      <w:fldChar w:fldCharType="end"/>
    </w:r>
  </w:p>
  <w:p w:rsidR="006400F6" w:rsidRPr="00F73779" w:rsidRDefault="006400F6">
    <w:pPr>
      <w:pStyle w:val="Normal00"/>
    </w:pPr>
  </w:p>
  <w:p w:rsidR="006400F6" w:rsidRPr="00F73779" w:rsidRDefault="006400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32400FBA">
      <w:start w:val="1"/>
      <w:numFmt w:val="bullet"/>
      <w:lvlText w:val="?"/>
      <w:lvlJc w:val="left"/>
      <w:pPr>
        <w:tabs>
          <w:tab w:val="num" w:pos="720"/>
        </w:tabs>
        <w:ind w:left="720" w:hanging="360"/>
      </w:pPr>
      <w:rPr>
        <w:rFonts w:ascii="Wingdings" w:hAnsi="Wingdings" w:hint="default"/>
      </w:rPr>
    </w:lvl>
    <w:lvl w:ilvl="1" w:tplc="8D821C16" w:tentative="1">
      <w:start w:val="1"/>
      <w:numFmt w:val="bullet"/>
      <w:lvlText w:val="o"/>
      <w:lvlJc w:val="left"/>
      <w:pPr>
        <w:tabs>
          <w:tab w:val="num" w:pos="1440"/>
        </w:tabs>
        <w:ind w:left="1440" w:hanging="360"/>
      </w:pPr>
      <w:rPr>
        <w:rFonts w:ascii="Courier New" w:hAnsi="Courier New" w:cs="Courier New" w:hint="default"/>
      </w:rPr>
    </w:lvl>
    <w:lvl w:ilvl="2" w:tplc="F912AF1C" w:tentative="1">
      <w:start w:val="1"/>
      <w:numFmt w:val="bullet"/>
      <w:lvlText w:val="?"/>
      <w:lvlJc w:val="left"/>
      <w:pPr>
        <w:tabs>
          <w:tab w:val="num" w:pos="2160"/>
        </w:tabs>
        <w:ind w:left="2160" w:hanging="360"/>
      </w:pPr>
      <w:rPr>
        <w:rFonts w:ascii="Wingdings" w:hAnsi="Wingdings" w:hint="default"/>
      </w:rPr>
    </w:lvl>
    <w:lvl w:ilvl="3" w:tplc="4A24C2F8" w:tentative="1">
      <w:start w:val="1"/>
      <w:numFmt w:val="bullet"/>
      <w:lvlText w:val="?"/>
      <w:lvlJc w:val="left"/>
      <w:pPr>
        <w:tabs>
          <w:tab w:val="num" w:pos="2880"/>
        </w:tabs>
        <w:ind w:left="2880" w:hanging="360"/>
      </w:pPr>
      <w:rPr>
        <w:rFonts w:ascii="Symbol" w:hAnsi="Symbol" w:hint="default"/>
      </w:rPr>
    </w:lvl>
    <w:lvl w:ilvl="4" w:tplc="434E7B5C" w:tentative="1">
      <w:start w:val="1"/>
      <w:numFmt w:val="bullet"/>
      <w:lvlText w:val="o"/>
      <w:lvlJc w:val="left"/>
      <w:pPr>
        <w:tabs>
          <w:tab w:val="num" w:pos="3600"/>
        </w:tabs>
        <w:ind w:left="3600" w:hanging="360"/>
      </w:pPr>
      <w:rPr>
        <w:rFonts w:ascii="Courier New" w:hAnsi="Courier New" w:cs="Courier New" w:hint="default"/>
      </w:rPr>
    </w:lvl>
    <w:lvl w:ilvl="5" w:tplc="E298A384" w:tentative="1">
      <w:start w:val="1"/>
      <w:numFmt w:val="bullet"/>
      <w:lvlText w:val="?"/>
      <w:lvlJc w:val="left"/>
      <w:pPr>
        <w:tabs>
          <w:tab w:val="num" w:pos="4320"/>
        </w:tabs>
        <w:ind w:left="4320" w:hanging="360"/>
      </w:pPr>
      <w:rPr>
        <w:rFonts w:ascii="Wingdings" w:hAnsi="Wingdings" w:hint="default"/>
      </w:rPr>
    </w:lvl>
    <w:lvl w:ilvl="6" w:tplc="A44EED72" w:tentative="1">
      <w:start w:val="1"/>
      <w:numFmt w:val="bullet"/>
      <w:lvlText w:val="?"/>
      <w:lvlJc w:val="left"/>
      <w:pPr>
        <w:tabs>
          <w:tab w:val="num" w:pos="5040"/>
        </w:tabs>
        <w:ind w:left="5040" w:hanging="360"/>
      </w:pPr>
      <w:rPr>
        <w:rFonts w:ascii="Symbol" w:hAnsi="Symbol" w:hint="default"/>
      </w:rPr>
    </w:lvl>
    <w:lvl w:ilvl="7" w:tplc="CC4284DE" w:tentative="1">
      <w:start w:val="1"/>
      <w:numFmt w:val="bullet"/>
      <w:lvlText w:val="o"/>
      <w:lvlJc w:val="left"/>
      <w:pPr>
        <w:tabs>
          <w:tab w:val="num" w:pos="5760"/>
        </w:tabs>
        <w:ind w:left="5760" w:hanging="360"/>
      </w:pPr>
      <w:rPr>
        <w:rFonts w:ascii="Courier New" w:hAnsi="Courier New" w:cs="Courier New" w:hint="default"/>
      </w:rPr>
    </w:lvl>
    <w:lvl w:ilvl="8" w:tplc="9CB2C1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CB67F3C">
      <w:start w:val="1"/>
      <w:numFmt w:val="decimal"/>
      <w:lvlText w:val="%1."/>
      <w:lvlJc w:val="left"/>
      <w:pPr>
        <w:tabs>
          <w:tab w:val="num" w:pos="340"/>
        </w:tabs>
        <w:ind w:left="340" w:hanging="340"/>
      </w:pPr>
      <w:rPr>
        <w:rFonts w:cs="Times New Roman"/>
      </w:rPr>
    </w:lvl>
    <w:lvl w:ilvl="1" w:tplc="A3FA1A2A" w:tentative="1">
      <w:start w:val="1"/>
      <w:numFmt w:val="lowerLetter"/>
      <w:lvlText w:val="%2."/>
      <w:lvlJc w:val="left"/>
      <w:pPr>
        <w:tabs>
          <w:tab w:val="num" w:pos="1440"/>
        </w:tabs>
        <w:ind w:left="1440" w:hanging="360"/>
      </w:pPr>
      <w:rPr>
        <w:rFonts w:cs="Times New Roman"/>
      </w:rPr>
    </w:lvl>
    <w:lvl w:ilvl="2" w:tplc="2AD0C2B8" w:tentative="1">
      <w:start w:val="1"/>
      <w:numFmt w:val="lowerRoman"/>
      <w:lvlText w:val="%3."/>
      <w:lvlJc w:val="right"/>
      <w:pPr>
        <w:tabs>
          <w:tab w:val="num" w:pos="2160"/>
        </w:tabs>
        <w:ind w:left="2160" w:hanging="180"/>
      </w:pPr>
      <w:rPr>
        <w:rFonts w:cs="Times New Roman"/>
      </w:rPr>
    </w:lvl>
    <w:lvl w:ilvl="3" w:tplc="B9CEBBAC" w:tentative="1">
      <w:start w:val="1"/>
      <w:numFmt w:val="decimal"/>
      <w:lvlText w:val="%4."/>
      <w:lvlJc w:val="left"/>
      <w:pPr>
        <w:tabs>
          <w:tab w:val="num" w:pos="2880"/>
        </w:tabs>
        <w:ind w:left="2880" w:hanging="360"/>
      </w:pPr>
      <w:rPr>
        <w:rFonts w:cs="Times New Roman"/>
      </w:rPr>
    </w:lvl>
    <w:lvl w:ilvl="4" w:tplc="4C5E1036" w:tentative="1">
      <w:start w:val="1"/>
      <w:numFmt w:val="lowerLetter"/>
      <w:lvlText w:val="%5."/>
      <w:lvlJc w:val="left"/>
      <w:pPr>
        <w:tabs>
          <w:tab w:val="num" w:pos="3600"/>
        </w:tabs>
        <w:ind w:left="3600" w:hanging="360"/>
      </w:pPr>
      <w:rPr>
        <w:rFonts w:cs="Times New Roman"/>
      </w:rPr>
    </w:lvl>
    <w:lvl w:ilvl="5" w:tplc="37563686" w:tentative="1">
      <w:start w:val="1"/>
      <w:numFmt w:val="lowerRoman"/>
      <w:lvlText w:val="%6."/>
      <w:lvlJc w:val="right"/>
      <w:pPr>
        <w:tabs>
          <w:tab w:val="num" w:pos="4320"/>
        </w:tabs>
        <w:ind w:left="4320" w:hanging="180"/>
      </w:pPr>
      <w:rPr>
        <w:rFonts w:cs="Times New Roman"/>
      </w:rPr>
    </w:lvl>
    <w:lvl w:ilvl="6" w:tplc="003425EC" w:tentative="1">
      <w:start w:val="1"/>
      <w:numFmt w:val="decimal"/>
      <w:lvlText w:val="%7."/>
      <w:lvlJc w:val="left"/>
      <w:pPr>
        <w:tabs>
          <w:tab w:val="num" w:pos="5040"/>
        </w:tabs>
        <w:ind w:left="5040" w:hanging="360"/>
      </w:pPr>
      <w:rPr>
        <w:rFonts w:cs="Times New Roman"/>
      </w:rPr>
    </w:lvl>
    <w:lvl w:ilvl="7" w:tplc="51685E20" w:tentative="1">
      <w:start w:val="1"/>
      <w:numFmt w:val="lowerLetter"/>
      <w:lvlText w:val="%8."/>
      <w:lvlJc w:val="left"/>
      <w:pPr>
        <w:tabs>
          <w:tab w:val="num" w:pos="5760"/>
        </w:tabs>
        <w:ind w:left="5760" w:hanging="360"/>
      </w:pPr>
      <w:rPr>
        <w:rFonts w:cs="Times New Roman"/>
      </w:rPr>
    </w:lvl>
    <w:lvl w:ilvl="8" w:tplc="69042C9E"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ECF2C4C"/>
    <w:multiLevelType w:val="multilevel"/>
    <w:tmpl w:val="CFA475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91143038">
    <w:abstractNumId w:val="3"/>
  </w:num>
  <w:num w:numId="2" w16cid:durableId="2055421247">
    <w:abstractNumId w:val="2"/>
  </w:num>
  <w:num w:numId="3" w16cid:durableId="1702852797">
    <w:abstractNumId w:val="1"/>
  </w:num>
  <w:num w:numId="4" w16cid:durableId="1138719708">
    <w:abstractNumId w:val="0"/>
  </w:num>
  <w:num w:numId="5" w16cid:durableId="62414367">
    <w:abstractNumId w:val="7"/>
  </w:num>
  <w:num w:numId="6" w16cid:durableId="615214846">
    <w:abstractNumId w:val="6"/>
  </w:num>
  <w:num w:numId="7" w16cid:durableId="1358964020">
    <w:abstractNumId w:val="5"/>
  </w:num>
  <w:num w:numId="8" w16cid:durableId="1718233796">
    <w:abstractNumId w:val="4"/>
  </w:num>
  <w:num w:numId="9" w16cid:durableId="1761411494">
    <w:abstractNumId w:val="8"/>
  </w:num>
  <w:num w:numId="10" w16cid:durableId="1816332149">
    <w:abstractNumId w:val="9"/>
  </w:num>
  <w:num w:numId="11" w16cid:durableId="1008285781">
    <w:abstractNumId w:val="10"/>
  </w:num>
  <w:num w:numId="12" w16cid:durableId="1620258321">
    <w:abstractNumId w:val="13"/>
  </w:num>
  <w:num w:numId="13" w16cid:durableId="112216812">
    <w:abstractNumId w:val="15"/>
  </w:num>
  <w:num w:numId="14" w16cid:durableId="258484620">
    <w:abstractNumId w:val="16"/>
  </w:num>
  <w:num w:numId="15" w16cid:durableId="701515839">
    <w:abstractNumId w:val="11"/>
  </w:num>
  <w:num w:numId="16" w16cid:durableId="1385443846">
    <w:abstractNumId w:val="18"/>
  </w:num>
  <w:num w:numId="17" w16cid:durableId="1208879800">
    <w:abstractNumId w:val="17"/>
  </w:num>
  <w:num w:numId="18" w16cid:durableId="1596281358">
    <w:abstractNumId w:val="14"/>
  </w:num>
  <w:num w:numId="19" w16cid:durableId="774522414">
    <w:abstractNumId w:val="12"/>
  </w:num>
  <w:num w:numId="20" w16cid:durableId="4125545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53F0F50-6F1F-4A36-9FEB-9B3CE8CAF153},{9757EBE9-5352-471C-B04A-E35C112BD16A},{00468181-7122-42C5-877E-69489063FE94},{A3B7BC79-15BA-4C82-9CD3-12632F50DBA0},{DA248C4D-AFF6-4AC5-94CA-AED252C8C8C8},{A7313DCE-0B34-4C27-86F8-BEBB9AB9F316},{B8443C99-B93B-402A-AFCA-57EA04B1EEFE}"/>
  </w:docVars>
  <w:rsids>
    <w:rsidRoot w:val="00E919DC"/>
    <w:rsid w:val="006400F6"/>
    <w:rsid w:val="00E919DC"/>
    <w:rsid w:val="00F737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65A23B-B97B-4633-BDFF-2718B5A8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3441</Characters>
  <Application>Microsoft Office Word</Application>
  <DocSecurity>4</DocSecurity>
  <Lines>101</Lines>
  <Paragraphs>61</Paragraphs>
  <ScaleCrop>false</ScaleCrop>
  <HeadingPairs>
    <vt:vector size="2" baseType="variant">
      <vt:variant>
        <vt:lpstr>Rubrik</vt:lpstr>
      </vt:variant>
      <vt:variant>
        <vt:i4>1</vt:i4>
      </vt:variant>
    </vt:vector>
  </HeadingPairs>
  <TitlesOfParts>
    <vt:vector size="1" baseType="lpstr">
      <vt:lpstr>V539</vt:lpstr>
    </vt:vector>
  </TitlesOfParts>
  <Company>Riksdagen</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V539</dc:title>
  <dc:subject>V539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2011-10-26T07:45:00Z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20112012000000000086000005390080</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20112012000000000086000005390080</vt:lpwstr>
  </property>
  <property fmtid="{D5CDD505-2E9C-101B-9397-08002B2CF9AE}" pid="50" name="nummer">
    <vt:lpwstr>337</vt:lpwstr>
  </property>
  <property fmtid="{D5CDD505-2E9C-101B-9397-08002B2CF9AE}" pid="51" name="utskottsbeteckning">
    <vt:lpwstr>Ju</vt:lpwstr>
  </property>
  <property fmtid="{D5CDD505-2E9C-101B-9397-08002B2CF9AE}" pid="52" name="GlobalUID">
    <vt:lpwstr>{C3B9FD76-71BC-4DC3-9502-46620B8A21C1}</vt:lpwstr>
  </property>
  <property fmtid="{D5CDD505-2E9C-101B-9397-08002B2CF9AE}" pid="53" name="Överföringar">
    <vt:i4>0</vt:i4>
  </property>
  <property fmtid="{D5CDD505-2E9C-101B-9397-08002B2CF9AE}" pid="54" name="Checksum">
    <vt:lpwstr>*1005780727214*</vt:lpwstr>
  </property>
  <property fmtid="{D5CDD505-2E9C-101B-9397-08002B2CF9AE}" pid="55" name="skuggnummer">
    <vt:lpwstr>1918</vt:lpwstr>
  </property>
  <property fmtid="{D5CDD505-2E9C-101B-9397-08002B2CF9AE}" pid="56" name="urixVersion">
    <vt:lpwstr>4.5.0.25</vt:lpwstr>
  </property>
  <property fmtid="{D5CDD505-2E9C-101B-9397-08002B2CF9AE}" pid="57" name="urixOrigin">
    <vt:lpwstr>120423 14:50:20.480</vt:lpwstr>
  </property>
  <property fmtid="{D5CDD505-2E9C-101B-9397-08002B2CF9AE}" pid="58" name="urixGuid">
    <vt:lpwstr>{5AC793E5-755E-4394-8A6E-88DCC699A65F}</vt:lpwstr>
  </property>
</Properties>
</file>