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EFB" w:rsidRPr="008D381C" w:rsidRDefault="009C4EFB">
      <w:pPr>
        <w:pStyle w:val="Frslagsrubrik"/>
        <w:shd w:val="clear" w:color="000000" w:fill="auto"/>
      </w:pPr>
      <w:r w:rsidRPr="008D381C">
        <w:t>Förslag till riksdagsbeslut</w:t>
      </w:r>
    </w:p>
    <w:p w:rsidR="009C4EFB" w:rsidRPr="008D381C" w:rsidRDefault="009C4EFB">
      <w:pPr>
        <w:pStyle w:val="Hemstlatt"/>
        <w:shd w:val="clear" w:color="000000" w:fill="auto"/>
        <w:ind w:left="0"/>
      </w:pPr>
      <w:r w:rsidRPr="008D381C">
        <w:t>Riksdagen anvisar med följande ändringar i förhålla</w:t>
      </w:r>
      <w:r w:rsidRPr="008D381C">
        <w:t>n</w:t>
      </w:r>
      <w:r w:rsidRPr="008D381C">
        <w:t>de till regeringens förslag anslagen under utgiftsområde 18 Samhällsplan</w:t>
      </w:r>
      <w:r w:rsidRPr="008D381C">
        <w:t>e</w:t>
      </w:r>
      <w:r w:rsidRPr="008D381C">
        <w:t>ring, byggande samt konsumentpolitik enligt uppställning:</w:t>
      </w:r>
    </w:p>
    <w:tbl>
      <w:tblPr>
        <w:tblW w:w="606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11"/>
        <w:gridCol w:w="1584"/>
        <w:gridCol w:w="1920"/>
        <w:gridCol w:w="1852"/>
      </w:tblGrid>
      <w:tr w:rsidR="00000000" w:rsidRPr="008D381C">
        <w:tc>
          <w:tcPr>
            <w:tcW w:w="711" w:type="dxa"/>
            <w:tcBorders>
              <w:top w:val="single" w:sz="4" w:space="0" w:color="auto"/>
              <w:bottom w:val="single" w:sz="4" w:space="0" w:color="auto"/>
            </w:tcBorders>
          </w:tcPr>
          <w:p w:rsidR="009C4EFB" w:rsidRPr="008D381C" w:rsidRDefault="009C4EFB">
            <w:pPr>
              <w:shd w:val="clear" w:color="000000" w:fill="auto"/>
              <w:spacing w:before="60" w:line="200" w:lineRule="exact"/>
              <w:rPr>
                <w:b/>
                <w:sz w:val="16"/>
                <w:szCs w:val="16"/>
              </w:rPr>
            </w:pPr>
            <w:r w:rsidRPr="008D381C">
              <w:rPr>
                <w:b/>
                <w:sz w:val="16"/>
                <w:szCs w:val="16"/>
              </w:rPr>
              <w:t>Anslag</w:t>
            </w:r>
          </w:p>
        </w:tc>
        <w:tc>
          <w:tcPr>
            <w:tcW w:w="1584" w:type="dxa"/>
            <w:tcBorders>
              <w:top w:val="single" w:sz="4" w:space="0" w:color="auto"/>
              <w:bottom w:val="single" w:sz="4" w:space="0" w:color="auto"/>
            </w:tcBorders>
          </w:tcPr>
          <w:p w:rsidR="009C4EFB" w:rsidRPr="008D381C" w:rsidRDefault="009C4EFB">
            <w:pPr>
              <w:shd w:val="clear" w:color="000000" w:fill="auto"/>
              <w:spacing w:before="60" w:line="200" w:lineRule="exact"/>
              <w:rPr>
                <w:b/>
                <w:sz w:val="16"/>
                <w:szCs w:val="16"/>
              </w:rPr>
            </w:pPr>
          </w:p>
        </w:tc>
        <w:tc>
          <w:tcPr>
            <w:tcW w:w="1920" w:type="dxa"/>
            <w:tcBorders>
              <w:top w:val="single" w:sz="4" w:space="0" w:color="auto"/>
              <w:bottom w:val="single" w:sz="4" w:space="0" w:color="auto"/>
            </w:tcBorders>
          </w:tcPr>
          <w:p w:rsidR="009C4EFB" w:rsidRPr="008D381C" w:rsidRDefault="009C4EFB">
            <w:pPr>
              <w:shd w:val="clear" w:color="000000" w:fill="auto"/>
              <w:spacing w:before="60" w:line="200" w:lineRule="exact"/>
              <w:jc w:val="right"/>
              <w:rPr>
                <w:b/>
                <w:sz w:val="16"/>
                <w:szCs w:val="16"/>
              </w:rPr>
            </w:pPr>
            <w:r w:rsidRPr="008D381C">
              <w:rPr>
                <w:b/>
                <w:sz w:val="16"/>
                <w:szCs w:val="16"/>
              </w:rPr>
              <w:t>Regeringens förslag (tkr)</w:t>
            </w:r>
          </w:p>
        </w:tc>
        <w:tc>
          <w:tcPr>
            <w:tcW w:w="1852" w:type="dxa"/>
            <w:tcBorders>
              <w:top w:val="single" w:sz="4" w:space="0" w:color="auto"/>
              <w:bottom w:val="single" w:sz="4" w:space="0" w:color="auto"/>
            </w:tcBorders>
          </w:tcPr>
          <w:p w:rsidR="009C4EFB" w:rsidRPr="008D381C" w:rsidRDefault="009C4EFB">
            <w:pPr>
              <w:shd w:val="clear" w:color="000000" w:fill="auto"/>
              <w:spacing w:before="60" w:line="200" w:lineRule="exact"/>
              <w:jc w:val="right"/>
              <w:rPr>
                <w:b/>
                <w:sz w:val="16"/>
                <w:szCs w:val="16"/>
              </w:rPr>
            </w:pPr>
            <w:r w:rsidRPr="008D381C">
              <w:rPr>
                <w:b/>
                <w:sz w:val="16"/>
                <w:szCs w:val="16"/>
              </w:rPr>
              <w:t>Anslagsförändring (tkr)</w:t>
            </w:r>
          </w:p>
        </w:tc>
      </w:tr>
      <w:tr w:rsidR="00000000" w:rsidRPr="008D381C">
        <w:tc>
          <w:tcPr>
            <w:tcW w:w="711" w:type="dxa"/>
            <w:tcBorders>
              <w:top w:val="single" w:sz="4" w:space="0" w:color="auto"/>
            </w:tcBorders>
          </w:tcPr>
          <w:p w:rsidR="009C4EFB" w:rsidRPr="008D381C" w:rsidRDefault="009C4EFB">
            <w:pPr>
              <w:shd w:val="clear" w:color="000000" w:fill="auto"/>
              <w:spacing w:before="60" w:line="200" w:lineRule="exact"/>
              <w:rPr>
                <w:sz w:val="16"/>
                <w:szCs w:val="16"/>
              </w:rPr>
            </w:pPr>
            <w:r w:rsidRPr="008D381C">
              <w:rPr>
                <w:sz w:val="16"/>
                <w:szCs w:val="16"/>
              </w:rPr>
              <w:t>2:1</w:t>
            </w:r>
          </w:p>
        </w:tc>
        <w:tc>
          <w:tcPr>
            <w:tcW w:w="1584" w:type="dxa"/>
            <w:tcBorders>
              <w:top w:val="single" w:sz="4" w:space="0" w:color="auto"/>
            </w:tcBorders>
          </w:tcPr>
          <w:p w:rsidR="009C4EFB" w:rsidRPr="008D381C" w:rsidRDefault="009C4EFB">
            <w:pPr>
              <w:shd w:val="clear" w:color="000000" w:fill="auto"/>
              <w:spacing w:before="60" w:line="200" w:lineRule="exact"/>
              <w:rPr>
                <w:sz w:val="16"/>
                <w:szCs w:val="16"/>
              </w:rPr>
            </w:pPr>
            <w:r w:rsidRPr="008D381C">
              <w:rPr>
                <w:sz w:val="16"/>
                <w:szCs w:val="16"/>
              </w:rPr>
              <w:t>Boverket</w:t>
            </w:r>
          </w:p>
        </w:tc>
        <w:tc>
          <w:tcPr>
            <w:tcW w:w="1920" w:type="dxa"/>
            <w:tcBorders>
              <w:top w:val="single" w:sz="4" w:space="0" w:color="auto"/>
            </w:tcBorders>
          </w:tcPr>
          <w:p w:rsidR="009C4EFB" w:rsidRPr="008D381C" w:rsidRDefault="009C4EFB">
            <w:pPr>
              <w:shd w:val="clear" w:color="000000" w:fill="auto"/>
              <w:spacing w:before="60" w:line="200" w:lineRule="exact"/>
              <w:jc w:val="right"/>
              <w:rPr>
                <w:sz w:val="16"/>
                <w:szCs w:val="16"/>
              </w:rPr>
            </w:pPr>
            <w:r w:rsidRPr="008D381C">
              <w:rPr>
                <w:sz w:val="16"/>
                <w:szCs w:val="16"/>
              </w:rPr>
              <w:t>202 000</w:t>
            </w:r>
          </w:p>
        </w:tc>
        <w:tc>
          <w:tcPr>
            <w:tcW w:w="1852" w:type="dxa"/>
            <w:tcBorders>
              <w:top w:val="single" w:sz="4" w:space="0" w:color="auto"/>
            </w:tcBorders>
          </w:tcPr>
          <w:p w:rsidR="009C4EFB" w:rsidRPr="008D381C" w:rsidRDefault="009C4EFB">
            <w:pPr>
              <w:shd w:val="clear" w:color="000000" w:fill="auto"/>
              <w:spacing w:before="60" w:line="200" w:lineRule="exact"/>
              <w:jc w:val="right"/>
              <w:rPr>
                <w:sz w:val="16"/>
                <w:szCs w:val="16"/>
              </w:rPr>
            </w:pPr>
            <w:r w:rsidRPr="008D381C">
              <w:rPr>
                <w:sz w:val="16"/>
                <w:szCs w:val="16"/>
              </w:rPr>
              <w:t>+10 000</w:t>
            </w:r>
          </w:p>
        </w:tc>
      </w:tr>
      <w:tr w:rsidR="00000000" w:rsidRPr="008D381C">
        <w:tc>
          <w:tcPr>
            <w:tcW w:w="711" w:type="dxa"/>
          </w:tcPr>
          <w:p w:rsidR="009C4EFB" w:rsidRPr="008D381C" w:rsidRDefault="009C4EFB">
            <w:pPr>
              <w:shd w:val="clear" w:color="000000" w:fill="auto"/>
              <w:spacing w:before="60" w:line="200" w:lineRule="exact"/>
              <w:rPr>
                <w:sz w:val="16"/>
                <w:szCs w:val="16"/>
              </w:rPr>
            </w:pPr>
            <w:r w:rsidRPr="008D381C">
              <w:rPr>
                <w:sz w:val="16"/>
                <w:szCs w:val="16"/>
              </w:rPr>
              <w:t>3:2</w:t>
            </w:r>
          </w:p>
        </w:tc>
        <w:tc>
          <w:tcPr>
            <w:tcW w:w="1584" w:type="dxa"/>
          </w:tcPr>
          <w:p w:rsidR="009C4EFB" w:rsidRPr="008D381C" w:rsidRDefault="009C4EFB">
            <w:pPr>
              <w:shd w:val="clear" w:color="000000" w:fill="auto"/>
              <w:spacing w:before="60" w:line="200" w:lineRule="exact"/>
              <w:rPr>
                <w:sz w:val="16"/>
                <w:szCs w:val="16"/>
              </w:rPr>
            </w:pPr>
            <w:r w:rsidRPr="008D381C">
              <w:rPr>
                <w:sz w:val="16"/>
                <w:szCs w:val="16"/>
              </w:rPr>
              <w:t>Konsumentverket</w:t>
            </w:r>
          </w:p>
        </w:tc>
        <w:tc>
          <w:tcPr>
            <w:tcW w:w="1920" w:type="dxa"/>
          </w:tcPr>
          <w:p w:rsidR="009C4EFB" w:rsidRPr="008D381C" w:rsidRDefault="009C4EFB">
            <w:pPr>
              <w:shd w:val="clear" w:color="000000" w:fill="auto"/>
              <w:spacing w:before="60" w:line="200" w:lineRule="exact"/>
              <w:jc w:val="right"/>
              <w:rPr>
                <w:sz w:val="16"/>
                <w:szCs w:val="16"/>
              </w:rPr>
            </w:pPr>
            <w:r w:rsidRPr="008D381C">
              <w:rPr>
                <w:sz w:val="16"/>
                <w:szCs w:val="16"/>
              </w:rPr>
              <w:t>113 000</w:t>
            </w:r>
          </w:p>
        </w:tc>
        <w:tc>
          <w:tcPr>
            <w:tcW w:w="1852" w:type="dxa"/>
          </w:tcPr>
          <w:p w:rsidR="009C4EFB" w:rsidRPr="008D381C" w:rsidRDefault="009C4EFB">
            <w:pPr>
              <w:shd w:val="clear" w:color="000000" w:fill="auto"/>
              <w:spacing w:before="60" w:line="200" w:lineRule="exact"/>
              <w:jc w:val="right"/>
              <w:rPr>
                <w:sz w:val="16"/>
                <w:szCs w:val="16"/>
              </w:rPr>
            </w:pPr>
            <w:r w:rsidRPr="008D381C">
              <w:rPr>
                <w:sz w:val="16"/>
                <w:szCs w:val="16"/>
              </w:rPr>
              <w:t>+45 000</w:t>
            </w:r>
          </w:p>
        </w:tc>
      </w:tr>
      <w:tr w:rsidR="00000000" w:rsidRPr="008D381C">
        <w:tc>
          <w:tcPr>
            <w:tcW w:w="711" w:type="dxa"/>
          </w:tcPr>
          <w:p w:rsidR="009C4EFB" w:rsidRPr="008D381C" w:rsidRDefault="009C4EFB">
            <w:pPr>
              <w:shd w:val="clear" w:color="000000" w:fill="auto"/>
              <w:spacing w:before="60" w:line="200" w:lineRule="exact"/>
              <w:rPr>
                <w:sz w:val="16"/>
                <w:szCs w:val="16"/>
              </w:rPr>
            </w:pPr>
            <w:r w:rsidRPr="008D381C">
              <w:rPr>
                <w:sz w:val="16"/>
                <w:szCs w:val="16"/>
              </w:rPr>
              <w:t>Nytt</w:t>
            </w:r>
          </w:p>
        </w:tc>
        <w:tc>
          <w:tcPr>
            <w:tcW w:w="1584" w:type="dxa"/>
          </w:tcPr>
          <w:p w:rsidR="009C4EFB" w:rsidRPr="008D381C" w:rsidRDefault="009C4EFB">
            <w:pPr>
              <w:shd w:val="clear" w:color="000000" w:fill="auto"/>
              <w:spacing w:before="60" w:line="200" w:lineRule="exact"/>
              <w:rPr>
                <w:sz w:val="16"/>
                <w:szCs w:val="16"/>
              </w:rPr>
            </w:pPr>
            <w:r w:rsidRPr="008D381C">
              <w:rPr>
                <w:sz w:val="16"/>
                <w:szCs w:val="16"/>
              </w:rPr>
              <w:t>Investeringsstöd</w:t>
            </w:r>
          </w:p>
        </w:tc>
        <w:tc>
          <w:tcPr>
            <w:tcW w:w="1920" w:type="dxa"/>
          </w:tcPr>
          <w:p w:rsidR="009C4EFB" w:rsidRPr="008D381C" w:rsidRDefault="009C4EFB">
            <w:pPr>
              <w:shd w:val="clear" w:color="000000" w:fill="auto"/>
              <w:spacing w:before="60" w:line="200" w:lineRule="exact"/>
              <w:jc w:val="right"/>
              <w:rPr>
                <w:sz w:val="16"/>
                <w:szCs w:val="16"/>
              </w:rPr>
            </w:pPr>
          </w:p>
        </w:tc>
        <w:tc>
          <w:tcPr>
            <w:tcW w:w="1852" w:type="dxa"/>
          </w:tcPr>
          <w:p w:rsidR="009C4EFB" w:rsidRPr="008D381C" w:rsidRDefault="009C4EFB">
            <w:pPr>
              <w:shd w:val="clear" w:color="000000" w:fill="auto"/>
              <w:spacing w:before="60" w:line="200" w:lineRule="exact"/>
              <w:jc w:val="right"/>
              <w:rPr>
                <w:sz w:val="16"/>
                <w:szCs w:val="16"/>
              </w:rPr>
            </w:pPr>
            <w:r w:rsidRPr="008D381C">
              <w:rPr>
                <w:sz w:val="16"/>
                <w:szCs w:val="16"/>
              </w:rPr>
              <w:t>+1 500 000</w:t>
            </w:r>
          </w:p>
        </w:tc>
      </w:tr>
      <w:tr w:rsidR="00000000" w:rsidRPr="008D381C">
        <w:tc>
          <w:tcPr>
            <w:tcW w:w="711" w:type="dxa"/>
          </w:tcPr>
          <w:p w:rsidR="009C4EFB" w:rsidRPr="008D381C" w:rsidRDefault="009C4EFB">
            <w:pPr>
              <w:shd w:val="clear" w:color="000000" w:fill="auto"/>
              <w:spacing w:before="60" w:line="200" w:lineRule="exact"/>
              <w:rPr>
                <w:sz w:val="16"/>
                <w:szCs w:val="16"/>
              </w:rPr>
            </w:pPr>
            <w:r w:rsidRPr="008D381C">
              <w:rPr>
                <w:sz w:val="16"/>
                <w:szCs w:val="16"/>
              </w:rPr>
              <w:t>Nytt</w:t>
            </w:r>
          </w:p>
        </w:tc>
        <w:tc>
          <w:tcPr>
            <w:tcW w:w="1584" w:type="dxa"/>
          </w:tcPr>
          <w:p w:rsidR="009C4EFB" w:rsidRPr="008D381C" w:rsidRDefault="009C4EFB">
            <w:pPr>
              <w:shd w:val="clear" w:color="000000" w:fill="auto"/>
              <w:spacing w:before="60" w:line="200" w:lineRule="exact"/>
              <w:rPr>
                <w:sz w:val="16"/>
                <w:szCs w:val="16"/>
              </w:rPr>
            </w:pPr>
            <w:r w:rsidRPr="008D381C">
              <w:rPr>
                <w:sz w:val="16"/>
                <w:szCs w:val="16"/>
              </w:rPr>
              <w:t>Hissbidrag</w:t>
            </w:r>
          </w:p>
        </w:tc>
        <w:tc>
          <w:tcPr>
            <w:tcW w:w="1920" w:type="dxa"/>
          </w:tcPr>
          <w:p w:rsidR="009C4EFB" w:rsidRPr="008D381C" w:rsidRDefault="009C4EFB">
            <w:pPr>
              <w:shd w:val="clear" w:color="000000" w:fill="auto"/>
              <w:spacing w:before="60" w:line="200" w:lineRule="exact"/>
              <w:jc w:val="right"/>
              <w:rPr>
                <w:sz w:val="16"/>
                <w:szCs w:val="16"/>
              </w:rPr>
            </w:pPr>
          </w:p>
        </w:tc>
        <w:tc>
          <w:tcPr>
            <w:tcW w:w="1852" w:type="dxa"/>
          </w:tcPr>
          <w:p w:rsidR="009C4EFB" w:rsidRPr="008D381C" w:rsidRDefault="009C4EFB">
            <w:pPr>
              <w:shd w:val="clear" w:color="000000" w:fill="auto"/>
              <w:spacing w:before="60" w:line="200" w:lineRule="exact"/>
              <w:jc w:val="right"/>
              <w:rPr>
                <w:sz w:val="16"/>
                <w:szCs w:val="16"/>
              </w:rPr>
            </w:pPr>
            <w:r w:rsidRPr="008D381C">
              <w:rPr>
                <w:sz w:val="16"/>
                <w:szCs w:val="16"/>
              </w:rPr>
              <w:t>+50 000</w:t>
            </w:r>
          </w:p>
        </w:tc>
      </w:tr>
      <w:tr w:rsidR="00000000" w:rsidRPr="008D381C">
        <w:tc>
          <w:tcPr>
            <w:tcW w:w="711" w:type="dxa"/>
          </w:tcPr>
          <w:p w:rsidR="009C4EFB" w:rsidRPr="008D381C" w:rsidRDefault="009C4EFB">
            <w:pPr>
              <w:shd w:val="clear" w:color="000000" w:fill="auto"/>
              <w:spacing w:before="60" w:line="200" w:lineRule="exact"/>
              <w:rPr>
                <w:sz w:val="16"/>
                <w:szCs w:val="16"/>
              </w:rPr>
            </w:pPr>
            <w:r w:rsidRPr="008D381C">
              <w:rPr>
                <w:sz w:val="16"/>
                <w:szCs w:val="16"/>
              </w:rPr>
              <w:t>Nytt</w:t>
            </w:r>
          </w:p>
        </w:tc>
        <w:tc>
          <w:tcPr>
            <w:tcW w:w="1584" w:type="dxa"/>
          </w:tcPr>
          <w:p w:rsidR="009C4EFB" w:rsidRPr="008D381C" w:rsidRDefault="009C4EFB">
            <w:pPr>
              <w:shd w:val="clear" w:color="000000" w:fill="auto"/>
              <w:spacing w:before="60" w:line="200" w:lineRule="exact"/>
              <w:rPr>
                <w:sz w:val="16"/>
                <w:szCs w:val="16"/>
              </w:rPr>
            </w:pPr>
            <w:r w:rsidRPr="008D381C">
              <w:rPr>
                <w:sz w:val="16"/>
                <w:szCs w:val="16"/>
              </w:rPr>
              <w:t>Stimulera kooperativa hyresrättsföreningar</w:t>
            </w:r>
          </w:p>
        </w:tc>
        <w:tc>
          <w:tcPr>
            <w:tcW w:w="1920" w:type="dxa"/>
          </w:tcPr>
          <w:p w:rsidR="009C4EFB" w:rsidRPr="008D381C" w:rsidRDefault="009C4EFB">
            <w:pPr>
              <w:shd w:val="clear" w:color="000000" w:fill="auto"/>
              <w:spacing w:before="60" w:line="200" w:lineRule="exact"/>
              <w:jc w:val="right"/>
              <w:rPr>
                <w:sz w:val="16"/>
                <w:szCs w:val="16"/>
              </w:rPr>
            </w:pPr>
          </w:p>
        </w:tc>
        <w:tc>
          <w:tcPr>
            <w:tcW w:w="1852" w:type="dxa"/>
            <w:vAlign w:val="bottom"/>
          </w:tcPr>
          <w:p w:rsidR="009C4EFB" w:rsidRPr="008D381C" w:rsidRDefault="009C4EFB">
            <w:pPr>
              <w:shd w:val="clear" w:color="000000" w:fill="auto"/>
              <w:spacing w:before="60" w:line="200" w:lineRule="exact"/>
              <w:jc w:val="right"/>
              <w:rPr>
                <w:sz w:val="16"/>
                <w:szCs w:val="16"/>
              </w:rPr>
            </w:pPr>
            <w:r w:rsidRPr="008D381C">
              <w:rPr>
                <w:sz w:val="16"/>
                <w:szCs w:val="16"/>
              </w:rPr>
              <w:t>+10 000</w:t>
            </w:r>
          </w:p>
        </w:tc>
      </w:tr>
      <w:tr w:rsidR="00000000" w:rsidRPr="008D381C">
        <w:tc>
          <w:tcPr>
            <w:tcW w:w="711" w:type="dxa"/>
          </w:tcPr>
          <w:p w:rsidR="009C4EFB" w:rsidRPr="008D381C" w:rsidRDefault="009C4EFB">
            <w:pPr>
              <w:shd w:val="clear" w:color="000000" w:fill="auto"/>
              <w:spacing w:before="60" w:line="200" w:lineRule="exact"/>
              <w:rPr>
                <w:b/>
                <w:sz w:val="16"/>
                <w:szCs w:val="16"/>
              </w:rPr>
            </w:pPr>
          </w:p>
        </w:tc>
        <w:tc>
          <w:tcPr>
            <w:tcW w:w="1584" w:type="dxa"/>
          </w:tcPr>
          <w:p w:rsidR="009C4EFB" w:rsidRPr="008D381C" w:rsidRDefault="009C4EFB">
            <w:pPr>
              <w:shd w:val="clear" w:color="000000" w:fill="auto"/>
              <w:spacing w:before="60" w:line="200" w:lineRule="exact"/>
              <w:rPr>
                <w:b/>
                <w:sz w:val="16"/>
                <w:szCs w:val="16"/>
              </w:rPr>
            </w:pPr>
            <w:r w:rsidRPr="008D381C">
              <w:rPr>
                <w:b/>
                <w:sz w:val="16"/>
                <w:szCs w:val="16"/>
              </w:rPr>
              <w:t>Summa</w:t>
            </w:r>
          </w:p>
        </w:tc>
        <w:tc>
          <w:tcPr>
            <w:tcW w:w="1920" w:type="dxa"/>
          </w:tcPr>
          <w:p w:rsidR="009C4EFB" w:rsidRPr="008D381C" w:rsidRDefault="009C4EFB">
            <w:pPr>
              <w:shd w:val="clear" w:color="000000" w:fill="auto"/>
              <w:spacing w:before="60" w:line="200" w:lineRule="exact"/>
              <w:jc w:val="right"/>
              <w:rPr>
                <w:b/>
                <w:sz w:val="16"/>
                <w:szCs w:val="16"/>
              </w:rPr>
            </w:pPr>
          </w:p>
        </w:tc>
        <w:tc>
          <w:tcPr>
            <w:tcW w:w="1852" w:type="dxa"/>
          </w:tcPr>
          <w:p w:rsidR="009C4EFB" w:rsidRPr="008D381C" w:rsidRDefault="009C4EFB">
            <w:pPr>
              <w:shd w:val="clear" w:color="000000" w:fill="auto"/>
              <w:spacing w:before="60" w:line="200" w:lineRule="exact"/>
              <w:jc w:val="right"/>
              <w:rPr>
                <w:b/>
                <w:sz w:val="16"/>
                <w:szCs w:val="16"/>
              </w:rPr>
            </w:pPr>
            <w:r w:rsidRPr="008D381C">
              <w:rPr>
                <w:b/>
                <w:sz w:val="16"/>
                <w:szCs w:val="16"/>
              </w:rPr>
              <w:t>1 615 000</w:t>
            </w:r>
          </w:p>
        </w:tc>
      </w:tr>
    </w:tbl>
    <w:p w:rsidR="009C4EFB" w:rsidRPr="008D381C" w:rsidRDefault="009C4EFB">
      <w:pPr>
        <w:shd w:val="clear" w:color="000000" w:fill="auto"/>
      </w:pPr>
    </w:p>
    <w:p w:rsidR="009C4EFB" w:rsidRPr="008D381C" w:rsidRDefault="009C4EFB">
      <w:pPr>
        <w:pStyle w:val="Rubrik1"/>
        <w:shd w:val="clear" w:color="000000" w:fill="auto"/>
      </w:pPr>
      <w:r w:rsidRPr="008D381C">
        <w:t>Boende</w:t>
      </w:r>
    </w:p>
    <w:p w:rsidR="009C4EFB" w:rsidRPr="008D381C" w:rsidRDefault="009C4EFB">
      <w:pPr>
        <w:shd w:val="clear" w:color="000000" w:fill="auto"/>
      </w:pPr>
      <w:r w:rsidRPr="008D381C">
        <w:t>Vänsterpartiet föreslår ett anslag på 10 miljoner kronor till Statens bostad</w:t>
      </w:r>
      <w:r w:rsidRPr="008D381C">
        <w:t>s</w:t>
      </w:r>
      <w:r w:rsidRPr="008D381C">
        <w:t>kreditnämnd för spridande av information om hur den kooperativa hyresrätten kan utvecklas och stärkas. Vänsterpartiet menar att upplåtelseformer som är icke-spekulativa bör stärkas.</w:t>
      </w:r>
    </w:p>
    <w:p w:rsidR="009C4EFB" w:rsidRPr="008D381C" w:rsidRDefault="009C4EFB">
      <w:pPr>
        <w:pStyle w:val="Normaltindrag"/>
        <w:shd w:val="clear" w:color="000000" w:fill="auto"/>
      </w:pPr>
      <w:r w:rsidRPr="008D381C">
        <w:t>Ett investeringsstöd för byggande av hyresrätter bör införas. Stödet inn</w:t>
      </w:r>
      <w:r w:rsidRPr="008D381C">
        <w:t>e</w:t>
      </w:r>
      <w:r w:rsidRPr="008D381C">
        <w:t>fattar även hyresrätter för studentboende. Regelverket bör hämtas från tidig</w:t>
      </w:r>
      <w:r w:rsidRPr="008D381C">
        <w:t>a</w:t>
      </w:r>
      <w:r w:rsidRPr="008D381C">
        <w:t xml:space="preserve">re insatser för bidrag och stimulanser för nyproduktion av hyresrätter. Stödet ska uppgå till högst 25 % av produktionskostnaden per lägenhet och maximalt 200 000 kronor. Vi avsätter 1,5 miljarder kronor från den 1 juli 2012 för </w:t>
      </w:r>
      <w:r w:rsidRPr="008D381C">
        <w:lastRenderedPageBreak/>
        <w:t>de</w:t>
      </w:r>
      <w:r w:rsidRPr="008D381C">
        <w:t>t</w:t>
      </w:r>
      <w:r w:rsidRPr="008D381C">
        <w:t>ta, och därefter 3 miljarder kronor per år. 15 000 lägenheter bör kunna byggas med dessa villkor per år.</w:t>
      </w:r>
    </w:p>
    <w:p w:rsidR="009C4EFB" w:rsidRPr="008D381C" w:rsidRDefault="009C4EFB">
      <w:pPr>
        <w:pStyle w:val="Normaltindrag"/>
        <w:shd w:val="clear" w:color="000000" w:fill="auto"/>
      </w:pPr>
      <w:r w:rsidRPr="008D381C">
        <w:t xml:space="preserve">Vänsterpartiet har även förslag om att stödja upprustning av lokaler inom välfärdssektorn liksom </w:t>
      </w:r>
      <w:r w:rsidRPr="008D381C">
        <w:t>stöd för ökad tillgänglighet och kultur- och möteslok</w:t>
      </w:r>
      <w:r w:rsidRPr="008D381C">
        <w:t>a</w:t>
      </w:r>
      <w:r w:rsidRPr="008D381C">
        <w:t>ler, se budgetmotionen. För att öka tillgängligheten föreslår Vänsterpartiet att ett hissbidrag inrättas. För detta ändamål anslås 50 miljoner kronor per år. Stödet ges om högst 300 000 kronor per hiss. Stödet uppgår till 25 % av kos</w:t>
      </w:r>
      <w:r w:rsidRPr="008D381C">
        <w:t>t</w:t>
      </w:r>
      <w:r w:rsidRPr="008D381C">
        <w:t>naden. 10 miljoner anslås till Boverket för informationsverksamhet för bättre upphandlingar i kommuner och att motverka ekonomisk brottslighet vid b</w:t>
      </w:r>
      <w:r w:rsidRPr="008D381C">
        <w:t>o</w:t>
      </w:r>
      <w:r w:rsidRPr="008D381C">
        <w:t>stadsbyggande.</w:t>
      </w:r>
    </w:p>
    <w:p w:rsidR="009C4EFB" w:rsidRPr="008D381C" w:rsidRDefault="009C4EFB">
      <w:pPr>
        <w:pStyle w:val="Normaltindrag"/>
        <w:shd w:val="clear" w:color="000000" w:fill="auto"/>
      </w:pPr>
      <w:r w:rsidRPr="008D381C">
        <w:t>10 miljoner kronor anslås till Boverket för informationsverk</w:t>
      </w:r>
      <w:r w:rsidRPr="008D381C">
        <w:t>samhet för bättre upphandlingar i kommuner och att motverka ekonomisk brottslighet vid bostadsbyggande.</w:t>
      </w:r>
    </w:p>
    <w:p w:rsidR="009C4EFB" w:rsidRPr="008D381C" w:rsidRDefault="009C4EFB">
      <w:pPr>
        <w:pStyle w:val="Rubrik1"/>
        <w:shd w:val="clear" w:color="000000" w:fill="auto"/>
      </w:pPr>
      <w:bookmarkStart w:id="0" w:name="_Toc210557575"/>
      <w:bookmarkStart w:id="1" w:name="_Toc210561387"/>
      <w:bookmarkStart w:id="2" w:name="_Toc210562531"/>
      <w:bookmarkStart w:id="3" w:name="_Toc210621935"/>
      <w:bookmarkStart w:id="4" w:name="_Toc210624071"/>
      <w:bookmarkStart w:id="5" w:name="_Toc210631375"/>
      <w:bookmarkStart w:id="6" w:name="_Toc210710508"/>
      <w:bookmarkStart w:id="7" w:name="_Toc210736901"/>
      <w:bookmarkStart w:id="8" w:name="_Toc210736915"/>
      <w:bookmarkStart w:id="9" w:name="_Toc241914675"/>
      <w:bookmarkStart w:id="10" w:name="_Toc241915981"/>
      <w:bookmarkStart w:id="11" w:name="_Toc242074360"/>
      <w:bookmarkStart w:id="12" w:name="_Toc242183088"/>
      <w:bookmarkStart w:id="13" w:name="_Toc242424000"/>
      <w:r w:rsidRPr="008D381C">
        <w:t>Konsumentpolitik</w:t>
      </w:r>
      <w:bookmarkEnd w:id="0"/>
      <w:bookmarkEnd w:id="1"/>
      <w:bookmarkEnd w:id="2"/>
      <w:bookmarkEnd w:id="3"/>
      <w:bookmarkEnd w:id="4"/>
      <w:bookmarkEnd w:id="5"/>
      <w:bookmarkEnd w:id="6"/>
      <w:bookmarkEnd w:id="7"/>
      <w:bookmarkEnd w:id="8"/>
      <w:bookmarkEnd w:id="9"/>
      <w:bookmarkEnd w:id="10"/>
      <w:bookmarkEnd w:id="11"/>
      <w:bookmarkEnd w:id="12"/>
      <w:bookmarkEnd w:id="13"/>
    </w:p>
    <w:p w:rsidR="009C4EFB" w:rsidRPr="008D381C" w:rsidRDefault="009C4EFB">
      <w:pPr>
        <w:shd w:val="clear" w:color="000000" w:fill="auto"/>
      </w:pPr>
      <w:r w:rsidRPr="008D381C">
        <w:t>Vi föreslår en satsning på kommunala konsumentvägledare eftersom vi anser att deras arbete i kombination med den kommunala budget- och skuldrådgi</w:t>
      </w:r>
      <w:r w:rsidRPr="008D381C">
        <w:t>v</w:t>
      </w:r>
      <w:r w:rsidRPr="008D381C">
        <w:t>ningens insatser kan förebygga att människor fastnar i livslånga skuldfällor. Den förra regeringen tillsatte en utredning i syfte att se över den kommunala konsumentvägledningen och ge förslag på hur en hög och likvärdig nivå på denna kan uppnås i hela landet. De borgerliga partierna har tidigare varit av den uppfattningen att det bör vara upp till respektive kommun att bestämma om de ska ha konsumentvägledning eller inte, (bet. 2005/06:LU33 s. 63), men i den nya budgetpropositionen verkar ambitionen möjli</w:t>
      </w:r>
      <w:r w:rsidRPr="008D381C">
        <w:t>gen ha ändrats.</w:t>
      </w:r>
    </w:p>
    <w:p w:rsidR="009C4EFB" w:rsidRPr="008D381C" w:rsidRDefault="009C4EFB">
      <w:pPr>
        <w:pStyle w:val="Normaltindrag"/>
        <w:shd w:val="clear" w:color="000000" w:fill="auto"/>
      </w:pPr>
      <w:r w:rsidRPr="008D381C">
        <w:t>För att garantera alla människors tillgång till god konsumentvägledning vill vi att fler kommuner ska ha tillgång till konsumentvägledning. Vi inför därför ett stimulansbidrag för detta ändamål. Ett stöd på 45 miljoner kronor per år till kommunerna som ska administreras av Konsumentverket. I första hand ska Konsumentverket se till att de största kommunerna har tillgång till konsumentvägledning. Skulle detta inte vara tillräckligt är vi villiga att åte</w:t>
      </w:r>
      <w:r w:rsidRPr="008D381C">
        <w:t>r</w:t>
      </w:r>
      <w:r w:rsidRPr="008D381C">
        <w:t>komma med ett lagförslag i frågan (se vår motion Konsumentfrid och skul</w:t>
      </w:r>
      <w:r w:rsidRPr="008D381C">
        <w:t>d</w:t>
      </w:r>
      <w:r w:rsidRPr="008D381C">
        <w:t>sättning, 2011/12:C329).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81C">
        <w:trPr>
          <w:cantSplit/>
        </w:trPr>
        <w:tc>
          <w:tcPr>
            <w:tcW w:w="3046" w:type="dxa"/>
          </w:tcPr>
          <w:p w:rsidR="009C4EFB" w:rsidRPr="008D381C" w:rsidRDefault="009C4EFB">
            <w:pPr>
              <w:pStyle w:val="UnderskriftDatum"/>
              <w:shd w:val="clear" w:color="000000" w:fill="auto"/>
              <w:spacing w:before="240"/>
            </w:pPr>
            <w:r w:rsidRPr="008D381C">
              <w:t>Stockholm den 4 oktober 2011</w:t>
            </w:r>
          </w:p>
        </w:tc>
        <w:tc>
          <w:tcPr>
            <w:tcW w:w="3047" w:type="dxa"/>
          </w:tcPr>
          <w:p w:rsidR="009C4EFB" w:rsidRPr="008D381C" w:rsidRDefault="009C4EFB">
            <w:pPr>
              <w:pStyle w:val="Underskrifter"/>
              <w:shd w:val="clear" w:color="000000" w:fill="auto"/>
              <w:spacing w:before="240"/>
            </w:pPr>
          </w:p>
        </w:tc>
      </w:tr>
      <w:tr w:rsidR="00000000" w:rsidRPr="008D381C">
        <w:trPr>
          <w:cantSplit/>
        </w:trPr>
        <w:tc>
          <w:tcPr>
            <w:tcW w:w="3046" w:type="dxa"/>
          </w:tcPr>
          <w:p w:rsidR="009C4EFB" w:rsidRPr="008D381C" w:rsidRDefault="009C4EFB">
            <w:pPr>
              <w:pStyle w:val="Underskrifter"/>
              <w:shd w:val="clear" w:color="000000" w:fill="auto"/>
            </w:pPr>
            <w:r w:rsidRPr="008D381C">
              <w:t>Lars Ohly (V)</w:t>
            </w:r>
          </w:p>
        </w:tc>
        <w:tc>
          <w:tcPr>
            <w:tcW w:w="3046" w:type="dxa"/>
          </w:tcPr>
          <w:p w:rsidR="009C4EFB" w:rsidRPr="008D381C" w:rsidRDefault="009C4EFB">
            <w:pPr>
              <w:pStyle w:val="Underskrifter"/>
              <w:shd w:val="clear" w:color="000000" w:fill="auto"/>
            </w:pPr>
          </w:p>
        </w:tc>
      </w:tr>
      <w:tr w:rsidR="00000000" w:rsidRPr="008D381C">
        <w:trPr>
          <w:cantSplit/>
        </w:trPr>
        <w:tc>
          <w:tcPr>
            <w:tcW w:w="3046" w:type="dxa"/>
          </w:tcPr>
          <w:p w:rsidR="009C4EFB" w:rsidRPr="008D381C" w:rsidRDefault="009C4EFB">
            <w:pPr>
              <w:pStyle w:val="Underskrifter"/>
              <w:shd w:val="clear" w:color="000000" w:fill="auto"/>
            </w:pPr>
            <w:r w:rsidRPr="008D381C">
              <w:t>Ulla Andersson (V)</w:t>
            </w:r>
          </w:p>
        </w:tc>
        <w:tc>
          <w:tcPr>
            <w:tcW w:w="3046" w:type="dxa"/>
          </w:tcPr>
          <w:p w:rsidR="009C4EFB" w:rsidRPr="008D381C" w:rsidRDefault="009C4EFB">
            <w:pPr>
              <w:pStyle w:val="Underskrifter"/>
              <w:shd w:val="clear" w:color="000000" w:fill="auto"/>
            </w:pPr>
            <w:r w:rsidRPr="008D381C">
              <w:t>Hans Linde (V)</w:t>
            </w:r>
          </w:p>
        </w:tc>
      </w:tr>
      <w:tr w:rsidR="00000000" w:rsidRPr="008D381C">
        <w:trPr>
          <w:cantSplit/>
        </w:trPr>
        <w:tc>
          <w:tcPr>
            <w:tcW w:w="3046" w:type="dxa"/>
          </w:tcPr>
          <w:p w:rsidR="009C4EFB" w:rsidRPr="008D381C" w:rsidRDefault="009C4EFB">
            <w:pPr>
              <w:pStyle w:val="Underskrifter"/>
              <w:shd w:val="clear" w:color="000000" w:fill="auto"/>
            </w:pPr>
            <w:r w:rsidRPr="008D381C">
              <w:t>Eva Olofsson (V)</w:t>
            </w:r>
          </w:p>
        </w:tc>
        <w:tc>
          <w:tcPr>
            <w:tcW w:w="3046" w:type="dxa"/>
          </w:tcPr>
          <w:p w:rsidR="009C4EFB" w:rsidRPr="008D381C" w:rsidRDefault="009C4EFB">
            <w:pPr>
              <w:pStyle w:val="Underskrifter"/>
              <w:shd w:val="clear" w:color="000000" w:fill="auto"/>
            </w:pPr>
            <w:r w:rsidRPr="008D381C">
              <w:t>Jonas Sjöstedt (V)</w:t>
            </w:r>
          </w:p>
        </w:tc>
      </w:tr>
      <w:tr w:rsidR="00000000" w:rsidRPr="008D381C">
        <w:trPr>
          <w:cantSplit/>
        </w:trPr>
        <w:tc>
          <w:tcPr>
            <w:tcW w:w="3046" w:type="dxa"/>
          </w:tcPr>
          <w:p w:rsidR="009C4EFB" w:rsidRPr="008D381C" w:rsidRDefault="009C4EFB">
            <w:pPr>
              <w:pStyle w:val="Underskrifter"/>
              <w:shd w:val="clear" w:color="000000" w:fill="auto"/>
            </w:pPr>
            <w:r w:rsidRPr="008D381C">
              <w:t>Mia Sydow Mölleby (V)</w:t>
            </w:r>
          </w:p>
        </w:tc>
        <w:tc>
          <w:tcPr>
            <w:tcW w:w="3046" w:type="dxa"/>
          </w:tcPr>
          <w:p w:rsidR="009C4EFB" w:rsidRPr="008D381C" w:rsidRDefault="009C4EFB">
            <w:pPr>
              <w:pStyle w:val="Underskrifter"/>
              <w:shd w:val="clear" w:color="000000" w:fill="auto"/>
            </w:pPr>
            <w:r w:rsidRPr="008D381C">
              <w:t>Marianne Berg (V)</w:t>
            </w:r>
          </w:p>
        </w:tc>
      </w:tr>
      <w:tr w:rsidR="00000000" w:rsidRPr="008D381C">
        <w:trPr>
          <w:cantSplit/>
        </w:trPr>
        <w:tc>
          <w:tcPr>
            <w:tcW w:w="3046" w:type="dxa"/>
          </w:tcPr>
          <w:p w:rsidR="009C4EFB" w:rsidRPr="008D381C" w:rsidRDefault="009C4EFB">
            <w:pPr>
              <w:pStyle w:val="Underskrifter"/>
              <w:shd w:val="clear" w:color="000000" w:fill="auto"/>
            </w:pPr>
            <w:r w:rsidRPr="008D381C">
              <w:t>Amineh Kakabaveh (V)</w:t>
            </w:r>
          </w:p>
        </w:tc>
        <w:tc>
          <w:tcPr>
            <w:tcW w:w="3046" w:type="dxa"/>
          </w:tcPr>
          <w:p w:rsidR="009C4EFB" w:rsidRPr="008D381C" w:rsidRDefault="009C4EFB">
            <w:pPr>
              <w:pStyle w:val="Underskrifter"/>
              <w:shd w:val="clear" w:color="000000" w:fill="auto"/>
            </w:pPr>
          </w:p>
        </w:tc>
      </w:tr>
    </w:tbl>
    <w:p w:rsidR="009C4EFB" w:rsidRPr="008D381C" w:rsidRDefault="009C4EFB">
      <w:pPr>
        <w:pStyle w:val="Normaltindrag"/>
        <w:shd w:val="clear" w:color="000000" w:fill="auto"/>
      </w:pPr>
    </w:p>
    <w:sectPr w:rsidR="009C4EFB" w:rsidRPr="008D38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EFB" w:rsidRPr="008D381C" w:rsidRDefault="009C4EFB">
      <w:r w:rsidRPr="008D381C">
        <w:separator/>
      </w:r>
    </w:p>
  </w:endnote>
  <w:endnote w:type="continuationSeparator" w:id="0">
    <w:p w:rsidR="009C4EFB" w:rsidRPr="008D381C" w:rsidRDefault="009C4EFB">
      <w:r w:rsidRPr="008D3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FB" w:rsidRPr="008D381C" w:rsidRDefault="008D381C">
    <w:pPr>
      <w:pStyle w:val="Sidfot"/>
    </w:pPr>
    <w:r w:rsidRPr="008D38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403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FB" w:rsidRDefault="009C4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EFB" w:rsidRDefault="009C4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FB" w:rsidRPr="008D381C" w:rsidRDefault="008D381C">
    <w:pPr>
      <w:pStyle w:val="Sidfot"/>
    </w:pPr>
    <w:r w:rsidRPr="008D38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157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FB" w:rsidRDefault="009C4E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EFB" w:rsidRDefault="009C4E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FB" w:rsidRPr="008D381C" w:rsidRDefault="008D381C">
    <w:pPr>
      <w:pStyle w:val="Sidfot"/>
    </w:pPr>
    <w:r w:rsidRPr="008D38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736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FB" w:rsidRDefault="009C4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EFB" w:rsidRDefault="009C4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EFB" w:rsidRPr="008D381C" w:rsidRDefault="009C4EFB">
      <w:r w:rsidRPr="008D381C">
        <w:separator/>
      </w:r>
    </w:p>
  </w:footnote>
  <w:footnote w:type="continuationSeparator" w:id="0">
    <w:p w:rsidR="009C4EFB" w:rsidRPr="008D381C" w:rsidRDefault="009C4EFB">
      <w:r w:rsidRPr="008D3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FB" w:rsidRPr="008D381C" w:rsidRDefault="008D381C">
    <w:pPr>
      <w:pStyle w:val="Sidhuvud"/>
    </w:pPr>
    <w:r w:rsidRPr="008D38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3915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FB" w:rsidRDefault="009C4E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EFB" w:rsidRDefault="009C4E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FB" w:rsidRPr="008D381C" w:rsidRDefault="008D381C">
    <w:pPr>
      <w:pStyle w:val="Sidhuvud"/>
    </w:pPr>
    <w:r w:rsidRPr="008D38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810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FB" w:rsidRDefault="009C4E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EFB" w:rsidRDefault="009C4E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FB" w:rsidRPr="008D381C" w:rsidRDefault="009C4EFB">
    <w:pPr>
      <w:pStyle w:val="FSHNormal"/>
      <w:tabs>
        <w:tab w:val="right" w:pos="5840"/>
      </w:tabs>
    </w:pPr>
    <w:r w:rsidRPr="008D381C">
      <w:br/>
    </w:r>
    <w:r w:rsidRPr="008D381C">
      <w:fldChar w:fldCharType="begin" w:fldLock="1"/>
    </w:r>
    <w:r w:rsidRPr="008D381C">
      <w:instrText xml:space="preserve"> DOCPROPERTY</w:instrText>
    </w:r>
    <w:r w:rsidRPr="008D381C">
      <w:rPr>
        <w:sz w:val="18"/>
      </w:rPr>
      <w:instrText xml:space="preserve"> "YearUser" *\charformat </w:instrText>
    </w:r>
    <w:r w:rsidRPr="008D381C">
      <w:fldChar w:fldCharType="separate"/>
    </w:r>
    <w:r w:rsidRPr="008D381C">
      <w:t>2011/12</w:t>
    </w:r>
    <w:r w:rsidRPr="008D381C">
      <w:fldChar w:fldCharType="end"/>
    </w:r>
    <w:r w:rsidRPr="008D381C">
      <w:t xml:space="preserve"> </w:t>
    </w:r>
    <w:r w:rsidRPr="008D381C">
      <w:tab/>
      <w:t xml:space="preserve">mnr: </w:t>
    </w:r>
    <w:r w:rsidRPr="008D381C">
      <w:fldChar w:fldCharType="begin" w:fldLock="1"/>
    </w:r>
    <w:r w:rsidRPr="008D381C">
      <w:instrText xml:space="preserve"> DOCPROPERTY</w:instrText>
    </w:r>
    <w:r w:rsidRPr="008D381C">
      <w:rPr>
        <w:sz w:val="18"/>
      </w:rPr>
      <w:instrText xml:space="preserve"> "Motionsnummer" *\charformat </w:instrText>
    </w:r>
    <w:r w:rsidRPr="008D381C">
      <w:fldChar w:fldCharType="separate"/>
    </w:r>
    <w:r w:rsidRPr="008D381C">
      <w:t>C386</w:t>
    </w:r>
    <w:r w:rsidRPr="008D381C">
      <w:fldChar w:fldCharType="end"/>
    </w:r>
    <w:r w:rsidRPr="008D381C">
      <w:br/>
    </w:r>
    <w:r w:rsidRPr="008D381C">
      <w:fldChar w:fldCharType="begin" w:fldLock="1"/>
    </w:r>
    <w:r w:rsidRPr="008D381C">
      <w:instrText xml:space="preserve"> DOCPROPERTY</w:instrText>
    </w:r>
    <w:r w:rsidRPr="008D381C">
      <w:rPr>
        <w:sz w:val="18"/>
      </w:rPr>
      <w:instrText xml:space="preserve"> "Samling" *\charformat </w:instrText>
    </w:r>
    <w:r w:rsidRPr="008D381C">
      <w:fldChar w:fldCharType="end"/>
    </w:r>
    <w:r w:rsidRPr="008D381C">
      <w:tab/>
      <w:t xml:space="preserve">pnr: </w:t>
    </w:r>
    <w:r w:rsidRPr="008D381C">
      <w:fldChar w:fldCharType="begin" w:fldLock="1"/>
    </w:r>
    <w:r w:rsidRPr="008D381C">
      <w:instrText xml:space="preserve"> DOCPROPERTY</w:instrText>
    </w:r>
    <w:r w:rsidRPr="008D381C">
      <w:rPr>
        <w:sz w:val="18"/>
      </w:rPr>
      <w:instrText xml:space="preserve"> "Partinummer" *\charformat </w:instrText>
    </w:r>
    <w:r w:rsidRPr="008D381C">
      <w:fldChar w:fldCharType="separate"/>
    </w:r>
    <w:r w:rsidRPr="008D381C">
      <w:t>V406</w:t>
    </w:r>
    <w:r w:rsidRPr="008D381C">
      <w:fldChar w:fldCharType="end"/>
    </w:r>
  </w:p>
  <w:p w:rsidR="009C4EFB" w:rsidRPr="008D381C" w:rsidRDefault="009C4EFB">
    <w:pPr>
      <w:pStyle w:val="FSHRub1"/>
    </w:pPr>
    <w:r w:rsidRPr="008D381C">
      <w:t>Motion till riksdagen</w:t>
    </w:r>
    <w:r w:rsidRPr="008D381C">
      <w:br/>
    </w:r>
    <w:r w:rsidRPr="008D381C">
      <w:fldChar w:fldCharType="begin" w:fldLock="1"/>
    </w:r>
    <w:r w:rsidRPr="008D381C">
      <w:instrText xml:space="preserve"> DOCPROPERTY "YearUser" *\charformat </w:instrText>
    </w:r>
    <w:r w:rsidRPr="008D381C">
      <w:fldChar w:fldCharType="separate"/>
    </w:r>
    <w:r w:rsidRPr="008D381C">
      <w:t>2011/12</w:t>
    </w:r>
    <w:r w:rsidRPr="008D381C">
      <w:fldChar w:fldCharType="end"/>
    </w:r>
    <w:r w:rsidRPr="008D381C">
      <w:t>:</w:t>
    </w:r>
    <w:r w:rsidRPr="008D381C">
      <w:fldChar w:fldCharType="begin" w:fldLock="1"/>
    </w:r>
    <w:r w:rsidRPr="008D381C">
      <w:instrText xml:space="preserve"> DOCPROPERTY "Motionsnummer" *\charformat </w:instrText>
    </w:r>
    <w:r w:rsidRPr="008D381C">
      <w:fldChar w:fldCharType="separate"/>
    </w:r>
    <w:r w:rsidRPr="008D381C">
      <w:t>C386</w:t>
    </w:r>
    <w:r w:rsidRPr="008D381C">
      <w:fldChar w:fldCharType="end"/>
    </w:r>
  </w:p>
  <w:p w:rsidR="009C4EFB" w:rsidRPr="008D381C" w:rsidRDefault="009C4EFB">
    <w:pPr>
      <w:pStyle w:val="FSHNormalS5"/>
    </w:pPr>
    <w:r w:rsidRPr="008D381C">
      <w:fldChar w:fldCharType="begin" w:fldLock="1"/>
    </w:r>
    <w:r w:rsidRPr="008D381C">
      <w:instrText xml:space="preserve"> DOCPROPERTY "MotionarText" *\charformat </w:instrText>
    </w:r>
    <w:r w:rsidRPr="008D381C">
      <w:fldChar w:fldCharType="separate"/>
    </w:r>
    <w:r w:rsidRPr="008D381C">
      <w:t>av Lars Ohly m.fl. (V)</w:t>
    </w:r>
    <w:r w:rsidRPr="008D381C">
      <w:fldChar w:fldCharType="end"/>
    </w:r>
    <w:r w:rsidRPr="008D381C">
      <w:br/>
    </w:r>
    <w:r w:rsidRPr="008D381C">
      <w:fldChar w:fldCharType="begin" w:fldLock="1"/>
    </w:r>
    <w:r w:rsidRPr="008D381C">
      <w:instrText xml:space="preserve"> DOCPROPERTY "SvarFrasKort" *\charformat </w:instrText>
    </w:r>
    <w:r w:rsidRPr="008D381C">
      <w:fldChar w:fldCharType="end"/>
    </w:r>
  </w:p>
  <w:p w:rsidR="009C4EFB" w:rsidRPr="008D381C" w:rsidRDefault="009C4EFB">
    <w:pPr>
      <w:pStyle w:val="FSHTitel"/>
    </w:pPr>
    <w:r w:rsidRPr="008D381C">
      <w:fldChar w:fldCharType="begin" w:fldLock="1"/>
    </w:r>
    <w:r w:rsidRPr="008D381C">
      <w:instrText xml:space="preserve"> DOCPROPERTY</w:instrText>
    </w:r>
    <w:r w:rsidRPr="008D381C">
      <w:rPr>
        <w:sz w:val="18"/>
      </w:rPr>
      <w:instrText xml:space="preserve"> "RubrikSvar" *\charformat </w:instrText>
    </w:r>
    <w:r w:rsidRPr="008D381C">
      <w:fldChar w:fldCharType="separate"/>
    </w:r>
    <w:r w:rsidRPr="008D381C">
      <w:t>Utgiftsområde 18 Samhällsplanering, byggande samt konsumentpolitik</w:t>
    </w:r>
    <w:r w:rsidRPr="008D381C">
      <w:fldChar w:fldCharType="end"/>
    </w:r>
  </w:p>
  <w:p w:rsidR="009C4EFB" w:rsidRPr="008D381C" w:rsidRDefault="009C4EFB">
    <w:pPr>
      <w:pStyle w:val="Normal00"/>
    </w:pPr>
  </w:p>
  <w:p w:rsidR="009C4EFB" w:rsidRPr="008D381C" w:rsidRDefault="009C4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7EF4B59"/>
    <w:multiLevelType w:val="hybridMultilevel"/>
    <w:tmpl w:val="B8809E1E"/>
    <w:lvl w:ilvl="0" w:tplc="A66AA3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7531827">
    <w:abstractNumId w:val="3"/>
  </w:num>
  <w:num w:numId="2" w16cid:durableId="2119326339">
    <w:abstractNumId w:val="2"/>
  </w:num>
  <w:num w:numId="3" w16cid:durableId="455295800">
    <w:abstractNumId w:val="1"/>
  </w:num>
  <w:num w:numId="4" w16cid:durableId="1841970269">
    <w:abstractNumId w:val="0"/>
  </w:num>
  <w:num w:numId="5" w16cid:durableId="188223177">
    <w:abstractNumId w:val="7"/>
  </w:num>
  <w:num w:numId="6" w16cid:durableId="1844123220">
    <w:abstractNumId w:val="6"/>
  </w:num>
  <w:num w:numId="7" w16cid:durableId="1185557918">
    <w:abstractNumId w:val="5"/>
  </w:num>
  <w:num w:numId="8" w16cid:durableId="1125267814">
    <w:abstractNumId w:val="4"/>
  </w:num>
  <w:num w:numId="9" w16cid:durableId="926309850">
    <w:abstractNumId w:val="8"/>
  </w:num>
  <w:num w:numId="10" w16cid:durableId="1349209340">
    <w:abstractNumId w:val="9"/>
  </w:num>
  <w:num w:numId="11" w16cid:durableId="700545727">
    <w:abstractNumId w:val="10"/>
  </w:num>
  <w:num w:numId="12" w16cid:durableId="1329211654">
    <w:abstractNumId w:val="13"/>
  </w:num>
  <w:num w:numId="13" w16cid:durableId="1978950280">
    <w:abstractNumId w:val="15"/>
  </w:num>
  <w:num w:numId="14" w16cid:durableId="978069491">
    <w:abstractNumId w:val="16"/>
  </w:num>
  <w:num w:numId="15" w16cid:durableId="1491603954">
    <w:abstractNumId w:val="11"/>
  </w:num>
  <w:num w:numId="16" w16cid:durableId="578101426">
    <w:abstractNumId w:val="19"/>
  </w:num>
  <w:num w:numId="17" w16cid:durableId="75715255">
    <w:abstractNumId w:val="17"/>
  </w:num>
  <w:num w:numId="18" w16cid:durableId="1877698832">
    <w:abstractNumId w:val="14"/>
  </w:num>
  <w:num w:numId="19" w16cid:durableId="1633949327">
    <w:abstractNumId w:val="12"/>
  </w:num>
  <w:num w:numId="20" w16cid:durableId="241456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53F0F50-6F1F-4A36-9FEB-9B3CE8CAF153},{9757EBE9-5352-471C-B04A-E35C112BD16A},{00468181-7122-42C5-877E-69489063FE94},{A3B7BC79-15BA-4C82-9CD3-12632F50DBA0},{DA248C4D-AFF6-4AC5-94CA-AED252C8C8C8},{A7313DCE-0B34-4C27-86F8-BEBB9AB9F316},{079D4C93-6EA5-4909-B653-4590FBA50231},{BDC31807-F167-4EDB-8926-D170E9714DCF}"/>
  </w:docVars>
  <w:rsids>
    <w:rsidRoot w:val="003A4EBA"/>
    <w:rsid w:val="003A4EBA"/>
    <w:rsid w:val="008D381C"/>
    <w:rsid w:val="009C4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9CE0AA-A002-4E49-B43C-5877898D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2890</Characters>
  <Application>Microsoft Office Word</Application>
  <DocSecurity>4</DocSecurity>
  <Lines>90</Lines>
  <Paragraphs>48</Paragraphs>
  <ScaleCrop>false</ScaleCrop>
  <HeadingPairs>
    <vt:vector size="2" baseType="variant">
      <vt:variant>
        <vt:lpstr>Rubrik</vt:lpstr>
      </vt:variant>
      <vt:variant>
        <vt:i4>1</vt:i4>
      </vt:variant>
    </vt:vector>
  </HeadingPairs>
  <TitlesOfParts>
    <vt:vector size="1" baseType="lpstr">
      <vt:lpstr>V406</vt:lpstr>
    </vt:vector>
  </TitlesOfParts>
  <Company>Riksdagen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V406</dc:title>
  <dc:subject>V406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2011-10-30T07:50:00Z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18 Samhällsplanering,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byggande samt konsumentpolitik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(V)\Berg, Marianne (V)\Kakabaveh,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Marianne Berg (V),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20112012000000000086000004060080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20112012000000000086000004060080</vt:lpwstr>
  </property>
  <property fmtid="{D5CDD505-2E9C-101B-9397-08002B2CF9AE}" pid="50" name="nummer">
    <vt:lpwstr>386</vt:lpwstr>
  </property>
  <property fmtid="{D5CDD505-2E9C-101B-9397-08002B2CF9AE}" pid="51" name="utskottsbeteckning">
    <vt:lpwstr>C</vt:lpwstr>
  </property>
  <property fmtid="{D5CDD505-2E9C-101B-9397-08002B2CF9AE}" pid="52" name="GlobalUID">
    <vt:lpwstr>{6C154AA8-B72D-4B8C-9703-92157AC47B17}</vt:lpwstr>
  </property>
  <property fmtid="{D5CDD505-2E9C-101B-9397-08002B2CF9AE}" pid="53" name="Överföringar">
    <vt:i4>0</vt:i4>
  </property>
  <property fmtid="{D5CDD505-2E9C-101B-9397-08002B2CF9AE}" pid="54" name="Checksum">
    <vt:lpwstr>*1006986311689*</vt:lpwstr>
  </property>
  <property fmtid="{D5CDD505-2E9C-101B-9397-08002B2CF9AE}" pid="55" name="skuggnummer">
    <vt:lpwstr>2702</vt:lpwstr>
  </property>
  <property fmtid="{D5CDD505-2E9C-101B-9397-08002B2CF9AE}" pid="56" name="urixVersion">
    <vt:lpwstr>4.5.0.25</vt:lpwstr>
  </property>
  <property fmtid="{D5CDD505-2E9C-101B-9397-08002B2CF9AE}" pid="57" name="urixOrigin">
    <vt:lpwstr>111118 13:59:33.675</vt:lpwstr>
  </property>
  <property fmtid="{D5CDD505-2E9C-101B-9397-08002B2CF9AE}" pid="58" name="urixGuid">
    <vt:lpwstr>{793535F8-42F7-4660-994C-66DE24005ACA}</vt:lpwstr>
  </property>
</Properties>
</file>