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5942E" w14:textId="77777777" w:rsidR="00FB32B9" w:rsidRDefault="00682484" w:rsidP="00FB32B9">
      <w:pPr>
        <w:pStyle w:val="UDrubrik"/>
        <w:tabs>
          <w:tab w:val="left" w:pos="1701"/>
          <w:tab w:val="left" w:pos="1985"/>
        </w:tabs>
        <w:rPr>
          <w:rFonts w:cs="Arial"/>
          <w:sz w:val="28"/>
        </w:rPr>
      </w:pPr>
      <w:bookmarkStart w:id="0" w:name="_GoBack"/>
      <w:bookmarkEnd w:id="0"/>
    </w:p>
    <w:p w14:paraId="3B95942F" w14:textId="77777777" w:rsidR="00FB32B9" w:rsidRDefault="00682484" w:rsidP="00FB32B9">
      <w:pPr>
        <w:pStyle w:val="UDrubrik"/>
        <w:tabs>
          <w:tab w:val="left" w:pos="1701"/>
          <w:tab w:val="left" w:pos="1985"/>
        </w:tabs>
        <w:rPr>
          <w:rFonts w:cs="Arial"/>
          <w:sz w:val="28"/>
        </w:rPr>
      </w:pPr>
    </w:p>
    <w:p w14:paraId="3B959430" w14:textId="77777777" w:rsidR="00FB32B9" w:rsidRDefault="00682484" w:rsidP="00FB32B9">
      <w:pPr>
        <w:pStyle w:val="UDrubrik"/>
        <w:tabs>
          <w:tab w:val="left" w:pos="1701"/>
          <w:tab w:val="left" w:pos="1985"/>
        </w:tabs>
        <w:rPr>
          <w:rFonts w:cs="Arial"/>
          <w:sz w:val="28"/>
        </w:rPr>
      </w:pPr>
    </w:p>
    <w:p w14:paraId="3B959431" w14:textId="77777777" w:rsidR="00FB32B9" w:rsidRDefault="00682484" w:rsidP="00FB32B9">
      <w:pPr>
        <w:pStyle w:val="UDrubrik"/>
        <w:tabs>
          <w:tab w:val="left" w:pos="1701"/>
          <w:tab w:val="left" w:pos="1985"/>
        </w:tabs>
        <w:rPr>
          <w:rFonts w:cs="Arial"/>
          <w:sz w:val="28"/>
        </w:rPr>
      </w:pPr>
    </w:p>
    <w:p w14:paraId="3B959432" w14:textId="18D2F908" w:rsidR="00FB32B9" w:rsidRDefault="00CA4626"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sidR="000E54C3">
        <w:rPr>
          <w:rFonts w:cs="Arial"/>
          <w:sz w:val="28"/>
        </w:rPr>
        <w:t>Coreper</w:t>
      </w:r>
      <w:proofErr w:type="spellEnd"/>
      <w:r w:rsidR="000E54C3">
        <w:rPr>
          <w:rFonts w:cs="Arial"/>
          <w:sz w:val="28"/>
        </w:rPr>
        <w:t xml:space="preserve"> II </w:t>
      </w:r>
      <w:r w:rsidR="00913679">
        <w:rPr>
          <w:rFonts w:cs="Arial"/>
          <w:sz w:val="28"/>
        </w:rPr>
        <w:t xml:space="preserve">den 15 januari 2015 </w:t>
      </w:r>
      <w:r w:rsidR="000E54C3">
        <w:rPr>
          <w:rFonts w:cs="Arial"/>
          <w:sz w:val="28"/>
        </w:rPr>
        <w:t>vecka 3</w:t>
      </w:r>
      <w:r>
        <w:rPr>
          <w:rFonts w:cs="Arial"/>
          <w:sz w:val="28"/>
        </w:rPr>
        <w:t>.</w:t>
      </w:r>
    </w:p>
    <w:p w14:paraId="3B959433" w14:textId="77777777" w:rsidR="00FB32B9" w:rsidRDefault="00682484" w:rsidP="00FB32B9">
      <w:pPr>
        <w:pStyle w:val="Brdtext"/>
      </w:pPr>
    </w:p>
    <w:p w14:paraId="3B959434" w14:textId="1BD58530" w:rsidR="00FB32B9" w:rsidRDefault="00CA4626" w:rsidP="00FB32B9">
      <w:pPr>
        <w:pStyle w:val="Brdtext"/>
      </w:pPr>
      <w:r>
        <w:t xml:space="preserve">Överlämnas för skriftligt samråd till </w:t>
      </w:r>
      <w:r w:rsidR="000E54C3">
        <w:t>fredag</w:t>
      </w:r>
      <w:r>
        <w:t xml:space="preserve"> den </w:t>
      </w:r>
      <w:r w:rsidR="000E54C3">
        <w:t>16 januari 2015</w:t>
      </w:r>
      <w:r>
        <w:t xml:space="preserve">, </w:t>
      </w:r>
      <w:proofErr w:type="spellStart"/>
      <w:r>
        <w:t>kl</w:t>
      </w:r>
      <w:proofErr w:type="spellEnd"/>
      <w:r>
        <w:t xml:space="preserve"> </w:t>
      </w:r>
      <w:r w:rsidR="000E54C3">
        <w:t>14</w:t>
      </w:r>
      <w:r>
        <w:t>.</w:t>
      </w:r>
    </w:p>
    <w:p w14:paraId="3B959435" w14:textId="77777777" w:rsidR="00FB32B9" w:rsidRDefault="00CA462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B959436" w14:textId="77777777" w:rsidR="00D957FB" w:rsidRPr="00FB32B9" w:rsidRDefault="00CA4626">
          <w:pPr>
            <w:pStyle w:val="Innehllsfrteckningsrubrik"/>
            <w:rPr>
              <w:color w:val="auto"/>
            </w:rPr>
          </w:pPr>
          <w:proofErr w:type="spellStart"/>
          <w:r w:rsidRPr="00FB32B9">
            <w:rPr>
              <w:color w:val="auto"/>
            </w:rPr>
            <w:t>Innehållsförteckning</w:t>
          </w:r>
          <w:proofErr w:type="spellEnd"/>
        </w:p>
        <w:p w14:paraId="3B959437" w14:textId="77777777" w:rsidR="00DA7250" w:rsidRPr="00DA7250" w:rsidRDefault="00682484" w:rsidP="00DA7250">
          <w:pPr>
            <w:rPr>
              <w:lang w:val="en-US" w:eastAsia="ja-JP"/>
            </w:rPr>
          </w:pPr>
        </w:p>
        <w:p w14:paraId="1C557662" w14:textId="77777777" w:rsidR="000E54C3" w:rsidRDefault="00CA462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9080022" w:history="1">
            <w:r w:rsidR="000E54C3" w:rsidRPr="007C29D0">
              <w:rPr>
                <w:rStyle w:val="Hyperlnk"/>
                <w:noProof/>
              </w:rPr>
              <w:t>1.</w:t>
            </w:r>
            <w:r w:rsidR="000E54C3">
              <w:rPr>
                <w:rFonts w:asciiTheme="minorHAnsi" w:eastAsiaTheme="minorEastAsia" w:hAnsiTheme="minorHAnsi" w:cstheme="minorBidi"/>
                <w:noProof/>
                <w:lang w:eastAsia="sv-SE"/>
              </w:rPr>
              <w:tab/>
            </w:r>
            <w:r w:rsidR="000E54C3" w:rsidRPr="007C29D0">
              <w:rPr>
                <w:rStyle w:val="Hyperlnk"/>
                <w:noProof/>
              </w:rPr>
              <w:t>Case before the General Court =Case T-561/14 European Citizens' Initiative ONE OF US v. European Commission, Council of the EU and European Parliament</w:t>
            </w:r>
            <w:r w:rsidR="000E54C3">
              <w:rPr>
                <w:noProof/>
                <w:webHidden/>
              </w:rPr>
              <w:tab/>
            </w:r>
            <w:r w:rsidR="000E54C3">
              <w:rPr>
                <w:noProof/>
                <w:webHidden/>
              </w:rPr>
              <w:fldChar w:fldCharType="begin"/>
            </w:r>
            <w:r w:rsidR="000E54C3">
              <w:rPr>
                <w:noProof/>
                <w:webHidden/>
              </w:rPr>
              <w:instrText xml:space="preserve"> PAGEREF _Toc409080022 \h </w:instrText>
            </w:r>
            <w:r w:rsidR="000E54C3">
              <w:rPr>
                <w:noProof/>
                <w:webHidden/>
              </w:rPr>
            </w:r>
            <w:r w:rsidR="000E54C3">
              <w:rPr>
                <w:noProof/>
                <w:webHidden/>
              </w:rPr>
              <w:fldChar w:fldCharType="separate"/>
            </w:r>
            <w:r w:rsidR="003A7631">
              <w:rPr>
                <w:noProof/>
                <w:webHidden/>
              </w:rPr>
              <w:t>4</w:t>
            </w:r>
            <w:r w:rsidR="000E54C3">
              <w:rPr>
                <w:noProof/>
                <w:webHidden/>
              </w:rPr>
              <w:fldChar w:fldCharType="end"/>
            </w:r>
          </w:hyperlink>
        </w:p>
        <w:p w14:paraId="15AB51B7"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3" w:history="1">
            <w:r w:rsidR="000E54C3" w:rsidRPr="007C29D0">
              <w:rPr>
                <w:rStyle w:val="Hyperlnk"/>
                <w:noProof/>
              </w:rPr>
              <w:t>2.</w:t>
            </w:r>
            <w:r w:rsidR="000E54C3">
              <w:rPr>
                <w:rFonts w:asciiTheme="minorHAnsi" w:eastAsiaTheme="minorEastAsia" w:hAnsiTheme="minorHAnsi" w:cstheme="minorBidi"/>
                <w:noProof/>
                <w:lang w:eastAsia="sv-SE"/>
              </w:rPr>
              <w:tab/>
            </w:r>
            <w:r w:rsidR="000E54C3" w:rsidRPr="007C29D0">
              <w:rPr>
                <w:rStyle w:val="Hyperlnk"/>
                <w:noProof/>
              </w:rPr>
              <w:t>Case before the General Court =Case T-732/14, Sberbank of Russia OAO v. Council</w:t>
            </w:r>
            <w:r w:rsidR="000E54C3">
              <w:rPr>
                <w:noProof/>
                <w:webHidden/>
              </w:rPr>
              <w:tab/>
            </w:r>
            <w:r w:rsidR="000E54C3">
              <w:rPr>
                <w:noProof/>
                <w:webHidden/>
              </w:rPr>
              <w:fldChar w:fldCharType="begin"/>
            </w:r>
            <w:r w:rsidR="000E54C3">
              <w:rPr>
                <w:noProof/>
                <w:webHidden/>
              </w:rPr>
              <w:instrText xml:space="preserve"> PAGEREF _Toc409080023 \h </w:instrText>
            </w:r>
            <w:r w:rsidR="000E54C3">
              <w:rPr>
                <w:noProof/>
                <w:webHidden/>
              </w:rPr>
            </w:r>
            <w:r w:rsidR="000E54C3">
              <w:rPr>
                <w:noProof/>
                <w:webHidden/>
              </w:rPr>
              <w:fldChar w:fldCharType="separate"/>
            </w:r>
            <w:r w:rsidR="003A7631">
              <w:rPr>
                <w:noProof/>
                <w:webHidden/>
              </w:rPr>
              <w:t>4</w:t>
            </w:r>
            <w:r w:rsidR="000E54C3">
              <w:rPr>
                <w:noProof/>
                <w:webHidden/>
              </w:rPr>
              <w:fldChar w:fldCharType="end"/>
            </w:r>
          </w:hyperlink>
        </w:p>
        <w:p w14:paraId="686A913A"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4" w:history="1">
            <w:r w:rsidR="000E54C3" w:rsidRPr="007C29D0">
              <w:rPr>
                <w:rStyle w:val="Hyperlnk"/>
                <w:noProof/>
              </w:rPr>
              <w:t>3.</w:t>
            </w:r>
            <w:r w:rsidR="000E54C3">
              <w:rPr>
                <w:rFonts w:asciiTheme="minorHAnsi" w:eastAsiaTheme="minorEastAsia" w:hAnsiTheme="minorHAnsi" w:cstheme="minorBidi"/>
                <w:noProof/>
                <w:lang w:eastAsia="sv-SE"/>
              </w:rPr>
              <w:tab/>
            </w:r>
            <w:r w:rsidR="000E54C3" w:rsidRPr="007C29D0">
              <w:rPr>
                <w:rStyle w:val="Hyperlnk"/>
                <w:noProof/>
              </w:rPr>
              <w:t>Chairing of certain Working Parties by other delegations, at the request of the Latvian Presidency</w:t>
            </w:r>
            <w:r w:rsidR="000E54C3">
              <w:rPr>
                <w:noProof/>
                <w:webHidden/>
              </w:rPr>
              <w:tab/>
            </w:r>
            <w:r w:rsidR="000E54C3">
              <w:rPr>
                <w:noProof/>
                <w:webHidden/>
              </w:rPr>
              <w:fldChar w:fldCharType="begin"/>
            </w:r>
            <w:r w:rsidR="000E54C3">
              <w:rPr>
                <w:noProof/>
                <w:webHidden/>
              </w:rPr>
              <w:instrText xml:space="preserve"> PAGEREF _Toc409080024 \h </w:instrText>
            </w:r>
            <w:r w:rsidR="000E54C3">
              <w:rPr>
                <w:noProof/>
                <w:webHidden/>
              </w:rPr>
            </w:r>
            <w:r w:rsidR="000E54C3">
              <w:rPr>
                <w:noProof/>
                <w:webHidden/>
              </w:rPr>
              <w:fldChar w:fldCharType="separate"/>
            </w:r>
            <w:r w:rsidR="003A7631">
              <w:rPr>
                <w:noProof/>
                <w:webHidden/>
              </w:rPr>
              <w:t>4</w:t>
            </w:r>
            <w:r w:rsidR="000E54C3">
              <w:rPr>
                <w:noProof/>
                <w:webHidden/>
              </w:rPr>
              <w:fldChar w:fldCharType="end"/>
            </w:r>
          </w:hyperlink>
        </w:p>
        <w:p w14:paraId="5B523D4E"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5" w:history="1">
            <w:r w:rsidR="000E54C3" w:rsidRPr="007C29D0">
              <w:rPr>
                <w:rStyle w:val="Hyperlnk"/>
                <w:noProof/>
              </w:rPr>
              <w:t>4.</w:t>
            </w:r>
            <w:r w:rsidR="000E54C3">
              <w:rPr>
                <w:rFonts w:asciiTheme="minorHAnsi" w:eastAsiaTheme="minorEastAsia" w:hAnsiTheme="minorHAnsi" w:cstheme="minorBidi"/>
                <w:noProof/>
                <w:lang w:eastAsia="sv-SE"/>
              </w:rPr>
              <w:tab/>
            </w:r>
            <w:r w:rsidR="000E54C3" w:rsidRPr="007C29D0">
              <w:rPr>
                <w:rStyle w:val="Hyperlnk"/>
                <w:noProof/>
              </w:rPr>
              <w:t>EU security assessment visit programme</w:t>
            </w:r>
            <w:r w:rsidR="000E54C3">
              <w:rPr>
                <w:noProof/>
                <w:webHidden/>
              </w:rPr>
              <w:tab/>
            </w:r>
            <w:r w:rsidR="000E54C3">
              <w:rPr>
                <w:noProof/>
                <w:webHidden/>
              </w:rPr>
              <w:fldChar w:fldCharType="begin"/>
            </w:r>
            <w:r w:rsidR="000E54C3">
              <w:rPr>
                <w:noProof/>
                <w:webHidden/>
              </w:rPr>
              <w:instrText xml:space="preserve"> PAGEREF _Toc409080025 \h </w:instrText>
            </w:r>
            <w:r w:rsidR="000E54C3">
              <w:rPr>
                <w:noProof/>
                <w:webHidden/>
              </w:rPr>
            </w:r>
            <w:r w:rsidR="000E54C3">
              <w:rPr>
                <w:noProof/>
                <w:webHidden/>
              </w:rPr>
              <w:fldChar w:fldCharType="separate"/>
            </w:r>
            <w:r w:rsidR="003A7631">
              <w:rPr>
                <w:noProof/>
                <w:webHidden/>
              </w:rPr>
              <w:t>5</w:t>
            </w:r>
            <w:r w:rsidR="000E54C3">
              <w:rPr>
                <w:noProof/>
                <w:webHidden/>
              </w:rPr>
              <w:fldChar w:fldCharType="end"/>
            </w:r>
          </w:hyperlink>
        </w:p>
        <w:p w14:paraId="7D06AE00"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6" w:history="1">
            <w:r w:rsidR="000E54C3" w:rsidRPr="007C29D0">
              <w:rPr>
                <w:rStyle w:val="Hyperlnk"/>
                <w:noProof/>
              </w:rPr>
              <w:t>5.</w:t>
            </w:r>
            <w:r w:rsidR="000E54C3">
              <w:rPr>
                <w:rFonts w:asciiTheme="minorHAnsi" w:eastAsiaTheme="minorEastAsia" w:hAnsiTheme="minorHAnsi" w:cstheme="minorBidi"/>
                <w:noProof/>
                <w:lang w:eastAsia="sv-SE"/>
              </w:rPr>
              <w:tab/>
            </w:r>
            <w:r w:rsidR="000E54C3" w:rsidRPr="007C29D0">
              <w:rPr>
                <w:rStyle w:val="Hyperlnk"/>
                <w:noProof/>
              </w:rPr>
              <w:t>Submission of a new draft design of commemorative 2 euro coin, to be issued by France in 2015</w:t>
            </w:r>
            <w:r w:rsidR="000E54C3">
              <w:rPr>
                <w:noProof/>
                <w:webHidden/>
              </w:rPr>
              <w:tab/>
            </w:r>
            <w:r w:rsidR="000E54C3">
              <w:rPr>
                <w:noProof/>
                <w:webHidden/>
              </w:rPr>
              <w:fldChar w:fldCharType="begin"/>
            </w:r>
            <w:r w:rsidR="000E54C3">
              <w:rPr>
                <w:noProof/>
                <w:webHidden/>
              </w:rPr>
              <w:instrText xml:space="preserve"> PAGEREF _Toc409080026 \h </w:instrText>
            </w:r>
            <w:r w:rsidR="000E54C3">
              <w:rPr>
                <w:noProof/>
                <w:webHidden/>
              </w:rPr>
            </w:r>
            <w:r w:rsidR="000E54C3">
              <w:rPr>
                <w:noProof/>
                <w:webHidden/>
              </w:rPr>
              <w:fldChar w:fldCharType="separate"/>
            </w:r>
            <w:r w:rsidR="003A7631">
              <w:rPr>
                <w:noProof/>
                <w:webHidden/>
              </w:rPr>
              <w:t>6</w:t>
            </w:r>
            <w:r w:rsidR="000E54C3">
              <w:rPr>
                <w:noProof/>
                <w:webHidden/>
              </w:rPr>
              <w:fldChar w:fldCharType="end"/>
            </w:r>
          </w:hyperlink>
        </w:p>
        <w:p w14:paraId="044E3FF2"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7" w:history="1">
            <w:r w:rsidR="000E54C3" w:rsidRPr="007C29D0">
              <w:rPr>
                <w:rStyle w:val="Hyperlnk"/>
                <w:noProof/>
              </w:rPr>
              <w:t>6.</w:t>
            </w:r>
            <w:r w:rsidR="000E54C3">
              <w:rPr>
                <w:rFonts w:asciiTheme="minorHAnsi" w:eastAsiaTheme="minorEastAsia" w:hAnsiTheme="minorHAnsi" w:cstheme="minorBidi"/>
                <w:noProof/>
                <w:lang w:eastAsia="sv-SE"/>
              </w:rPr>
              <w:tab/>
            </w:r>
            <w:r w:rsidR="000E54C3" w:rsidRPr="007C29D0">
              <w:rPr>
                <w:rStyle w:val="Hyperlnk"/>
                <w:noProof/>
              </w:rPr>
              <w:t>Establishment of an Ad-Hoc Working Party on the European Fund for Strategic Investments (EFSI)</w:t>
            </w:r>
            <w:r w:rsidR="000E54C3">
              <w:rPr>
                <w:noProof/>
                <w:webHidden/>
              </w:rPr>
              <w:tab/>
            </w:r>
            <w:r w:rsidR="000E54C3">
              <w:rPr>
                <w:noProof/>
                <w:webHidden/>
              </w:rPr>
              <w:fldChar w:fldCharType="begin"/>
            </w:r>
            <w:r w:rsidR="000E54C3">
              <w:rPr>
                <w:noProof/>
                <w:webHidden/>
              </w:rPr>
              <w:instrText xml:space="preserve"> PAGEREF _Toc409080027 \h </w:instrText>
            </w:r>
            <w:r w:rsidR="000E54C3">
              <w:rPr>
                <w:noProof/>
                <w:webHidden/>
              </w:rPr>
            </w:r>
            <w:r w:rsidR="000E54C3">
              <w:rPr>
                <w:noProof/>
                <w:webHidden/>
              </w:rPr>
              <w:fldChar w:fldCharType="separate"/>
            </w:r>
            <w:r w:rsidR="003A7631">
              <w:rPr>
                <w:noProof/>
                <w:webHidden/>
              </w:rPr>
              <w:t>6</w:t>
            </w:r>
            <w:r w:rsidR="000E54C3">
              <w:rPr>
                <w:noProof/>
                <w:webHidden/>
              </w:rPr>
              <w:fldChar w:fldCharType="end"/>
            </w:r>
          </w:hyperlink>
        </w:p>
        <w:p w14:paraId="48F7E9D3"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8" w:history="1">
            <w:r w:rsidR="000E54C3" w:rsidRPr="007C29D0">
              <w:rPr>
                <w:rStyle w:val="Hyperlnk"/>
                <w:noProof/>
              </w:rPr>
              <w:t>7.</w:t>
            </w:r>
            <w:r w:rsidR="000E54C3">
              <w:rPr>
                <w:rFonts w:asciiTheme="minorHAnsi" w:eastAsiaTheme="minorEastAsia" w:hAnsiTheme="minorHAnsi" w:cstheme="minorBidi"/>
                <w:noProof/>
                <w:lang w:eastAsia="sv-SE"/>
              </w:rPr>
              <w:tab/>
            </w:r>
            <w:r w:rsidR="000E54C3" w:rsidRPr="007C29D0">
              <w:rPr>
                <w:rStyle w:val="Hyperlnk"/>
                <w:noProof/>
              </w:rPr>
              <w:t>Commission Delegated Regulation (EU) No …/.. of 17.12.2014 supplementing Directive 2004/109/EC of the European Parliament and of the Council with regard to certain regulatory technical standards on major holdings</w:t>
            </w:r>
            <w:r w:rsidR="000E54C3">
              <w:rPr>
                <w:noProof/>
                <w:webHidden/>
              </w:rPr>
              <w:tab/>
            </w:r>
            <w:r w:rsidR="000E54C3">
              <w:rPr>
                <w:noProof/>
                <w:webHidden/>
              </w:rPr>
              <w:fldChar w:fldCharType="begin"/>
            </w:r>
            <w:r w:rsidR="000E54C3">
              <w:rPr>
                <w:noProof/>
                <w:webHidden/>
              </w:rPr>
              <w:instrText xml:space="preserve"> PAGEREF _Toc409080028 \h </w:instrText>
            </w:r>
            <w:r w:rsidR="000E54C3">
              <w:rPr>
                <w:noProof/>
                <w:webHidden/>
              </w:rPr>
            </w:r>
            <w:r w:rsidR="000E54C3">
              <w:rPr>
                <w:noProof/>
                <w:webHidden/>
              </w:rPr>
              <w:fldChar w:fldCharType="separate"/>
            </w:r>
            <w:r w:rsidR="003A7631">
              <w:rPr>
                <w:noProof/>
                <w:webHidden/>
              </w:rPr>
              <w:t>6</w:t>
            </w:r>
            <w:r w:rsidR="000E54C3">
              <w:rPr>
                <w:noProof/>
                <w:webHidden/>
              </w:rPr>
              <w:fldChar w:fldCharType="end"/>
            </w:r>
          </w:hyperlink>
        </w:p>
        <w:p w14:paraId="69D2255B"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29" w:history="1">
            <w:r w:rsidR="000E54C3" w:rsidRPr="007C29D0">
              <w:rPr>
                <w:rStyle w:val="Hyperlnk"/>
                <w:noProof/>
              </w:rPr>
              <w:t>8.</w:t>
            </w:r>
            <w:r w:rsidR="000E54C3">
              <w:rPr>
                <w:rFonts w:asciiTheme="minorHAnsi" w:eastAsiaTheme="minorEastAsia" w:hAnsiTheme="minorHAnsi" w:cstheme="minorBidi"/>
                <w:noProof/>
                <w:lang w:eastAsia="sv-SE"/>
              </w:rPr>
              <w:tab/>
            </w:r>
            <w:r w:rsidR="000E54C3" w:rsidRPr="007C29D0">
              <w:rPr>
                <w:rStyle w:val="Hyperlnk"/>
                <w:noProof/>
              </w:rPr>
              <w:t>Commission Delegated Regulation (EU) No …/.. of 18.12.2014 supplementing Regulation (EU) No 575/2013 of the European Parliament and of the Council with regard to regulatory technical standards for the specification of margin periods of risk</w:t>
            </w:r>
            <w:r w:rsidR="000E54C3">
              <w:rPr>
                <w:noProof/>
                <w:webHidden/>
              </w:rPr>
              <w:tab/>
            </w:r>
            <w:r w:rsidR="000E54C3">
              <w:rPr>
                <w:noProof/>
                <w:webHidden/>
              </w:rPr>
              <w:fldChar w:fldCharType="begin"/>
            </w:r>
            <w:r w:rsidR="000E54C3">
              <w:rPr>
                <w:noProof/>
                <w:webHidden/>
              </w:rPr>
              <w:instrText xml:space="preserve"> PAGEREF _Toc409080029 \h </w:instrText>
            </w:r>
            <w:r w:rsidR="000E54C3">
              <w:rPr>
                <w:noProof/>
                <w:webHidden/>
              </w:rPr>
            </w:r>
            <w:r w:rsidR="000E54C3">
              <w:rPr>
                <w:noProof/>
                <w:webHidden/>
              </w:rPr>
              <w:fldChar w:fldCharType="separate"/>
            </w:r>
            <w:r w:rsidR="003A7631">
              <w:rPr>
                <w:noProof/>
                <w:webHidden/>
              </w:rPr>
              <w:t>7</w:t>
            </w:r>
            <w:r w:rsidR="000E54C3">
              <w:rPr>
                <w:noProof/>
                <w:webHidden/>
              </w:rPr>
              <w:fldChar w:fldCharType="end"/>
            </w:r>
          </w:hyperlink>
        </w:p>
        <w:p w14:paraId="3DF00EDE" w14:textId="77777777" w:rsidR="000E54C3" w:rsidRDefault="00682484">
          <w:pPr>
            <w:pStyle w:val="Innehll1"/>
            <w:tabs>
              <w:tab w:val="left" w:pos="440"/>
              <w:tab w:val="right" w:leader="dot" w:pos="9062"/>
            </w:tabs>
            <w:rPr>
              <w:rFonts w:asciiTheme="minorHAnsi" w:eastAsiaTheme="minorEastAsia" w:hAnsiTheme="minorHAnsi" w:cstheme="minorBidi"/>
              <w:noProof/>
              <w:lang w:eastAsia="sv-SE"/>
            </w:rPr>
          </w:pPr>
          <w:hyperlink w:anchor="_Toc409080030" w:history="1">
            <w:r w:rsidR="000E54C3" w:rsidRPr="007C29D0">
              <w:rPr>
                <w:rStyle w:val="Hyperlnk"/>
                <w:noProof/>
              </w:rPr>
              <w:t>9.</w:t>
            </w:r>
            <w:r w:rsidR="000E54C3">
              <w:rPr>
                <w:rFonts w:asciiTheme="minorHAnsi" w:eastAsiaTheme="minorEastAsia" w:hAnsiTheme="minorHAnsi" w:cstheme="minorBidi"/>
                <w:noProof/>
                <w:lang w:eastAsia="sv-SE"/>
              </w:rPr>
              <w:tab/>
            </w:r>
            <w:r w:rsidR="000E54C3" w:rsidRPr="007C29D0">
              <w:rPr>
                <w:rStyle w:val="Hyperlnk"/>
                <w:noProof/>
              </w:rPr>
              <w:t>Proposal for transfer of appropriations No DEC 54/2014 within Section III - Commission - of the general budget for 2014</w:t>
            </w:r>
            <w:r w:rsidR="000E54C3">
              <w:rPr>
                <w:noProof/>
                <w:webHidden/>
              </w:rPr>
              <w:tab/>
            </w:r>
            <w:r w:rsidR="000E54C3">
              <w:rPr>
                <w:noProof/>
                <w:webHidden/>
              </w:rPr>
              <w:fldChar w:fldCharType="begin"/>
            </w:r>
            <w:r w:rsidR="000E54C3">
              <w:rPr>
                <w:noProof/>
                <w:webHidden/>
              </w:rPr>
              <w:instrText xml:space="preserve"> PAGEREF _Toc409080030 \h </w:instrText>
            </w:r>
            <w:r w:rsidR="000E54C3">
              <w:rPr>
                <w:noProof/>
                <w:webHidden/>
              </w:rPr>
            </w:r>
            <w:r w:rsidR="000E54C3">
              <w:rPr>
                <w:noProof/>
                <w:webHidden/>
              </w:rPr>
              <w:fldChar w:fldCharType="separate"/>
            </w:r>
            <w:r w:rsidR="003A7631">
              <w:rPr>
                <w:noProof/>
                <w:webHidden/>
              </w:rPr>
              <w:t>8</w:t>
            </w:r>
            <w:r w:rsidR="000E54C3">
              <w:rPr>
                <w:noProof/>
                <w:webHidden/>
              </w:rPr>
              <w:fldChar w:fldCharType="end"/>
            </w:r>
          </w:hyperlink>
        </w:p>
        <w:p w14:paraId="3D772953"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1" w:history="1">
            <w:r w:rsidR="000E54C3" w:rsidRPr="007C29D0">
              <w:rPr>
                <w:rStyle w:val="Hyperlnk"/>
                <w:noProof/>
              </w:rPr>
              <w:t>10.</w:t>
            </w:r>
            <w:r w:rsidR="000E54C3">
              <w:rPr>
                <w:rFonts w:asciiTheme="minorHAnsi" w:eastAsiaTheme="minorEastAsia" w:hAnsiTheme="minorHAnsi" w:cstheme="minorBidi"/>
                <w:noProof/>
                <w:lang w:eastAsia="sv-SE"/>
              </w:rPr>
              <w:tab/>
            </w:r>
            <w:r w:rsidR="000E54C3" w:rsidRPr="007C29D0">
              <w:rPr>
                <w:rStyle w:val="Hyperlnk"/>
                <w:noProof/>
              </w:rPr>
              <w:t>(poss.) Draft Council conclusions on the Great Lakes Region</w:t>
            </w:r>
            <w:r w:rsidR="000E54C3">
              <w:rPr>
                <w:noProof/>
                <w:webHidden/>
              </w:rPr>
              <w:tab/>
            </w:r>
            <w:r w:rsidR="000E54C3">
              <w:rPr>
                <w:noProof/>
                <w:webHidden/>
              </w:rPr>
              <w:fldChar w:fldCharType="begin"/>
            </w:r>
            <w:r w:rsidR="000E54C3">
              <w:rPr>
                <w:noProof/>
                <w:webHidden/>
              </w:rPr>
              <w:instrText xml:space="preserve"> PAGEREF _Toc409080031 \h </w:instrText>
            </w:r>
            <w:r w:rsidR="000E54C3">
              <w:rPr>
                <w:noProof/>
                <w:webHidden/>
              </w:rPr>
            </w:r>
            <w:r w:rsidR="000E54C3">
              <w:rPr>
                <w:noProof/>
                <w:webHidden/>
              </w:rPr>
              <w:fldChar w:fldCharType="separate"/>
            </w:r>
            <w:r w:rsidR="003A7631">
              <w:rPr>
                <w:noProof/>
                <w:webHidden/>
              </w:rPr>
              <w:t>9</w:t>
            </w:r>
            <w:r w:rsidR="000E54C3">
              <w:rPr>
                <w:noProof/>
                <w:webHidden/>
              </w:rPr>
              <w:fldChar w:fldCharType="end"/>
            </w:r>
          </w:hyperlink>
        </w:p>
        <w:p w14:paraId="1F79245B"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2" w:history="1">
            <w:r w:rsidR="000E54C3" w:rsidRPr="007C29D0">
              <w:rPr>
                <w:rStyle w:val="Hyperlnk"/>
                <w:noProof/>
              </w:rPr>
              <w:t>11.</w:t>
            </w:r>
            <w:r w:rsidR="000E54C3">
              <w:rPr>
                <w:rFonts w:asciiTheme="minorHAnsi" w:eastAsiaTheme="minorEastAsia" w:hAnsiTheme="minorHAnsi" w:cstheme="minorBidi"/>
                <w:noProof/>
                <w:lang w:eastAsia="sv-SE"/>
              </w:rPr>
              <w:tab/>
            </w:r>
            <w:r w:rsidR="000E54C3" w:rsidRPr="007C29D0">
              <w:rPr>
                <w:rStyle w:val="Hyperlnk"/>
                <w:noProof/>
              </w:rPr>
              <w:t>Relations with Armenia</w:t>
            </w:r>
            <w:r w:rsidR="000E54C3">
              <w:rPr>
                <w:noProof/>
                <w:webHidden/>
              </w:rPr>
              <w:tab/>
            </w:r>
            <w:r w:rsidR="000E54C3">
              <w:rPr>
                <w:noProof/>
                <w:webHidden/>
              </w:rPr>
              <w:fldChar w:fldCharType="begin"/>
            </w:r>
            <w:r w:rsidR="000E54C3">
              <w:rPr>
                <w:noProof/>
                <w:webHidden/>
              </w:rPr>
              <w:instrText xml:space="preserve"> PAGEREF _Toc409080032 \h </w:instrText>
            </w:r>
            <w:r w:rsidR="000E54C3">
              <w:rPr>
                <w:noProof/>
                <w:webHidden/>
              </w:rPr>
            </w:r>
            <w:r w:rsidR="000E54C3">
              <w:rPr>
                <w:noProof/>
                <w:webHidden/>
              </w:rPr>
              <w:fldChar w:fldCharType="separate"/>
            </w:r>
            <w:r w:rsidR="003A7631">
              <w:rPr>
                <w:noProof/>
                <w:webHidden/>
              </w:rPr>
              <w:t>9</w:t>
            </w:r>
            <w:r w:rsidR="000E54C3">
              <w:rPr>
                <w:noProof/>
                <w:webHidden/>
              </w:rPr>
              <w:fldChar w:fldCharType="end"/>
            </w:r>
          </w:hyperlink>
        </w:p>
        <w:p w14:paraId="05746A50"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3" w:history="1">
            <w:r w:rsidR="000E54C3" w:rsidRPr="007C29D0">
              <w:rPr>
                <w:rStyle w:val="Hyperlnk"/>
                <w:noProof/>
              </w:rPr>
              <w:t>12.</w:t>
            </w:r>
            <w:r w:rsidR="000E54C3">
              <w:rPr>
                <w:rFonts w:asciiTheme="minorHAnsi" w:eastAsiaTheme="minorEastAsia" w:hAnsiTheme="minorHAnsi" w:cstheme="minorBidi"/>
                <w:noProof/>
                <w:lang w:eastAsia="sv-SE"/>
              </w:rPr>
              <w:tab/>
            </w:r>
            <w:r w:rsidR="000E54C3" w:rsidRPr="007C29D0">
              <w:rPr>
                <w:rStyle w:val="Hyperlnk"/>
                <w:noProof/>
              </w:rPr>
              <w:t>Draft Council Conclusions on Tunisia</w:t>
            </w:r>
            <w:r w:rsidR="000E54C3">
              <w:rPr>
                <w:noProof/>
                <w:webHidden/>
              </w:rPr>
              <w:tab/>
            </w:r>
            <w:r w:rsidR="000E54C3">
              <w:rPr>
                <w:noProof/>
                <w:webHidden/>
              </w:rPr>
              <w:fldChar w:fldCharType="begin"/>
            </w:r>
            <w:r w:rsidR="000E54C3">
              <w:rPr>
                <w:noProof/>
                <w:webHidden/>
              </w:rPr>
              <w:instrText xml:space="preserve"> PAGEREF _Toc409080033 \h </w:instrText>
            </w:r>
            <w:r w:rsidR="000E54C3">
              <w:rPr>
                <w:noProof/>
                <w:webHidden/>
              </w:rPr>
            </w:r>
            <w:r w:rsidR="000E54C3">
              <w:rPr>
                <w:noProof/>
                <w:webHidden/>
              </w:rPr>
              <w:fldChar w:fldCharType="separate"/>
            </w:r>
            <w:r w:rsidR="003A7631">
              <w:rPr>
                <w:noProof/>
                <w:webHidden/>
              </w:rPr>
              <w:t>10</w:t>
            </w:r>
            <w:r w:rsidR="000E54C3">
              <w:rPr>
                <w:noProof/>
                <w:webHidden/>
              </w:rPr>
              <w:fldChar w:fldCharType="end"/>
            </w:r>
          </w:hyperlink>
        </w:p>
        <w:p w14:paraId="5E1F3BD4"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4" w:history="1">
            <w:r w:rsidR="000E54C3" w:rsidRPr="007C29D0">
              <w:rPr>
                <w:rStyle w:val="Hyperlnk"/>
                <w:noProof/>
              </w:rPr>
              <w:t>13.</w:t>
            </w:r>
            <w:r w:rsidR="000E54C3">
              <w:rPr>
                <w:rFonts w:asciiTheme="minorHAnsi" w:eastAsiaTheme="minorEastAsia" w:hAnsiTheme="minorHAnsi" w:cstheme="minorBidi"/>
                <w:noProof/>
                <w:lang w:eastAsia="sv-SE"/>
              </w:rPr>
              <w:tab/>
            </w:r>
            <w:r w:rsidR="000E54C3" w:rsidRPr="007C29D0">
              <w:rPr>
                <w:rStyle w:val="Hyperlnk"/>
                <w:noProof/>
              </w:rPr>
              <w:t>Six-monthly Progress Report on the implementation of the EU Strategy against the Proliferation of Weapons of Mass Destruction</w:t>
            </w:r>
            <w:r w:rsidR="000E54C3">
              <w:rPr>
                <w:noProof/>
                <w:webHidden/>
              </w:rPr>
              <w:tab/>
            </w:r>
            <w:r w:rsidR="000E54C3">
              <w:rPr>
                <w:noProof/>
                <w:webHidden/>
              </w:rPr>
              <w:fldChar w:fldCharType="begin"/>
            </w:r>
            <w:r w:rsidR="000E54C3">
              <w:rPr>
                <w:noProof/>
                <w:webHidden/>
              </w:rPr>
              <w:instrText xml:space="preserve"> PAGEREF _Toc409080034 \h </w:instrText>
            </w:r>
            <w:r w:rsidR="000E54C3">
              <w:rPr>
                <w:noProof/>
                <w:webHidden/>
              </w:rPr>
            </w:r>
            <w:r w:rsidR="000E54C3">
              <w:rPr>
                <w:noProof/>
                <w:webHidden/>
              </w:rPr>
              <w:fldChar w:fldCharType="separate"/>
            </w:r>
            <w:r w:rsidR="003A7631">
              <w:rPr>
                <w:noProof/>
                <w:webHidden/>
              </w:rPr>
              <w:t>10</w:t>
            </w:r>
            <w:r w:rsidR="000E54C3">
              <w:rPr>
                <w:noProof/>
                <w:webHidden/>
              </w:rPr>
              <w:fldChar w:fldCharType="end"/>
            </w:r>
          </w:hyperlink>
        </w:p>
        <w:p w14:paraId="6F4719C4"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5" w:history="1">
            <w:r w:rsidR="000E54C3" w:rsidRPr="007C29D0">
              <w:rPr>
                <w:rStyle w:val="Hyperlnk"/>
                <w:noProof/>
              </w:rPr>
              <w:t>14.</w:t>
            </w:r>
            <w:r w:rsidR="000E54C3">
              <w:rPr>
                <w:rFonts w:asciiTheme="minorHAnsi" w:eastAsiaTheme="minorEastAsia" w:hAnsiTheme="minorHAnsi" w:cstheme="minorBidi"/>
                <w:noProof/>
                <w:lang w:eastAsia="sv-SE"/>
              </w:rPr>
              <w:tab/>
            </w:r>
            <w:r w:rsidR="000E54C3" w:rsidRPr="007C29D0">
              <w:rPr>
                <w:rStyle w:val="Hyperlnk"/>
                <w:noProof/>
              </w:rPr>
              <w:t>Council Decision in support of activities of the Organisation for the Prohibition of Chemical Weapons (OPCW) in the framework of the implementation of the EU Strategy against Proliferation of Weapons of Mass Destruction</w:t>
            </w:r>
            <w:r w:rsidR="000E54C3">
              <w:rPr>
                <w:noProof/>
                <w:webHidden/>
              </w:rPr>
              <w:tab/>
            </w:r>
            <w:r w:rsidR="000E54C3">
              <w:rPr>
                <w:noProof/>
                <w:webHidden/>
              </w:rPr>
              <w:fldChar w:fldCharType="begin"/>
            </w:r>
            <w:r w:rsidR="000E54C3">
              <w:rPr>
                <w:noProof/>
                <w:webHidden/>
              </w:rPr>
              <w:instrText xml:space="preserve"> PAGEREF _Toc409080035 \h </w:instrText>
            </w:r>
            <w:r w:rsidR="000E54C3">
              <w:rPr>
                <w:noProof/>
                <w:webHidden/>
              </w:rPr>
            </w:r>
            <w:r w:rsidR="000E54C3">
              <w:rPr>
                <w:noProof/>
                <w:webHidden/>
              </w:rPr>
              <w:fldChar w:fldCharType="separate"/>
            </w:r>
            <w:r w:rsidR="003A7631">
              <w:rPr>
                <w:noProof/>
                <w:webHidden/>
              </w:rPr>
              <w:t>11</w:t>
            </w:r>
            <w:r w:rsidR="000E54C3">
              <w:rPr>
                <w:noProof/>
                <w:webHidden/>
              </w:rPr>
              <w:fldChar w:fldCharType="end"/>
            </w:r>
          </w:hyperlink>
        </w:p>
        <w:p w14:paraId="15B467AC"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6" w:history="1">
            <w:r w:rsidR="000E54C3" w:rsidRPr="007C29D0">
              <w:rPr>
                <w:rStyle w:val="Hyperlnk"/>
                <w:noProof/>
              </w:rPr>
              <w:t>15.</w:t>
            </w:r>
            <w:r w:rsidR="000E54C3">
              <w:rPr>
                <w:rFonts w:asciiTheme="minorHAnsi" w:eastAsiaTheme="minorEastAsia" w:hAnsiTheme="minorHAnsi" w:cstheme="minorBidi"/>
                <w:noProof/>
                <w:lang w:eastAsia="sv-SE"/>
              </w:rPr>
              <w:tab/>
            </w:r>
            <w:r w:rsidR="000E54C3" w:rsidRPr="007C29D0">
              <w:rPr>
                <w:rStyle w:val="Hyperlnk"/>
                <w:noProof/>
              </w:rPr>
              <w:t>Council Decision appointing the European Union Special Representative in Bosnia and Herzegovina</w:t>
            </w:r>
            <w:r w:rsidR="000E54C3">
              <w:rPr>
                <w:noProof/>
                <w:webHidden/>
              </w:rPr>
              <w:tab/>
            </w:r>
            <w:r w:rsidR="000E54C3">
              <w:rPr>
                <w:noProof/>
                <w:webHidden/>
              </w:rPr>
              <w:fldChar w:fldCharType="begin"/>
            </w:r>
            <w:r w:rsidR="000E54C3">
              <w:rPr>
                <w:noProof/>
                <w:webHidden/>
              </w:rPr>
              <w:instrText xml:space="preserve"> PAGEREF _Toc409080036 \h </w:instrText>
            </w:r>
            <w:r w:rsidR="000E54C3">
              <w:rPr>
                <w:noProof/>
                <w:webHidden/>
              </w:rPr>
            </w:r>
            <w:r w:rsidR="000E54C3">
              <w:rPr>
                <w:noProof/>
                <w:webHidden/>
              </w:rPr>
              <w:fldChar w:fldCharType="separate"/>
            </w:r>
            <w:r w:rsidR="003A7631">
              <w:rPr>
                <w:noProof/>
                <w:webHidden/>
              </w:rPr>
              <w:t>11</w:t>
            </w:r>
            <w:r w:rsidR="000E54C3">
              <w:rPr>
                <w:noProof/>
                <w:webHidden/>
              </w:rPr>
              <w:fldChar w:fldCharType="end"/>
            </w:r>
          </w:hyperlink>
        </w:p>
        <w:p w14:paraId="44F9E183"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7" w:history="1">
            <w:r w:rsidR="000E54C3" w:rsidRPr="007C29D0">
              <w:rPr>
                <w:rStyle w:val="Hyperlnk"/>
                <w:noProof/>
              </w:rPr>
              <w:t>16.</w:t>
            </w:r>
            <w:r w:rsidR="000E54C3">
              <w:rPr>
                <w:rFonts w:asciiTheme="minorHAnsi" w:eastAsiaTheme="minorEastAsia" w:hAnsiTheme="minorHAnsi" w:cstheme="minorBidi"/>
                <w:noProof/>
                <w:lang w:eastAsia="sv-SE"/>
              </w:rPr>
              <w:tab/>
            </w:r>
            <w:r w:rsidR="000E54C3" w:rsidRPr="007C29D0">
              <w:rPr>
                <w:rStyle w:val="Hyperlnk"/>
                <w:noProof/>
              </w:rPr>
              <w:t>Council Decision in support of the Union Proposal for an international Code of Conduct for outer space activities as a contribution to transparency and confidence building measures in outer space activities</w:t>
            </w:r>
            <w:r w:rsidR="000E54C3">
              <w:rPr>
                <w:noProof/>
                <w:webHidden/>
              </w:rPr>
              <w:tab/>
            </w:r>
            <w:r w:rsidR="000E54C3">
              <w:rPr>
                <w:noProof/>
                <w:webHidden/>
              </w:rPr>
              <w:fldChar w:fldCharType="begin"/>
            </w:r>
            <w:r w:rsidR="000E54C3">
              <w:rPr>
                <w:noProof/>
                <w:webHidden/>
              </w:rPr>
              <w:instrText xml:space="preserve"> PAGEREF _Toc409080037 \h </w:instrText>
            </w:r>
            <w:r w:rsidR="000E54C3">
              <w:rPr>
                <w:noProof/>
                <w:webHidden/>
              </w:rPr>
            </w:r>
            <w:r w:rsidR="000E54C3">
              <w:rPr>
                <w:noProof/>
                <w:webHidden/>
              </w:rPr>
              <w:fldChar w:fldCharType="separate"/>
            </w:r>
            <w:r w:rsidR="003A7631">
              <w:rPr>
                <w:noProof/>
                <w:webHidden/>
              </w:rPr>
              <w:t>12</w:t>
            </w:r>
            <w:r w:rsidR="000E54C3">
              <w:rPr>
                <w:noProof/>
                <w:webHidden/>
              </w:rPr>
              <w:fldChar w:fldCharType="end"/>
            </w:r>
          </w:hyperlink>
        </w:p>
        <w:p w14:paraId="414D48FD"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8" w:history="1">
            <w:r w:rsidR="000E54C3" w:rsidRPr="007C29D0">
              <w:rPr>
                <w:rStyle w:val="Hyperlnk"/>
                <w:noProof/>
              </w:rPr>
              <w:t>17.</w:t>
            </w:r>
            <w:r w:rsidR="000E54C3">
              <w:rPr>
                <w:rFonts w:asciiTheme="minorHAnsi" w:eastAsiaTheme="minorEastAsia" w:hAnsiTheme="minorHAnsi" w:cstheme="minorBidi"/>
                <w:noProof/>
                <w:lang w:eastAsia="sv-SE"/>
              </w:rPr>
              <w:tab/>
            </w:r>
            <w:r w:rsidR="000E54C3" w:rsidRPr="007C29D0">
              <w:rPr>
                <w:rStyle w:val="Hyperlnk"/>
                <w:noProof/>
              </w:rPr>
              <w:t>Council Decision amending Decision 2010/656/CFSP renewing the restrictive measures against Côte d'Ivoire. Council Regulation amending Regulation (EC) No 174/2005 imposing restrictions on the supply of assistance related to military activities to Côte d'Ivoire</w:t>
            </w:r>
            <w:r w:rsidR="000E54C3">
              <w:rPr>
                <w:noProof/>
                <w:webHidden/>
              </w:rPr>
              <w:tab/>
            </w:r>
            <w:r w:rsidR="000E54C3">
              <w:rPr>
                <w:noProof/>
                <w:webHidden/>
              </w:rPr>
              <w:fldChar w:fldCharType="begin"/>
            </w:r>
            <w:r w:rsidR="000E54C3">
              <w:rPr>
                <w:noProof/>
                <w:webHidden/>
              </w:rPr>
              <w:instrText xml:space="preserve"> PAGEREF _Toc409080038 \h </w:instrText>
            </w:r>
            <w:r w:rsidR="000E54C3">
              <w:rPr>
                <w:noProof/>
                <w:webHidden/>
              </w:rPr>
            </w:r>
            <w:r w:rsidR="000E54C3">
              <w:rPr>
                <w:noProof/>
                <w:webHidden/>
              </w:rPr>
              <w:fldChar w:fldCharType="separate"/>
            </w:r>
            <w:r w:rsidR="003A7631">
              <w:rPr>
                <w:noProof/>
                <w:webHidden/>
              </w:rPr>
              <w:t>13</w:t>
            </w:r>
            <w:r w:rsidR="000E54C3">
              <w:rPr>
                <w:noProof/>
                <w:webHidden/>
              </w:rPr>
              <w:fldChar w:fldCharType="end"/>
            </w:r>
          </w:hyperlink>
        </w:p>
        <w:p w14:paraId="4CF5E90D"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39" w:history="1">
            <w:r w:rsidR="000E54C3" w:rsidRPr="007C29D0">
              <w:rPr>
                <w:rStyle w:val="Hyperlnk"/>
                <w:noProof/>
              </w:rPr>
              <w:t>18.</w:t>
            </w:r>
            <w:r w:rsidR="000E54C3">
              <w:rPr>
                <w:rFonts w:asciiTheme="minorHAnsi" w:eastAsiaTheme="minorEastAsia" w:hAnsiTheme="minorHAnsi" w:cstheme="minorBidi"/>
                <w:noProof/>
                <w:lang w:eastAsia="sv-SE"/>
              </w:rPr>
              <w:tab/>
            </w:r>
            <w:r w:rsidR="000E54C3" w:rsidRPr="007C29D0">
              <w:rPr>
                <w:rStyle w:val="Hyperlnk"/>
                <w:noProof/>
              </w:rPr>
              <w:t>Council Decision on the conclusion, on behalf of the European Union and its Member States, of a Protocol amending the Common Aviation Area Agreement between the European Union and its Member States, of the one part, and Georgia, of the other part, to take account of the accession to the European Union of the Republic of Croatia</w:t>
            </w:r>
            <w:r w:rsidR="000E54C3">
              <w:rPr>
                <w:noProof/>
                <w:webHidden/>
              </w:rPr>
              <w:tab/>
            </w:r>
            <w:r w:rsidR="000E54C3">
              <w:rPr>
                <w:noProof/>
                <w:webHidden/>
              </w:rPr>
              <w:fldChar w:fldCharType="begin"/>
            </w:r>
            <w:r w:rsidR="000E54C3">
              <w:rPr>
                <w:noProof/>
                <w:webHidden/>
              </w:rPr>
              <w:instrText xml:space="preserve"> PAGEREF _Toc409080039 \h </w:instrText>
            </w:r>
            <w:r w:rsidR="000E54C3">
              <w:rPr>
                <w:noProof/>
                <w:webHidden/>
              </w:rPr>
            </w:r>
            <w:r w:rsidR="000E54C3">
              <w:rPr>
                <w:noProof/>
                <w:webHidden/>
              </w:rPr>
              <w:fldChar w:fldCharType="separate"/>
            </w:r>
            <w:r w:rsidR="003A7631">
              <w:rPr>
                <w:noProof/>
                <w:webHidden/>
              </w:rPr>
              <w:t>13</w:t>
            </w:r>
            <w:r w:rsidR="000E54C3">
              <w:rPr>
                <w:noProof/>
                <w:webHidden/>
              </w:rPr>
              <w:fldChar w:fldCharType="end"/>
            </w:r>
          </w:hyperlink>
        </w:p>
        <w:p w14:paraId="10FA7B15"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40" w:history="1">
            <w:r w:rsidR="000E54C3" w:rsidRPr="007C29D0">
              <w:rPr>
                <w:rStyle w:val="Hyperlnk"/>
                <w:noProof/>
              </w:rPr>
              <w:t>19.</w:t>
            </w:r>
            <w:r w:rsidR="000E54C3">
              <w:rPr>
                <w:rFonts w:asciiTheme="minorHAnsi" w:eastAsiaTheme="minorEastAsia" w:hAnsiTheme="minorHAnsi" w:cstheme="minorBidi"/>
                <w:noProof/>
                <w:lang w:eastAsia="sv-SE"/>
              </w:rPr>
              <w:tab/>
            </w:r>
            <w:r w:rsidR="000E54C3" w:rsidRPr="007C29D0">
              <w:rPr>
                <w:rStyle w:val="Hyperlnk"/>
                <w:noProof/>
              </w:rPr>
              <w:t>Commission Regulation (EU) No …/.. of XXX amending Regulation (EC) No 1831/2003 of the European Parliament and of the Council as regards requirements for the placing on the market and conditions of use of additives consisting of preparations (Text with EEA relevance)</w:t>
            </w:r>
            <w:r w:rsidR="000E54C3">
              <w:rPr>
                <w:noProof/>
                <w:webHidden/>
              </w:rPr>
              <w:tab/>
            </w:r>
            <w:r w:rsidR="000E54C3">
              <w:rPr>
                <w:noProof/>
                <w:webHidden/>
              </w:rPr>
              <w:fldChar w:fldCharType="begin"/>
            </w:r>
            <w:r w:rsidR="000E54C3">
              <w:rPr>
                <w:noProof/>
                <w:webHidden/>
              </w:rPr>
              <w:instrText xml:space="preserve"> PAGEREF _Toc409080040 \h </w:instrText>
            </w:r>
            <w:r w:rsidR="000E54C3">
              <w:rPr>
                <w:noProof/>
                <w:webHidden/>
              </w:rPr>
            </w:r>
            <w:r w:rsidR="000E54C3">
              <w:rPr>
                <w:noProof/>
                <w:webHidden/>
              </w:rPr>
              <w:fldChar w:fldCharType="separate"/>
            </w:r>
            <w:r w:rsidR="003A7631">
              <w:rPr>
                <w:noProof/>
                <w:webHidden/>
              </w:rPr>
              <w:t>14</w:t>
            </w:r>
            <w:r w:rsidR="000E54C3">
              <w:rPr>
                <w:noProof/>
                <w:webHidden/>
              </w:rPr>
              <w:fldChar w:fldCharType="end"/>
            </w:r>
          </w:hyperlink>
        </w:p>
        <w:p w14:paraId="7450828F"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41" w:history="1">
            <w:r w:rsidR="000E54C3" w:rsidRPr="007C29D0">
              <w:rPr>
                <w:rStyle w:val="Hyperlnk"/>
                <w:noProof/>
              </w:rPr>
              <w:t>20.</w:t>
            </w:r>
            <w:r w:rsidR="000E54C3">
              <w:rPr>
                <w:rFonts w:asciiTheme="minorHAnsi" w:eastAsiaTheme="minorEastAsia" w:hAnsiTheme="minorHAnsi" w:cstheme="minorBidi"/>
                <w:noProof/>
                <w:lang w:eastAsia="sv-SE"/>
              </w:rPr>
              <w:tab/>
            </w:r>
            <w:r w:rsidR="000E54C3" w:rsidRPr="007C29D0">
              <w:rPr>
                <w:rStyle w:val="Hyperlnk"/>
                <w:noProof/>
              </w:rPr>
              <w:t>Commission Regulation (EU) No …/.. of XXX amending Annexes II, III and V to Regulation (EC) No 396/2005 of the European Parliament and of the Council as regards maximum residue levels for bone oil, carbon monoxide, cyprodinil, dodemorph, iprodione, metaldehyde, metazachlor, paraffin oil (CAS 64742-54-7), petroleum oils (CAS 92062-35-6) and propargite in or on certain products (text with EEA relevance)</w:t>
            </w:r>
            <w:r w:rsidR="000E54C3">
              <w:rPr>
                <w:noProof/>
                <w:webHidden/>
              </w:rPr>
              <w:tab/>
            </w:r>
            <w:r w:rsidR="000E54C3">
              <w:rPr>
                <w:noProof/>
                <w:webHidden/>
              </w:rPr>
              <w:fldChar w:fldCharType="begin"/>
            </w:r>
            <w:r w:rsidR="000E54C3">
              <w:rPr>
                <w:noProof/>
                <w:webHidden/>
              </w:rPr>
              <w:instrText xml:space="preserve"> PAGEREF _Toc409080041 \h </w:instrText>
            </w:r>
            <w:r w:rsidR="000E54C3">
              <w:rPr>
                <w:noProof/>
                <w:webHidden/>
              </w:rPr>
            </w:r>
            <w:r w:rsidR="000E54C3">
              <w:rPr>
                <w:noProof/>
                <w:webHidden/>
              </w:rPr>
              <w:fldChar w:fldCharType="separate"/>
            </w:r>
            <w:r w:rsidR="003A7631">
              <w:rPr>
                <w:noProof/>
                <w:webHidden/>
              </w:rPr>
              <w:t>14</w:t>
            </w:r>
            <w:r w:rsidR="000E54C3">
              <w:rPr>
                <w:noProof/>
                <w:webHidden/>
              </w:rPr>
              <w:fldChar w:fldCharType="end"/>
            </w:r>
          </w:hyperlink>
        </w:p>
        <w:p w14:paraId="4FAD8F0D"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42" w:history="1">
            <w:r w:rsidR="000E54C3" w:rsidRPr="007C29D0">
              <w:rPr>
                <w:rStyle w:val="Hyperlnk"/>
                <w:noProof/>
              </w:rPr>
              <w:t>21.</w:t>
            </w:r>
            <w:r w:rsidR="000E54C3">
              <w:rPr>
                <w:rFonts w:asciiTheme="minorHAnsi" w:eastAsiaTheme="minorEastAsia" w:hAnsiTheme="minorHAnsi" w:cstheme="minorBidi"/>
                <w:noProof/>
                <w:lang w:eastAsia="sv-SE"/>
              </w:rPr>
              <w:tab/>
            </w:r>
            <w:r w:rsidR="000E54C3" w:rsidRPr="007C29D0">
              <w:rPr>
                <w:rStyle w:val="Hyperlnk"/>
                <w:noProof/>
              </w:rPr>
              <w:t>Commission Regulation (EU) No …/.. of XXX amending Annexes II, III and V to Regulation (EC) No 396/2005 of the European Parliament and of the Council as regards maximum residue levels for 1,4-dimethylnaphthalene, benfuracarb, carbofuran, carbosulfan, ethephon, fenamidone, fenvalerate, fenhexamid, furathiocarb, imazapyr, malathion, picoxystrobin, spirotetramat, tepraloxydim and trifloxystrobin in or on certain products (text with EEA relevance)</w:t>
            </w:r>
            <w:r w:rsidR="000E54C3">
              <w:rPr>
                <w:noProof/>
                <w:webHidden/>
              </w:rPr>
              <w:tab/>
            </w:r>
            <w:r w:rsidR="000E54C3">
              <w:rPr>
                <w:noProof/>
                <w:webHidden/>
              </w:rPr>
              <w:fldChar w:fldCharType="begin"/>
            </w:r>
            <w:r w:rsidR="000E54C3">
              <w:rPr>
                <w:noProof/>
                <w:webHidden/>
              </w:rPr>
              <w:instrText xml:space="preserve"> PAGEREF _Toc409080042 \h </w:instrText>
            </w:r>
            <w:r w:rsidR="000E54C3">
              <w:rPr>
                <w:noProof/>
                <w:webHidden/>
              </w:rPr>
            </w:r>
            <w:r w:rsidR="000E54C3">
              <w:rPr>
                <w:noProof/>
                <w:webHidden/>
              </w:rPr>
              <w:fldChar w:fldCharType="separate"/>
            </w:r>
            <w:r w:rsidR="003A7631">
              <w:rPr>
                <w:noProof/>
                <w:webHidden/>
              </w:rPr>
              <w:t>15</w:t>
            </w:r>
            <w:r w:rsidR="000E54C3">
              <w:rPr>
                <w:noProof/>
                <w:webHidden/>
              </w:rPr>
              <w:fldChar w:fldCharType="end"/>
            </w:r>
          </w:hyperlink>
        </w:p>
        <w:p w14:paraId="5055BD2A" w14:textId="77777777" w:rsidR="000E54C3" w:rsidRDefault="00682484">
          <w:pPr>
            <w:pStyle w:val="Innehll1"/>
            <w:tabs>
              <w:tab w:val="left" w:pos="660"/>
              <w:tab w:val="right" w:leader="dot" w:pos="9062"/>
            </w:tabs>
            <w:rPr>
              <w:rFonts w:asciiTheme="minorHAnsi" w:eastAsiaTheme="minorEastAsia" w:hAnsiTheme="minorHAnsi" w:cstheme="minorBidi"/>
              <w:noProof/>
              <w:lang w:eastAsia="sv-SE"/>
            </w:rPr>
          </w:pPr>
          <w:hyperlink w:anchor="_Toc409080043" w:history="1">
            <w:r w:rsidR="000E54C3" w:rsidRPr="007C29D0">
              <w:rPr>
                <w:rStyle w:val="Hyperlnk"/>
                <w:noProof/>
              </w:rPr>
              <w:t>22.</w:t>
            </w:r>
            <w:r w:rsidR="000E54C3">
              <w:rPr>
                <w:rFonts w:asciiTheme="minorHAnsi" w:eastAsiaTheme="minorEastAsia" w:hAnsiTheme="minorHAnsi" w:cstheme="minorBidi"/>
                <w:noProof/>
                <w:lang w:eastAsia="sv-SE"/>
              </w:rPr>
              <w:tab/>
            </w:r>
            <w:r w:rsidR="000E54C3" w:rsidRPr="007C29D0">
              <w:rPr>
                <w:rStyle w:val="Hyperlnk"/>
                <w:noProof/>
              </w:rPr>
              <w:t>Appeal against judgment of the EU General Court in Case T-400/10 (Hamas v. Council)</w:t>
            </w:r>
            <w:r w:rsidR="000E54C3">
              <w:rPr>
                <w:noProof/>
                <w:webHidden/>
              </w:rPr>
              <w:tab/>
            </w:r>
            <w:r w:rsidR="000E54C3">
              <w:rPr>
                <w:noProof/>
                <w:webHidden/>
              </w:rPr>
              <w:fldChar w:fldCharType="begin"/>
            </w:r>
            <w:r w:rsidR="000E54C3">
              <w:rPr>
                <w:noProof/>
                <w:webHidden/>
              </w:rPr>
              <w:instrText xml:space="preserve"> PAGEREF _Toc409080043 \h </w:instrText>
            </w:r>
            <w:r w:rsidR="000E54C3">
              <w:rPr>
                <w:noProof/>
                <w:webHidden/>
              </w:rPr>
            </w:r>
            <w:r w:rsidR="000E54C3">
              <w:rPr>
                <w:noProof/>
                <w:webHidden/>
              </w:rPr>
              <w:fldChar w:fldCharType="separate"/>
            </w:r>
            <w:r w:rsidR="003A7631">
              <w:rPr>
                <w:noProof/>
                <w:webHidden/>
              </w:rPr>
              <w:t>16</w:t>
            </w:r>
            <w:r w:rsidR="000E54C3">
              <w:rPr>
                <w:noProof/>
                <w:webHidden/>
              </w:rPr>
              <w:fldChar w:fldCharType="end"/>
            </w:r>
          </w:hyperlink>
        </w:p>
        <w:p w14:paraId="3B95944F" w14:textId="77777777" w:rsidR="00D957FB" w:rsidRDefault="00CA4626">
          <w:r>
            <w:rPr>
              <w:b/>
              <w:bCs/>
              <w:noProof/>
            </w:rPr>
            <w:fldChar w:fldCharType="end"/>
          </w:r>
        </w:p>
      </w:sdtContent>
    </w:sdt>
    <w:p w14:paraId="3B959450" w14:textId="77777777" w:rsidR="00D957FB" w:rsidRDefault="00CA4626">
      <w:pPr>
        <w:ind w:left="0"/>
      </w:pPr>
      <w:r>
        <w:br w:type="page"/>
      </w:r>
    </w:p>
    <w:p w14:paraId="3B959451" w14:textId="77777777" w:rsidR="00643D86" w:rsidRDefault="00682484" w:rsidP="00643D86">
      <w:pPr>
        <w:pStyle w:val="Rubrik1"/>
        <w:numPr>
          <w:ilvl w:val="0"/>
          <w:numId w:val="0"/>
        </w:numPr>
      </w:pPr>
      <w:bookmarkStart w:id="1" w:name="_Toc364854645"/>
    </w:p>
    <w:p w14:paraId="3B959452" w14:textId="77777777" w:rsidR="00643D86" w:rsidRPr="00682484" w:rsidRDefault="00CA4626" w:rsidP="00643D86">
      <w:pPr>
        <w:pStyle w:val="Rubrik1"/>
        <w:rPr>
          <w:lang w:val="en-US"/>
        </w:rPr>
      </w:pPr>
      <w:bookmarkStart w:id="2" w:name="_Toc409080022"/>
      <w:r w:rsidRPr="00682484">
        <w:rPr>
          <w:noProof/>
          <w:lang w:val="en-US"/>
        </w:rPr>
        <w:t>Case before the General Court</w:t>
      </w:r>
      <w:r w:rsidRPr="00682484">
        <w:rPr>
          <w:noProof/>
          <w:lang w:val="en-US"/>
        </w:rPr>
        <w:br/>
        <w:t>=Case T-561/14 European Citizens' Initiative ONE OF US v. European Commission, Council of the EU and European Parliament</w:t>
      </w:r>
      <w:bookmarkEnd w:id="2"/>
    </w:p>
    <w:p w14:paraId="7218359F" w14:textId="64AE66D1" w:rsidR="00913679" w:rsidRDefault="00CA4626" w:rsidP="00913679">
      <w:pPr>
        <w:rPr>
          <w:b/>
        </w:rPr>
      </w:pPr>
      <w:r w:rsidRPr="00682484">
        <w:rPr>
          <w:noProof/>
        </w:rPr>
        <w:t>17092</w:t>
      </w:r>
      <w:r w:rsidR="00913679" w:rsidRPr="00682484">
        <w:t>/14 JUR 972 INST 640</w:t>
      </w:r>
    </w:p>
    <w:p w14:paraId="3B959454" w14:textId="66E1958A" w:rsidR="00643D86" w:rsidRDefault="00CA4626" w:rsidP="00643D86">
      <w:r>
        <w:rPr>
          <w:b/>
        </w:rPr>
        <w:t>Ansvarigt statsråd</w:t>
      </w:r>
      <w:r>
        <w:rPr>
          <w:b/>
        </w:rPr>
        <w:br/>
      </w:r>
      <w:r>
        <w:rPr>
          <w:noProof/>
        </w:rPr>
        <w:t>Margot Wallström</w:t>
      </w:r>
    </w:p>
    <w:p w14:paraId="3B959458" w14:textId="038441DB" w:rsidR="00734F5B" w:rsidRDefault="00CA4626" w:rsidP="000E54C3">
      <w:r w:rsidRPr="00B44CE2">
        <w:rPr>
          <w:b/>
        </w:rPr>
        <w:t>Annotering</w:t>
      </w:r>
      <w:r>
        <w:rPr>
          <w:b/>
        </w:rPr>
        <w:br/>
      </w:r>
      <w:r>
        <w:rPr>
          <w:b/>
          <w:bCs/>
        </w:rPr>
        <w:t>Avsikt med behandlingen i rådet:</w:t>
      </w:r>
      <w:r>
        <w:t xml:space="preserve"> Information om mål vid Europeiska unionens tribunal där rådet har utsett ombud.</w:t>
      </w:r>
    </w:p>
    <w:p w14:paraId="3B959459" w14:textId="77777777" w:rsidR="00734F5B" w:rsidRDefault="00CA4626">
      <w:pPr>
        <w:spacing w:after="280" w:afterAutospacing="1"/>
      </w:pPr>
      <w:r>
        <w:rPr>
          <w:b/>
          <w:bCs/>
        </w:rPr>
        <w:t>Hur regeringen ställer sig till den blivande A-punkten:</w:t>
      </w:r>
      <w:r>
        <w:t xml:space="preserve"> Regeringen har ingen erinran mot att rådet utser ombud.</w:t>
      </w:r>
    </w:p>
    <w:p w14:paraId="3B95945A" w14:textId="77777777" w:rsidR="00734F5B" w:rsidRDefault="00CA4626">
      <w:pPr>
        <w:spacing w:after="280" w:afterAutospacing="1"/>
      </w:pPr>
      <w:r>
        <w:rPr>
          <w:b/>
          <w:bCs/>
        </w:rPr>
        <w:t>Bakgrund:</w:t>
      </w:r>
      <w:r>
        <w:t xml:space="preserve"> Målet rör ogiltigförklaring av meddelande från kommissionen om det europeiska medborgarinitiativet ”En av oss” (COM/2014/0355 final) alternativt ogiltigförklaring av artikel 10 (1)(c) i förordning nr 211/2011 om medborgarinitiativet.</w:t>
      </w:r>
    </w:p>
    <w:p w14:paraId="3B95945C" w14:textId="6B00713F" w:rsidR="00FB32B9" w:rsidRDefault="00CA4626">
      <w:pPr>
        <w:spacing w:after="280" w:afterAutospacing="1"/>
        <w:rPr>
          <w:noProof/>
        </w:rPr>
      </w:pPr>
      <w:r>
        <w:t> </w:t>
      </w:r>
    </w:p>
    <w:p w14:paraId="3B95945D" w14:textId="77777777" w:rsidR="00643D86" w:rsidRPr="00682484" w:rsidRDefault="00CA4626" w:rsidP="00643D86">
      <w:pPr>
        <w:pStyle w:val="Rubrik1"/>
        <w:rPr>
          <w:lang w:val="en-US"/>
        </w:rPr>
      </w:pPr>
      <w:bookmarkStart w:id="3" w:name="_Toc409080023"/>
      <w:r w:rsidRPr="00682484">
        <w:rPr>
          <w:noProof/>
          <w:lang w:val="en-US"/>
        </w:rPr>
        <w:t>Case before the General Court</w:t>
      </w:r>
      <w:r w:rsidRPr="00682484">
        <w:rPr>
          <w:noProof/>
          <w:lang w:val="en-US"/>
        </w:rPr>
        <w:br/>
        <w:t>=Case T-732/14, Sberbank of Russia OAO v. Council</w:t>
      </w:r>
      <w:bookmarkEnd w:id="3"/>
    </w:p>
    <w:p w14:paraId="3B95945F" w14:textId="44C3CEE6" w:rsidR="00643D86" w:rsidRDefault="00CA4626" w:rsidP="00643D86">
      <w:r w:rsidRPr="00682484">
        <w:rPr>
          <w:noProof/>
        </w:rPr>
        <w:t>16919</w:t>
      </w:r>
      <w:r w:rsidRPr="00682484">
        <w:t>/14 JUR 959 RELEX 1070 PESC 1333 COEST 464</w:t>
      </w:r>
      <w:r w:rsidRPr="00682484">
        <w:br/>
      </w:r>
      <w:r>
        <w:rPr>
          <w:b/>
        </w:rPr>
        <w:t>Ansvarigt statsråd</w:t>
      </w:r>
      <w:r>
        <w:rPr>
          <w:b/>
        </w:rPr>
        <w:br/>
      </w:r>
      <w:r>
        <w:rPr>
          <w:noProof/>
        </w:rPr>
        <w:t>Margot Wallström</w:t>
      </w:r>
    </w:p>
    <w:p w14:paraId="3B959463" w14:textId="178C5151" w:rsidR="00734F5B" w:rsidRDefault="00CA4626" w:rsidP="000E54C3">
      <w:r w:rsidRPr="00B44CE2">
        <w:rPr>
          <w:b/>
        </w:rPr>
        <w:t>Annotering</w:t>
      </w:r>
      <w:r>
        <w:rPr>
          <w:b/>
        </w:rPr>
        <w:br/>
      </w:r>
      <w:r>
        <w:rPr>
          <w:b/>
          <w:bCs/>
        </w:rPr>
        <w:t>Avsikt med behandlingen i rådet:</w:t>
      </w:r>
      <w:r>
        <w:t xml:space="preserve"> Information om mål vid Europeiska unionens tribunal där rådet har utsett ombud.</w:t>
      </w:r>
    </w:p>
    <w:p w14:paraId="3B959464" w14:textId="77777777" w:rsidR="00734F5B" w:rsidRDefault="00CA4626">
      <w:pPr>
        <w:spacing w:after="280" w:afterAutospacing="1"/>
      </w:pPr>
      <w:r>
        <w:rPr>
          <w:b/>
          <w:bCs/>
        </w:rPr>
        <w:t>Hur regeringen ställer sig till den blivande A-punkten:</w:t>
      </w:r>
      <w:r>
        <w:t xml:space="preserve"> Regeringen har ingen erinran mot att rådet utser ombud.</w:t>
      </w:r>
    </w:p>
    <w:p w14:paraId="3B959465" w14:textId="77777777" w:rsidR="00734F5B" w:rsidRDefault="00CA4626">
      <w:pPr>
        <w:spacing w:after="280" w:afterAutospacing="1"/>
      </w:pPr>
      <w:r>
        <w:rPr>
          <w:b/>
          <w:bCs/>
        </w:rPr>
        <w:t>Bakgrund:</w:t>
      </w:r>
      <w:r>
        <w:t xml:space="preserve"> Målet rör bl.a. ogiltigförklaring av vissa delar av rådets beslut 2014/512/</w:t>
      </w:r>
      <w:proofErr w:type="spellStart"/>
      <w:r>
        <w:t>Gusp</w:t>
      </w:r>
      <w:proofErr w:type="spellEnd"/>
      <w:r>
        <w:t xml:space="preserve"> av den 31 juli 2014 om restriktiva åtgärder med hänsyn till Rysslands åtgärder som destabiliserar situationen i Ukraina.</w:t>
      </w:r>
    </w:p>
    <w:p w14:paraId="3B959466" w14:textId="77777777" w:rsidR="00FB32B9" w:rsidRDefault="00682484">
      <w:pPr>
        <w:spacing w:after="280" w:afterAutospacing="1"/>
        <w:rPr>
          <w:noProof/>
        </w:rPr>
      </w:pPr>
    </w:p>
    <w:p w14:paraId="3B959467" w14:textId="77777777" w:rsidR="00643D86" w:rsidRPr="00682484" w:rsidRDefault="00CA4626" w:rsidP="00643D86">
      <w:pPr>
        <w:pStyle w:val="Rubrik1"/>
        <w:rPr>
          <w:lang w:val="en-US"/>
        </w:rPr>
      </w:pPr>
      <w:bookmarkStart w:id="4" w:name="_Toc409080024"/>
      <w:r w:rsidRPr="00682484">
        <w:rPr>
          <w:noProof/>
          <w:lang w:val="en-US"/>
        </w:rPr>
        <w:t>Chairing of certain Working Parties by other delegations, at the request of the Latvian Presidency</w:t>
      </w:r>
      <w:bookmarkEnd w:id="4"/>
    </w:p>
    <w:p w14:paraId="3B95946E" w14:textId="7732C764" w:rsidR="00734F5B" w:rsidRDefault="00CA4626" w:rsidP="000E54C3">
      <w:r w:rsidRPr="00682484">
        <w:rPr>
          <w:noProof/>
        </w:rPr>
        <w:t>17116</w:t>
      </w:r>
      <w:r w:rsidRPr="00682484">
        <w:t>/14 POLGEN 199 INST 642</w:t>
      </w:r>
      <w:r w:rsidRPr="00682484">
        <w:br/>
      </w:r>
      <w:r w:rsidRPr="00B44CE2">
        <w:rPr>
          <w:b/>
        </w:rPr>
        <w:t>Annotering</w:t>
      </w:r>
      <w:r>
        <w:rPr>
          <w:b/>
        </w:rPr>
        <w:br/>
      </w:r>
      <w:r>
        <w:rPr>
          <w:b/>
          <w:bCs/>
        </w:rPr>
        <w:t xml:space="preserve">Avsikt med behandlingen i rådet: </w:t>
      </w:r>
      <w:r>
        <w:t xml:space="preserve">Lettland har bett Luxemburg att vara ordförande i två </w:t>
      </w:r>
      <w:r>
        <w:lastRenderedPageBreak/>
        <w:t xml:space="preserve">rådsarbetsgrupper under det lettiska EU-ordförandeskapet 1 januari - 30 juni 2015. Det gäller F 12 RAG vin och alkohol och F 23 RAG </w:t>
      </w:r>
      <w:proofErr w:type="spellStart"/>
      <w:r>
        <w:t>Codex</w:t>
      </w:r>
      <w:proofErr w:type="spellEnd"/>
      <w:r>
        <w:t xml:space="preserve"> </w:t>
      </w:r>
      <w:proofErr w:type="spellStart"/>
      <w:r>
        <w:t>Alimentarius</w:t>
      </w:r>
      <w:proofErr w:type="spellEnd"/>
      <w:r>
        <w:t>.</w:t>
      </w:r>
    </w:p>
    <w:p w14:paraId="3B959470" w14:textId="5EB3FF36" w:rsidR="00734F5B" w:rsidRDefault="00CA4626">
      <w:pPr>
        <w:spacing w:after="280" w:afterAutospacing="1"/>
      </w:pPr>
      <w:r>
        <w:rPr>
          <w:b/>
          <w:bCs/>
        </w:rPr>
        <w:t xml:space="preserve">Hur regeringen ställer sig till den blivande A-punkten: </w:t>
      </w:r>
      <w:r>
        <w:t>Regeringen ställer sig positiv till att de två rådsarbetsgrupperna leds av Luxemburg å det lettiska EU-ordförandeskapets vägnar.</w:t>
      </w:r>
    </w:p>
    <w:p w14:paraId="0CD37CF1" w14:textId="77777777" w:rsidR="000E54C3" w:rsidRDefault="00CA4626">
      <w:pPr>
        <w:spacing w:after="280" w:afterAutospacing="1"/>
      </w:pPr>
      <w:r>
        <w:rPr>
          <w:b/>
          <w:bCs/>
        </w:rPr>
        <w:t>Bakgrund:</w:t>
      </w:r>
      <w:r w:rsidR="000E54C3">
        <w:rPr>
          <w:b/>
          <w:bCs/>
        </w:rPr>
        <w:t xml:space="preserve"> </w:t>
      </w:r>
      <w:r>
        <w:t xml:space="preserve">Undantag från regeln att det är ordförandeskapslandet som är ordförande i arbetsgrupperna är för det mesta ett resultat av enskilda arrangemang mellan medlemsstaten och övriga inom trio-ordförandeskapet. Detta undantag används framför allt av små medlemsstater med begränsade personalresurser/expertis inom </w:t>
      </w:r>
      <w:proofErr w:type="spellStart"/>
      <w:r>
        <w:t>arbetsgrupperns</w:t>
      </w:r>
      <w:proofErr w:type="spellEnd"/>
      <w:r>
        <w:t xml:space="preserve"> ansvarsområde. Att arrangemanget kan förekomma framgår av rådets arbetsordning Artikel 20.2:</w:t>
      </w:r>
    </w:p>
    <w:p w14:paraId="3B959473" w14:textId="2801655E" w:rsidR="00734F5B" w:rsidRDefault="00913679">
      <w:pPr>
        <w:spacing w:after="280" w:afterAutospacing="1"/>
      </w:pPr>
      <w:r>
        <w:t>”Utan</w:t>
      </w:r>
      <w:r w:rsidR="00CA4626">
        <w:t xml:space="preserve"> att det påverkar bestämmelserna i artikel 19.4–19.6 och ordförandeskapets befogenheter och övergripande politiska ansvar ska ordförandeskapet under halvåret i alla sina åligganden, på grundval av 18-månadersprogrammet eller i kraft av andra inbördes avtalade arrangemang, biträdas av de övriga medlemmarna i den förbestämda grupp av tre medlemsstater som avses i artikel 1.4. Det ska vid behov även biträdas av företrädaren för den medlemsstat som kommer att utöva nästa ordförandeskap. Den senare, eller en medlem av den ovan nämnda gruppen, ska på ordförandeskapets begäran och enligt dess instruktioner vid behov träda in som ersättare, eventuellt avlasta ordförandeskapet från vissa uppgifter samt säkerställa kontinuiteten i rådets arbete."</w:t>
      </w:r>
    </w:p>
    <w:p w14:paraId="3B959474" w14:textId="77777777" w:rsidR="00FB32B9" w:rsidRDefault="00682484">
      <w:pPr>
        <w:spacing w:after="280" w:afterAutospacing="1"/>
        <w:rPr>
          <w:noProof/>
        </w:rPr>
      </w:pPr>
    </w:p>
    <w:p w14:paraId="3B959475" w14:textId="52707A0B" w:rsidR="00643D86" w:rsidRDefault="00913679" w:rsidP="00643D86">
      <w:pPr>
        <w:pStyle w:val="Rubrik1"/>
      </w:pPr>
      <w:r>
        <w:rPr>
          <w:noProof/>
        </w:rPr>
        <w:t>2015</w:t>
      </w:r>
      <w:r w:rsidR="00CA4626">
        <w:rPr>
          <w:noProof/>
        </w:rPr>
        <w:t xml:space="preserve"> </w:t>
      </w:r>
      <w:bookmarkStart w:id="5" w:name="_Toc409080025"/>
      <w:r w:rsidR="00CA4626">
        <w:rPr>
          <w:noProof/>
        </w:rPr>
        <w:t>EU security assessment visit programme</w:t>
      </w:r>
      <w:bookmarkEnd w:id="5"/>
    </w:p>
    <w:p w14:paraId="3B959477" w14:textId="6131870A" w:rsidR="00643D86" w:rsidRDefault="00CA4626" w:rsidP="00643D86">
      <w:r>
        <w:rPr>
          <w:noProof/>
          <w:lang w:val="en-US"/>
        </w:rPr>
        <w:t>16788</w:t>
      </w:r>
      <w:r>
        <w:rPr>
          <w:lang w:val="en-US"/>
        </w:rPr>
        <w:t>/14 CSC 268</w:t>
      </w:r>
      <w:r>
        <w:rPr>
          <w:lang w:val="en-US"/>
        </w:rPr>
        <w:br/>
      </w:r>
      <w:r>
        <w:rPr>
          <w:b/>
        </w:rPr>
        <w:t>Ansvarigt statsråd</w:t>
      </w:r>
      <w:r>
        <w:rPr>
          <w:b/>
        </w:rPr>
        <w:br/>
      </w:r>
      <w:r>
        <w:rPr>
          <w:noProof/>
        </w:rPr>
        <w:t>Margot Wallström</w:t>
      </w:r>
    </w:p>
    <w:p w14:paraId="3B95947B" w14:textId="1C5BB2BA" w:rsidR="00734F5B" w:rsidRDefault="00CA4626" w:rsidP="000E54C3">
      <w:r w:rsidRPr="00B44CE2">
        <w:rPr>
          <w:b/>
        </w:rPr>
        <w:t>Annotering</w:t>
      </w:r>
      <w:r>
        <w:rPr>
          <w:b/>
        </w:rPr>
        <w:br/>
      </w:r>
      <w:r>
        <w:rPr>
          <w:b/>
          <w:bCs/>
        </w:rPr>
        <w:t>A</w:t>
      </w:r>
      <w:r w:rsidR="000E54C3">
        <w:rPr>
          <w:b/>
          <w:bCs/>
        </w:rPr>
        <w:t xml:space="preserve">vsikt med behandlingen i rådet: </w:t>
      </w:r>
      <w:r>
        <w:t>Rådet föreslås på rekommendation av dess säkerhetskommitté (16788/14) att godkänna EU:s program för utvärderingsbesök 2015</w:t>
      </w:r>
      <w:r w:rsidR="00484CAA">
        <w:t xml:space="preserve">. </w:t>
      </w:r>
    </w:p>
    <w:p w14:paraId="3B95947C" w14:textId="3622C597" w:rsidR="00734F5B" w:rsidRDefault="00CA4626">
      <w:pPr>
        <w:spacing w:after="280" w:afterAutospacing="1"/>
      </w:pPr>
      <w:r>
        <w:rPr>
          <w:b/>
          <w:bCs/>
        </w:rPr>
        <w:t xml:space="preserve">Hur regeringen ställer sig till den blivande A-punkten: </w:t>
      </w:r>
      <w:r w:rsidR="00484CAA">
        <w:t>Regeringen avser rösta ja.</w:t>
      </w:r>
    </w:p>
    <w:p w14:paraId="3B95947D" w14:textId="1A68845C" w:rsidR="00734F5B" w:rsidRDefault="00CA4626">
      <w:pPr>
        <w:spacing w:after="280" w:afterAutospacing="1"/>
      </w:pPr>
      <w:r>
        <w:rPr>
          <w:b/>
          <w:bCs/>
        </w:rPr>
        <w:t xml:space="preserve">Bakgrund: </w:t>
      </w:r>
      <w:r>
        <w:t>I enlighet med artikel 16.1 c i rådets säkerhetsbestämmelser ska ett årligt program för utvärderingsbesök som rekommenderas av säkerhetskommittén läggas fram för rådet. I artikel 16.2 g i rådets säkerhetsbestämmelser föreskrivs att det periodiskt ska genomföras utvärdering av säkerhetsarrangemangen för skydd av säkerhetsskyddsklassificerade EU-uppgifter i medlemsstaternas enheter och utrymmen. Såsom överenskommet under 2011 bör fem besök (Finland, Tyskland, Portugal, Slovenien och Frankrike) ske under 2015. Besökens förlopp följer även i fortsättningen ordförandeskapens ordningsföljd.</w:t>
      </w:r>
      <w:r>
        <w:br/>
        <w:t xml:space="preserve">Tredjestater och internationella organisationer har flyttats över till 2015, i väntan på avslutandet av förhandlingarna om säkerhetsinformationsavtal med Kanada och om tekniska arrangemang med </w:t>
      </w:r>
      <w:proofErr w:type="spellStart"/>
      <w:r>
        <w:t>Occar</w:t>
      </w:r>
      <w:proofErr w:type="spellEnd"/>
      <w:r>
        <w:t>. </w:t>
      </w:r>
    </w:p>
    <w:p w14:paraId="3B95947E" w14:textId="77777777" w:rsidR="00FB32B9" w:rsidRDefault="00682484">
      <w:pPr>
        <w:spacing w:after="280" w:afterAutospacing="1"/>
        <w:rPr>
          <w:noProof/>
        </w:rPr>
      </w:pPr>
    </w:p>
    <w:p w14:paraId="3B95947F" w14:textId="77777777" w:rsidR="00643D86" w:rsidRPr="00682484" w:rsidRDefault="00CA4626" w:rsidP="00643D86">
      <w:pPr>
        <w:pStyle w:val="Rubrik1"/>
        <w:rPr>
          <w:lang w:val="en-US"/>
        </w:rPr>
      </w:pPr>
      <w:bookmarkStart w:id="6" w:name="_Toc409080026"/>
      <w:r w:rsidRPr="00682484">
        <w:rPr>
          <w:noProof/>
          <w:lang w:val="en-US"/>
        </w:rPr>
        <w:lastRenderedPageBreak/>
        <w:t>Submission of a new draft design of commemorative 2 euro coin, to be issued by France in 2015</w:t>
      </w:r>
      <w:bookmarkEnd w:id="6"/>
    </w:p>
    <w:p w14:paraId="3B959481" w14:textId="04F82A44" w:rsidR="00643D86" w:rsidRDefault="00CA4626" w:rsidP="00643D86">
      <w:r w:rsidRPr="00682484">
        <w:rPr>
          <w:noProof/>
        </w:rPr>
        <w:t>5012</w:t>
      </w:r>
      <w:r w:rsidRPr="00682484">
        <w:t>/15 ECOFIN 1 UEM 1</w:t>
      </w:r>
      <w:r w:rsidRPr="00682484">
        <w:br/>
      </w:r>
      <w:r>
        <w:rPr>
          <w:b/>
        </w:rPr>
        <w:t>Ansvarigt statsråd</w:t>
      </w:r>
      <w:r>
        <w:rPr>
          <w:b/>
        </w:rPr>
        <w:br/>
      </w:r>
      <w:r>
        <w:rPr>
          <w:noProof/>
        </w:rPr>
        <w:t>Per Bolund</w:t>
      </w:r>
    </w:p>
    <w:p w14:paraId="3B959484" w14:textId="77777777" w:rsidR="00643D86" w:rsidRDefault="00CA4626" w:rsidP="00643D86">
      <w:r w:rsidRPr="00B44CE2">
        <w:rPr>
          <w:b/>
        </w:rPr>
        <w:t>Annotering</w:t>
      </w:r>
      <w:r>
        <w:rPr>
          <w:b/>
        </w:rPr>
        <w:br/>
      </w:r>
      <w:r>
        <w:t>Föranleder ingen annotering.</w:t>
      </w:r>
    </w:p>
    <w:p w14:paraId="3DAF1C6D" w14:textId="77777777" w:rsidR="000E54C3" w:rsidRDefault="000E54C3" w:rsidP="00643D86"/>
    <w:p w14:paraId="3B959485" w14:textId="6203E7D6" w:rsidR="00643D86" w:rsidRPr="00682484" w:rsidRDefault="00CA4626" w:rsidP="00643D86">
      <w:pPr>
        <w:pStyle w:val="Rubrik1"/>
        <w:rPr>
          <w:lang w:val="en-US"/>
        </w:rPr>
      </w:pPr>
      <w:bookmarkStart w:id="7" w:name="_Toc409080027"/>
      <w:r w:rsidRPr="00682484">
        <w:rPr>
          <w:noProof/>
          <w:lang w:val="en-US"/>
        </w:rPr>
        <w:t>Establishment of an Ad-Hoc Working Party on the European Fund for Strategic Investments (EFSI)</w:t>
      </w:r>
      <w:bookmarkEnd w:id="7"/>
    </w:p>
    <w:p w14:paraId="3B959486" w14:textId="77777777" w:rsidR="00643D86" w:rsidRDefault="00CA4626" w:rsidP="00643D86">
      <w:pPr>
        <w:rPr>
          <w:lang w:val="en-US"/>
        </w:rPr>
      </w:pPr>
      <w:r>
        <w:rPr>
          <w:noProof/>
          <w:lang w:val="en-US"/>
        </w:rPr>
        <w:t>5066</w:t>
      </w:r>
      <w:r>
        <w:rPr>
          <w:lang w:val="en-US"/>
        </w:rPr>
        <w:t>/1/15 REV 1 ECOFIN 5 POLGEN 3 COMPET 4 RECH 1 ENER 3TRANS 4 ENV 3 EDUC 3 SOC 4 EMPL 2 EF 2</w:t>
      </w:r>
      <w:r>
        <w:rPr>
          <w:lang w:val="en-US"/>
        </w:rPr>
        <w:br/>
      </w:r>
      <w:r>
        <w:rPr>
          <w:noProof/>
          <w:lang w:val="en-US"/>
        </w:rPr>
        <w:t>5066</w:t>
      </w:r>
      <w:r>
        <w:rPr>
          <w:lang w:val="en-US"/>
        </w:rPr>
        <w:t>/1/15 REV 1 ECOFIN 5 POLGEN 3 COMPET 4 RECH 1 ENER 3TRANS 4 ENV 3 EDUC 3 SOC 4 EMPL 2 EF 2</w:t>
      </w:r>
    </w:p>
    <w:p w14:paraId="3B959487" w14:textId="77777777" w:rsidR="00643D86" w:rsidRDefault="00CA4626" w:rsidP="00643D86">
      <w:r>
        <w:rPr>
          <w:b/>
        </w:rPr>
        <w:t>Ansvarigt statsråd</w:t>
      </w:r>
      <w:r>
        <w:rPr>
          <w:b/>
        </w:rPr>
        <w:br/>
      </w:r>
      <w:r>
        <w:rPr>
          <w:noProof/>
        </w:rPr>
        <w:t>Magdalena Andersson</w:t>
      </w:r>
    </w:p>
    <w:p w14:paraId="3B95948B" w14:textId="661F37A0" w:rsidR="00734F5B" w:rsidRDefault="00CA4626" w:rsidP="000E54C3">
      <w:r w:rsidRPr="00B44CE2">
        <w:rPr>
          <w:b/>
        </w:rPr>
        <w:t>Annotering</w:t>
      </w:r>
      <w:r>
        <w:rPr>
          <w:b/>
        </w:rPr>
        <w:br/>
      </w:r>
      <w:r>
        <w:rPr>
          <w:b/>
          <w:bCs/>
        </w:rPr>
        <w:t>Avsikt med behandlingen i rådet:</w:t>
      </w:r>
      <w:r>
        <w:t xml:space="preserve"> </w:t>
      </w:r>
      <w:proofErr w:type="spellStart"/>
      <w:r>
        <w:t>Coreper</w:t>
      </w:r>
      <w:proofErr w:type="spellEnd"/>
      <w:r>
        <w:t xml:space="preserve"> inbjuds att godkänna bildandet av en tillfällig arbetsgrupp som ska arbeta för att inrätta en Europeisk Fond för strategiska investeringar (EFSI). </w:t>
      </w:r>
    </w:p>
    <w:p w14:paraId="3B95948C" w14:textId="77777777" w:rsidR="00734F5B" w:rsidRDefault="00CA4626">
      <w:pPr>
        <w:spacing w:after="280" w:afterAutospacing="1"/>
      </w:pPr>
      <w:r>
        <w:rPr>
          <w:b/>
          <w:bCs/>
        </w:rPr>
        <w:t>Hur regeringen ställer sig till den blivande A-punkten:</w:t>
      </w:r>
      <w:r>
        <w:t xml:space="preserve"> Regeringen ställer sig bakom att en tillfällig arbetsgrupp inrättas. </w:t>
      </w:r>
    </w:p>
    <w:p w14:paraId="3B95948D" w14:textId="77777777" w:rsidR="00734F5B" w:rsidRDefault="00CA4626">
      <w:pPr>
        <w:spacing w:after="280" w:afterAutospacing="1"/>
      </w:pPr>
      <w:r>
        <w:rPr>
          <w:b/>
          <w:bCs/>
        </w:rPr>
        <w:t>Bakgrund:</w:t>
      </w:r>
      <w:r>
        <w:t xml:space="preserve"> Europeiska rådet 18 december enades om att EFSI bör inrättas senast i juni 2015. Kommissionen kommer denna vecka att lägga fram lagförslag i detta syfte. Dessa förslag ska sedan behandlas av rådet och Europaparlamentet. För att möjliggöra en snabb behandling av ärendet föreslås att en tillfällig arbetsgrupp bildas. Arbetsgruppen ska granska kommissionens lagförslag, ta fram rådets position och förhandla möjliga kompromisser med Europaparlamentet. Arbetsgruppen ska rapportera regelbundet till </w:t>
      </w:r>
      <w:proofErr w:type="spellStart"/>
      <w:r>
        <w:t>Coreper</w:t>
      </w:r>
      <w:proofErr w:type="spellEnd"/>
      <w:r>
        <w:t xml:space="preserve"> och </w:t>
      </w:r>
      <w:proofErr w:type="spellStart"/>
      <w:r>
        <w:t>Ekofinrådet</w:t>
      </w:r>
      <w:proofErr w:type="spellEnd"/>
      <w:r>
        <w:t xml:space="preserve">. </w:t>
      </w:r>
    </w:p>
    <w:p w14:paraId="3B9594A0" w14:textId="77777777" w:rsidR="00643D86" w:rsidRPr="00682484" w:rsidRDefault="00CA4626" w:rsidP="00643D86">
      <w:pPr>
        <w:pStyle w:val="Rubrik1"/>
        <w:rPr>
          <w:lang w:val="en-US"/>
        </w:rPr>
      </w:pPr>
      <w:bookmarkStart w:id="8" w:name="_Toc409080028"/>
      <w:r w:rsidRPr="00682484">
        <w:rPr>
          <w:noProof/>
          <w:lang w:val="en-US"/>
        </w:rPr>
        <w:t>Commission Delegated Regulation (EU) No …/.. of 17.12.2014 supplementing Directive 2004/109/EC of the European Parliament and of the Council with regard to certain regulatory technical standards on major holdings</w:t>
      </w:r>
      <w:bookmarkEnd w:id="8"/>
    </w:p>
    <w:p w14:paraId="3B9594A1" w14:textId="77777777" w:rsidR="00643D86" w:rsidRDefault="00CA4626" w:rsidP="00643D86">
      <w:pPr>
        <w:rPr>
          <w:lang w:val="en-US"/>
        </w:rPr>
      </w:pPr>
      <w:r>
        <w:rPr>
          <w:noProof/>
          <w:lang w:val="en-US"/>
        </w:rPr>
        <w:t>=</w:t>
      </w:r>
      <w:r>
        <w:rPr>
          <w:lang w:val="en-US"/>
        </w:rPr>
        <w:t>Intention not to raise objection to a delegated act5088/15 EF 4 ECOFIN 8 DRS 2 DELACT 317065/14 EF 363 ECOFIN 1209 DRS 177 DELACT 243</w:t>
      </w:r>
      <w:r>
        <w:rPr>
          <w:lang w:val="en-US"/>
        </w:rPr>
        <w:br/>
      </w:r>
      <w:r>
        <w:rPr>
          <w:noProof/>
          <w:lang w:val="en-US"/>
        </w:rPr>
        <w:t>5088</w:t>
      </w:r>
      <w:r>
        <w:rPr>
          <w:lang w:val="en-US"/>
        </w:rPr>
        <w:t>/15 EF 4 ECOFIN 8 DRS 2 DELACT 317065/14 EF 363 ECOFIN 1209 DRS 177 DELACT 243</w:t>
      </w:r>
    </w:p>
    <w:p w14:paraId="3B9594A2" w14:textId="77777777" w:rsidR="00643D86" w:rsidRDefault="00CA4626" w:rsidP="00643D86">
      <w:r>
        <w:rPr>
          <w:b/>
        </w:rPr>
        <w:t>Ansvarigt statsråd</w:t>
      </w:r>
      <w:r>
        <w:rPr>
          <w:b/>
        </w:rPr>
        <w:br/>
      </w:r>
      <w:r>
        <w:rPr>
          <w:noProof/>
        </w:rPr>
        <w:t>Per Bolund</w:t>
      </w:r>
    </w:p>
    <w:p w14:paraId="3B9594A6" w14:textId="421CCDF5" w:rsidR="00734F5B" w:rsidRDefault="00CA4626" w:rsidP="000E54C3">
      <w:r w:rsidRPr="00B44CE2">
        <w:rPr>
          <w:b/>
        </w:rPr>
        <w:lastRenderedPageBreak/>
        <w:t>Annotering</w:t>
      </w:r>
      <w:r>
        <w:rPr>
          <w:b/>
        </w:rPr>
        <w:br/>
      </w:r>
      <w:r>
        <w:rPr>
          <w:b/>
          <w:bCs/>
        </w:rPr>
        <w:t>Avsikt med behandlingen i rådet:</w:t>
      </w:r>
      <w:r>
        <w:t xml:space="preserve"> Rådet föreslås inte motsätta sig att kommissionen antar den delegerade akten. </w:t>
      </w:r>
    </w:p>
    <w:p w14:paraId="3B9594A7" w14:textId="77777777" w:rsidR="00734F5B" w:rsidRDefault="00CA4626">
      <w:pPr>
        <w:spacing w:after="280" w:afterAutospacing="1"/>
      </w:pPr>
      <w:r>
        <w:rPr>
          <w:b/>
          <w:bCs/>
        </w:rPr>
        <w:t>Hur regeringen ställer sig till den blivande A-punkten:</w:t>
      </w:r>
      <w:r>
        <w:t xml:space="preserve"> Regeringen avser inte motsätta sig förslaget. </w:t>
      </w:r>
    </w:p>
    <w:p w14:paraId="3B9594A8" w14:textId="77777777" w:rsidR="00734F5B" w:rsidRDefault="00CA4626">
      <w:pPr>
        <w:spacing w:after="280" w:afterAutospacing="1"/>
      </w:pPr>
      <w:r>
        <w:rPr>
          <w:b/>
          <w:bCs/>
        </w:rPr>
        <w:t>Bakgrund:</w:t>
      </w:r>
      <w:r>
        <w:t xml:space="preserve"> Enligt öppenhetsdirektivet (2004/109/EU) ska den Europeiska värdepappers- och marknadsmyndigheten (</w:t>
      </w:r>
      <w:proofErr w:type="spellStart"/>
      <w:r>
        <w:t>Esma</w:t>
      </w:r>
      <w:proofErr w:type="spellEnd"/>
      <w:r>
        <w:t>) lägga fram förslag till tekniska standarder för att närmare precisera innehållet i vissa av direktivets artiklar. Kommissionen har delegerats befogenhet att anta dessa tekniska standarder.</w:t>
      </w:r>
    </w:p>
    <w:p w14:paraId="3B9594A9" w14:textId="77777777" w:rsidR="00734F5B" w:rsidRDefault="00CA4626">
      <w:pPr>
        <w:spacing w:after="280" w:afterAutospacing="1"/>
      </w:pPr>
      <w:r>
        <w:t xml:space="preserve">Enligt öppenhetsdirektivets artikel 9(6b), 13(1a) och 13(4) ska </w:t>
      </w:r>
      <w:proofErr w:type="spellStart"/>
      <w:r>
        <w:t>Esma</w:t>
      </w:r>
      <w:proofErr w:type="spellEnd"/>
      <w:r>
        <w:t xml:space="preserve"> lägga fram förslag till bindande tekniska standarder (BTS) för att utarbeta förslag till tekniska standarder för att specificera vissa beräkningsmetoder vid beräkning av anmälningsskyldighet för innehavare av aktier och jämförbara finansiella instrument som har getts ut av ett bolag vars aktier är upptagna till handel på en reglerad marknad. En ändring i innehavet ska anmälas om innehavet uppnår eller passerar vissa angivna gränsvärden (s.k. flaggningsskyldighet). </w:t>
      </w:r>
      <w:proofErr w:type="spellStart"/>
      <w:r>
        <w:t>Esma</w:t>
      </w:r>
      <w:proofErr w:type="spellEnd"/>
      <w:r>
        <w:t xml:space="preserve"> har publicerat och skickat sitt slutliga förslag av dessa BTS till kommissionen för antagande och medlemsstaterna har möjlighet att motsätta sig att kommissionen antar förslaget.</w:t>
      </w:r>
    </w:p>
    <w:p w14:paraId="3B9594AA" w14:textId="77777777" w:rsidR="00FB32B9" w:rsidRDefault="00682484">
      <w:pPr>
        <w:spacing w:after="280" w:afterAutospacing="1"/>
        <w:rPr>
          <w:noProof/>
        </w:rPr>
      </w:pPr>
    </w:p>
    <w:p w14:paraId="3B9594AB" w14:textId="77777777" w:rsidR="00643D86" w:rsidRPr="00682484" w:rsidRDefault="00CA4626" w:rsidP="00643D86">
      <w:pPr>
        <w:pStyle w:val="Rubrik1"/>
        <w:rPr>
          <w:lang w:val="en-US"/>
        </w:rPr>
      </w:pPr>
      <w:bookmarkStart w:id="9" w:name="_Toc409080029"/>
      <w:r w:rsidRPr="00682484">
        <w:rPr>
          <w:noProof/>
          <w:lang w:val="en-US"/>
        </w:rPr>
        <w:t>Commission Delegated Regulation (EU) No …/.. of 18.12.2014 supplementing Regulation (EU) No 575/2013 of the European Parliament and of the Council with regard to regulatory technical standards for the specification of margin periods of risk</w:t>
      </w:r>
      <w:bookmarkEnd w:id="9"/>
    </w:p>
    <w:p w14:paraId="3B9594AC" w14:textId="77777777" w:rsidR="00643D86" w:rsidRDefault="00CA4626" w:rsidP="00643D86">
      <w:pPr>
        <w:rPr>
          <w:lang w:val="en-US"/>
        </w:rPr>
      </w:pPr>
      <w:r>
        <w:rPr>
          <w:noProof/>
          <w:lang w:val="en-US"/>
        </w:rPr>
        <w:t>=</w:t>
      </w:r>
      <w:r>
        <w:rPr>
          <w:lang w:val="en-US"/>
        </w:rPr>
        <w:t>Intention not to raise objection to a delegated act5128/15 EF 9 ECOFIN 17 DELACT 417102/14 EF 366 ECOFIN 1216 DELACT 246</w:t>
      </w:r>
      <w:r>
        <w:rPr>
          <w:lang w:val="en-US"/>
        </w:rPr>
        <w:br/>
      </w:r>
      <w:r>
        <w:rPr>
          <w:noProof/>
          <w:lang w:val="en-US"/>
        </w:rPr>
        <w:t>5128</w:t>
      </w:r>
      <w:r>
        <w:rPr>
          <w:lang w:val="en-US"/>
        </w:rPr>
        <w:t>/15 EF 9 ECOFIN 17 DELACT 417102/14 EF 366 ECOFIN 1216 DELACT 246</w:t>
      </w:r>
    </w:p>
    <w:p w14:paraId="3B9594AD" w14:textId="77777777" w:rsidR="00643D86" w:rsidRDefault="00CA4626" w:rsidP="00643D86">
      <w:r>
        <w:rPr>
          <w:b/>
        </w:rPr>
        <w:t>Ansvarigt statsråd</w:t>
      </w:r>
      <w:r>
        <w:rPr>
          <w:b/>
        </w:rPr>
        <w:br/>
      </w:r>
      <w:r>
        <w:rPr>
          <w:noProof/>
        </w:rPr>
        <w:t>Per Bolund</w:t>
      </w:r>
    </w:p>
    <w:p w14:paraId="3B9594B2" w14:textId="74447DD3" w:rsidR="00734F5B" w:rsidRDefault="00CA4626" w:rsidP="000E54C3">
      <w:r w:rsidRPr="00B44CE2">
        <w:rPr>
          <w:b/>
        </w:rPr>
        <w:t>Annotering</w:t>
      </w:r>
      <w:r>
        <w:rPr>
          <w:b/>
        </w:rPr>
        <w:br/>
      </w:r>
      <w:r>
        <w:rPr>
          <w:b/>
          <w:bCs/>
        </w:rPr>
        <w:t>Avsikt med behandlingen i rådet:</w:t>
      </w:r>
      <w:r>
        <w:t xml:space="preserve"> Rådet föreslås inte motsätta sig att kommissionen antar den delegerade akten. </w:t>
      </w:r>
    </w:p>
    <w:p w14:paraId="3B9594B4" w14:textId="526590CA" w:rsidR="00734F5B" w:rsidRDefault="00CA4626">
      <w:pPr>
        <w:spacing w:after="280" w:afterAutospacing="1"/>
      </w:pPr>
      <w:r>
        <w:rPr>
          <w:b/>
          <w:bCs/>
        </w:rPr>
        <w:t>Hur regeringen ställer sig till den blivande A-punkten:</w:t>
      </w:r>
      <w:r>
        <w:t xml:space="preserve"> Regeringen avser inte motsätta sig förslaget. </w:t>
      </w:r>
    </w:p>
    <w:p w14:paraId="3B9594B6" w14:textId="1AE525D2" w:rsidR="00734F5B" w:rsidRDefault="00CA4626">
      <w:pPr>
        <w:spacing w:after="280" w:afterAutospacing="1"/>
      </w:pPr>
      <w:r>
        <w:rPr>
          <w:b/>
          <w:bCs/>
        </w:rPr>
        <w:t>Bakgrund:</w:t>
      </w:r>
      <w:r w:rsidR="000E54C3">
        <w:rPr>
          <w:b/>
          <w:bCs/>
        </w:rPr>
        <w:t xml:space="preserve"> </w:t>
      </w:r>
      <w:r>
        <w:t>Enligt tillsynsförordningen 575/2013 av 26 juni 2013 och kapitaltäckningsdirektivet 2013/36/EU av den 26 juni ska den Europeiska bankmyndigheten (</w:t>
      </w:r>
      <w:proofErr w:type="spellStart"/>
      <w:r>
        <w:t>Eba</w:t>
      </w:r>
      <w:proofErr w:type="spellEnd"/>
      <w:r>
        <w:t>) lägga fram förslag till tekniska standarder för att närmare precisera innehållet i vissa av förordningens och direktivets artiklar. Kommissionen har delegerats befogenhet att anta dessa tekniska standarder.</w:t>
      </w:r>
    </w:p>
    <w:p w14:paraId="3B9594B7" w14:textId="1EC083AC" w:rsidR="00734F5B" w:rsidRDefault="00CA4626">
      <w:pPr>
        <w:spacing w:after="280" w:afterAutospacing="1"/>
      </w:pPr>
      <w:r>
        <w:t xml:space="preserve">Enligt tillsynsförordningens artikel </w:t>
      </w:r>
      <w:proofErr w:type="gramStart"/>
      <w:r>
        <w:t>304.5</w:t>
      </w:r>
      <w:proofErr w:type="gramEnd"/>
      <w:r>
        <w:t xml:space="preserve"> ska </w:t>
      </w:r>
      <w:proofErr w:type="spellStart"/>
      <w:r>
        <w:t>Eba</w:t>
      </w:r>
      <w:proofErr w:type="spellEnd"/>
      <w:r>
        <w:t xml:space="preserve"> lägga fram förslag till bindande tekniska standarder (BTS) för att utarbeta förslag till tekniska standarder för att ange den </w:t>
      </w:r>
      <w:r>
        <w:lastRenderedPageBreak/>
        <w:t xml:space="preserve">marginalriskperiod som de institut som är </w:t>
      </w:r>
      <w:proofErr w:type="spellStart"/>
      <w:r>
        <w:t>clearingmedlemmar</w:t>
      </w:r>
      <w:proofErr w:type="spellEnd"/>
      <w:r>
        <w:t xml:space="preserve"> får använda för att beräkna kapitalbaskravet mot kunder vid tillämpningen av artiklarna 304.3 och 304.4 i tillsynsförordningen. </w:t>
      </w:r>
      <w:proofErr w:type="spellStart"/>
      <w:r>
        <w:t>Eba</w:t>
      </w:r>
      <w:proofErr w:type="spellEnd"/>
      <w:r>
        <w:t xml:space="preserve"> har publicerat och skickat sitt slutliga förslag av dessa BTS till kommissionen för antagande och medlemsstaterna har möjlighet att motsätta sig att kommissionen antar förslaget.</w:t>
      </w:r>
    </w:p>
    <w:p w14:paraId="3B9594B8" w14:textId="77777777" w:rsidR="00FB32B9" w:rsidRDefault="00682484">
      <w:pPr>
        <w:spacing w:after="280" w:afterAutospacing="1"/>
        <w:rPr>
          <w:noProof/>
        </w:rPr>
      </w:pPr>
    </w:p>
    <w:p w14:paraId="3B9594B9" w14:textId="77777777" w:rsidR="00643D86" w:rsidRPr="00682484" w:rsidRDefault="00CA4626" w:rsidP="00643D86">
      <w:pPr>
        <w:pStyle w:val="Rubrik1"/>
        <w:rPr>
          <w:lang w:val="en-US"/>
        </w:rPr>
      </w:pPr>
      <w:bookmarkStart w:id="10" w:name="_Toc409080030"/>
      <w:r w:rsidRPr="00682484">
        <w:rPr>
          <w:noProof/>
          <w:lang w:val="en-US"/>
        </w:rPr>
        <w:t>Proposal for transfer of appropriations No DEC 54/2014 within Section III - Commission - of the general budget for 2014</w:t>
      </w:r>
      <w:bookmarkEnd w:id="10"/>
    </w:p>
    <w:p w14:paraId="3B9594BB" w14:textId="54C06F88" w:rsidR="00643D86" w:rsidRDefault="00CA4626" w:rsidP="00643D86">
      <w:r w:rsidRPr="00682484">
        <w:rPr>
          <w:noProof/>
        </w:rPr>
        <w:t>5134</w:t>
      </w:r>
      <w:r w:rsidRPr="00682484">
        <w:t>/15 FIN 7 INST 5 PE-L 1</w:t>
      </w:r>
      <w:r w:rsidRPr="00682484">
        <w:br/>
      </w:r>
      <w:r>
        <w:rPr>
          <w:b/>
        </w:rPr>
        <w:t>Ansvarigt statsråd</w:t>
      </w:r>
      <w:r>
        <w:rPr>
          <w:b/>
        </w:rPr>
        <w:br/>
      </w:r>
      <w:r>
        <w:rPr>
          <w:noProof/>
        </w:rPr>
        <w:t>Magdalena Andersson</w:t>
      </w:r>
    </w:p>
    <w:p w14:paraId="3B9594BD" w14:textId="77777777" w:rsidR="00643D86" w:rsidRPr="00643D86" w:rsidRDefault="00CA4626" w:rsidP="00643D86">
      <w:r w:rsidRPr="00643D86">
        <w:rPr>
          <w:b/>
        </w:rPr>
        <w:t>Tidigare behandling vid rådsmöte</w:t>
      </w:r>
      <w:r>
        <w:rPr>
          <w:b/>
        </w:rPr>
        <w:br/>
      </w:r>
      <w:r>
        <w:rPr>
          <w:noProof/>
        </w:rPr>
        <w:t>2015-01-06</w:t>
      </w:r>
    </w:p>
    <w:p w14:paraId="3B9594BF" w14:textId="52F837E7" w:rsidR="00734F5B" w:rsidRDefault="00CA4626" w:rsidP="000E54C3">
      <w:r w:rsidRPr="00B44CE2">
        <w:rPr>
          <w:b/>
        </w:rPr>
        <w:t>Annotering</w:t>
      </w:r>
      <w:r>
        <w:rPr>
          <w:b/>
        </w:rPr>
        <w:br/>
      </w:r>
      <w:r>
        <w:rPr>
          <w:b/>
          <w:bCs/>
        </w:rPr>
        <w:t>Avsikt med behandlingen i rådet:</w:t>
      </w:r>
      <w:r>
        <w:t xml:space="preserve"> Att godkänna överföringen och ett utkast till brev i frågan ställt till kommissionen. </w:t>
      </w:r>
    </w:p>
    <w:p w14:paraId="3B9594C1" w14:textId="016A05E0" w:rsidR="00734F5B" w:rsidRDefault="00CA4626">
      <w:pPr>
        <w:spacing w:after="280" w:afterAutospacing="1"/>
      </w:pPr>
      <w:r>
        <w:rPr>
          <w:b/>
          <w:bCs/>
        </w:rPr>
        <w:t>Hur regeringen ställer sig till den blivande A-punkten:</w:t>
      </w:r>
      <w:r>
        <w:t xml:space="preserve"> Regeringen kan godkänna överföringen </w:t>
      </w:r>
    </w:p>
    <w:p w14:paraId="3B9594C3" w14:textId="10DFC9A3" w:rsidR="00734F5B" w:rsidRDefault="00CA4626">
      <w:pPr>
        <w:spacing w:after="280" w:afterAutospacing="1"/>
      </w:pPr>
      <w:r>
        <w:rPr>
          <w:b/>
          <w:bCs/>
        </w:rPr>
        <w:t>Bakgrund:</w:t>
      </w:r>
      <w:r w:rsidR="000E54C3">
        <w:rPr>
          <w:b/>
          <w:bCs/>
        </w:rPr>
        <w:t xml:space="preserve"> </w:t>
      </w:r>
      <w:r>
        <w:t>Den s.k. ”överföringen vid årets slut” är avsedd att i möjligaste mån se till att utestående fakturor för medel under delad förvaltning kan betalas, genom att fullständigt utnyttja alla tillgängliga betalnings-bemyndiganden. Överföringarna av betalningsanslag kan göras mellan olika rubriker.</w:t>
      </w:r>
      <w:r>
        <w:br/>
      </w:r>
      <w:r>
        <w:br/>
        <w:t>Föreliggande överföring avser betalningsbemyndiganden om totalt 580,5 miljoner euro. 490,1 miljoner euro beror på att godkännandet av de operativa programmen för landsbygdsutveckling har försenats. Programmen kommer att antas 2015 och då kommer pengarna att betalas ut (ett år senare än vad som ursprungligen var planerat).</w:t>
      </w:r>
      <w:r>
        <w:br/>
        <w:t xml:space="preserve">Det belopp som ska överföras från andra budgetposter uppgår till 90,4 miljoner euro, vilket utgör 0,07 % av de sammanlagda betalningsbemyndigandena som godkänts för 2014 års budget. Detta belopp dras från 36 budgetposter, varav 27 omfattar belopp på 1 miljon euro eller mindre. </w:t>
      </w:r>
    </w:p>
    <w:p w14:paraId="3B9594C4" w14:textId="77777777" w:rsidR="00734F5B" w:rsidRDefault="00CA4626">
      <w:pPr>
        <w:spacing w:after="280" w:afterAutospacing="1"/>
      </w:pPr>
      <w:r>
        <w:t>Överföringen omfattar minskningar under följande rubriker:</w:t>
      </w:r>
      <w:r>
        <w:br/>
        <w:t>Rubrik 1a: Konkurrenskraft för tillväxt och sysselsättning 3,8 miljoner euro</w:t>
      </w:r>
      <w:r>
        <w:br/>
        <w:t>Rubrik 2: Hållbar tillväxt: naturresurser 491,2 miljoner euro</w:t>
      </w:r>
      <w:r>
        <w:br/>
        <w:t>Rubrik 3: Säkerhet och medborgarskap 10,8 miljoner euro</w:t>
      </w:r>
      <w:r>
        <w:br/>
        <w:t xml:space="preserve">Rubrik 4: Europa i världen 72,3 miljoner euro </w:t>
      </w:r>
      <w:r>
        <w:br/>
        <w:t>Rubrik 9: Särskilda instrument 2,4 miljoner euro</w:t>
      </w:r>
    </w:p>
    <w:p w14:paraId="3B9594C5" w14:textId="77777777" w:rsidR="00734F5B" w:rsidRDefault="00CA4626">
      <w:pPr>
        <w:spacing w:after="280" w:afterAutospacing="1"/>
      </w:pPr>
      <w:r>
        <w:t>Överföringen omfattar ökningar i fråga om tre budgetposter:</w:t>
      </w:r>
      <w:r>
        <w:br/>
        <w:t>+ 9,0 miljoner euro för budgetpost 11 06 12 Slutförande av Europeiska fiskerifonden (EFF) – Konvergensmål (2007–2013)</w:t>
      </w:r>
      <w:r>
        <w:br/>
      </w:r>
      <w:r>
        <w:lastRenderedPageBreak/>
        <w:t>+ 564,3 miljoner euro för budgetpost 13 04 02 Slutförande av Sammanhållningsfonden (2007–2013)</w:t>
      </w:r>
      <w:r>
        <w:br/>
        <w:t>+ 7,1 miljoner euro till budgetpost 18 03 51 Slutförande av insatser och program på området återvändande, flyktingar och migrationsströmmar</w:t>
      </w:r>
    </w:p>
    <w:p w14:paraId="3B9594C6" w14:textId="77777777" w:rsidR="00FB32B9" w:rsidRDefault="00682484">
      <w:pPr>
        <w:spacing w:after="280" w:afterAutospacing="1"/>
        <w:rPr>
          <w:noProof/>
        </w:rPr>
      </w:pPr>
    </w:p>
    <w:p w14:paraId="3B9594C7" w14:textId="69B3BA5C" w:rsidR="00643D86" w:rsidRPr="00682484" w:rsidRDefault="00CA4626" w:rsidP="00643D86">
      <w:pPr>
        <w:pStyle w:val="Rubrik1"/>
        <w:rPr>
          <w:lang w:val="en-US"/>
        </w:rPr>
      </w:pPr>
      <w:bookmarkStart w:id="11" w:name="_Toc409080031"/>
      <w:r w:rsidRPr="00682484">
        <w:rPr>
          <w:noProof/>
          <w:lang w:val="en-US"/>
        </w:rPr>
        <w:t xml:space="preserve">Draft Council conclusions on the </w:t>
      </w:r>
      <w:bookmarkEnd w:id="11"/>
      <w:r w:rsidR="00913679" w:rsidRPr="00682484">
        <w:rPr>
          <w:noProof/>
          <w:lang w:val="en-US"/>
        </w:rPr>
        <w:t>DRC/FDLR</w:t>
      </w:r>
    </w:p>
    <w:p w14:paraId="3B9594C9" w14:textId="7A80F9D4" w:rsidR="00643D86" w:rsidRPr="00682484" w:rsidRDefault="00CA4626" w:rsidP="00643D86">
      <w:pPr>
        <w:rPr>
          <w:lang w:val="en-US"/>
        </w:rPr>
      </w:pPr>
      <w:r>
        <w:rPr>
          <w:noProof/>
          <w:lang w:val="en-US"/>
        </w:rPr>
        <w:t>5076</w:t>
      </w:r>
      <w:r>
        <w:rPr>
          <w:lang w:val="en-US"/>
        </w:rPr>
        <w:t>/15 COAFR 5 DEVGEN 1 RELEX 8 COHAFA 2 COPS 1 ACP 2CSDP/PSDC 11</w:t>
      </w:r>
      <w:r>
        <w:rPr>
          <w:lang w:val="en-US"/>
        </w:rPr>
        <w:br/>
      </w:r>
      <w:r w:rsidRPr="00682484">
        <w:rPr>
          <w:b/>
          <w:lang w:val="en-US"/>
        </w:rPr>
        <w:t>Ansvarigt statsråd</w:t>
      </w:r>
      <w:r w:rsidRPr="00682484">
        <w:rPr>
          <w:b/>
          <w:lang w:val="en-US"/>
        </w:rPr>
        <w:br/>
      </w:r>
      <w:r w:rsidRPr="00682484">
        <w:rPr>
          <w:noProof/>
          <w:lang w:val="en-US"/>
        </w:rPr>
        <w:t>Margot Wallström</w:t>
      </w:r>
    </w:p>
    <w:p w14:paraId="3B9594CD" w14:textId="78472615" w:rsidR="00734F5B" w:rsidRDefault="00CA4626" w:rsidP="000E54C3">
      <w:r w:rsidRPr="00B44CE2">
        <w:rPr>
          <w:b/>
        </w:rPr>
        <w:t>Annotering</w:t>
      </w:r>
      <w:r>
        <w:rPr>
          <w:b/>
        </w:rPr>
        <w:br/>
      </w:r>
      <w:r>
        <w:rPr>
          <w:b/>
          <w:bCs/>
        </w:rPr>
        <w:t>Avsikt med behandling i rådet:</w:t>
      </w:r>
      <w:r>
        <w:t xml:space="preserve"> Rådet föreslås anta </w:t>
      </w:r>
      <w:proofErr w:type="spellStart"/>
      <w:r>
        <w:t>rådsslutsatser</w:t>
      </w:r>
      <w:proofErr w:type="spellEnd"/>
      <w:r>
        <w:t xml:space="preserve"> beträffande DRK/FDLR</w:t>
      </w:r>
    </w:p>
    <w:p w14:paraId="3B9594CE" w14:textId="6F0312A9" w:rsidR="00734F5B" w:rsidRDefault="00CA4626">
      <w:pPr>
        <w:spacing w:after="280" w:afterAutospacing="1"/>
      </w:pPr>
      <w:r>
        <w:rPr>
          <w:b/>
          <w:bCs/>
        </w:rPr>
        <w:t xml:space="preserve">Hur regeringen ställer sig till den blivande A-punkten: </w:t>
      </w:r>
      <w:r>
        <w:t>regeringen avser rösta ja</w:t>
      </w:r>
      <w:r w:rsidR="00484CAA">
        <w:t>.</w:t>
      </w:r>
    </w:p>
    <w:p w14:paraId="3B9594CF" w14:textId="77777777" w:rsidR="00734F5B" w:rsidRDefault="00CA4626">
      <w:pPr>
        <w:spacing w:after="280" w:afterAutospacing="1"/>
      </w:pPr>
      <w:r>
        <w:rPr>
          <w:b/>
          <w:bCs/>
        </w:rPr>
        <w:t xml:space="preserve">Bakgrund: </w:t>
      </w:r>
      <w:r>
        <w:t xml:space="preserve">I </w:t>
      </w:r>
      <w:proofErr w:type="spellStart"/>
      <w:r>
        <w:t>rådsslutsatserna</w:t>
      </w:r>
      <w:proofErr w:type="spellEnd"/>
      <w:r>
        <w:t xml:space="preserve"> om DRK/FDLR bekräftar EU sitt stöd för att bidra till stabilitet och utveckling i Stora sjöregionen inklusive genomförande av </w:t>
      </w:r>
      <w:r>
        <w:rPr>
          <w:i/>
          <w:iCs/>
        </w:rPr>
        <w:t>Ramavtalet för fred, säkerhet och samarbete i DR Kongo och regionen (2013)</w:t>
      </w:r>
      <w:r>
        <w:t xml:space="preserve">. </w:t>
      </w:r>
    </w:p>
    <w:p w14:paraId="3B9594D0" w14:textId="77777777" w:rsidR="00734F5B" w:rsidRDefault="00CA4626">
      <w:pPr>
        <w:spacing w:after="280" w:afterAutospacing="1"/>
      </w:pPr>
      <w:r>
        <w:t xml:space="preserve">Vidare uttrycker </w:t>
      </w:r>
      <w:proofErr w:type="spellStart"/>
      <w:r>
        <w:t>rådsslutsatserna</w:t>
      </w:r>
      <w:proofErr w:type="spellEnd"/>
      <w:r>
        <w:t xml:space="preserve"> stöd för en militär aktion, i enlighet med FN:s säkerhetsrådsresolution 2147 och så som uttryckts i FN:s säkerhetsråds ordförandeuttalande 8 januari samt i uttalandet av de internationella sändebuden den 2 januari, mot rebellgruppen FDLR som inte respekterat den tidsfrist som utsatts för frivillig avväpning till den 2 januari 2015. </w:t>
      </w:r>
      <w:proofErr w:type="spellStart"/>
      <w:r>
        <w:t>DRK:s</w:t>
      </w:r>
      <w:proofErr w:type="spellEnd"/>
      <w:r>
        <w:t xml:space="preserve"> regeringsarmé och MONUSCO uppmanas att omedelbart avväpna FDLR. </w:t>
      </w:r>
    </w:p>
    <w:p w14:paraId="3B9594D1" w14:textId="77777777" w:rsidR="00734F5B" w:rsidRDefault="00CA4626">
      <w:pPr>
        <w:spacing w:after="280" w:afterAutospacing="1"/>
      </w:pPr>
      <w:r>
        <w:t xml:space="preserve">Vidare fastslås att brott mot mänskliga rättigheter, särskilt könsrelaterat våld och rekrytering av barnsoldater, är oacceptabelt och ska upphöra samt att </w:t>
      </w:r>
      <w:proofErr w:type="spellStart"/>
      <w:r>
        <w:t>DRK:s</w:t>
      </w:r>
      <w:proofErr w:type="spellEnd"/>
      <w:r>
        <w:t xml:space="preserve"> regering måste säkerställa att de som begått brott mot mänskliga rättigheter och internationell humanitär rätt ställs inför rätta. EU upprepar sitt stöd för de som verkar för att bekämpa sexuellt våld och hantera dess konsekvenser. Genom att hantera grundorsakerna till instabiliteten i regionen kan långsiktig utveckling uppnås. Militär aktion måste kompletteras med politiska åtgärder och i detta är genomförandet av Ramavtalet, trovärdiga och fria val samt kvinnors aktiva deltagande i linje med säkerhetsrådsresolution 1325 avgörande. Slutligen uttrycks stöd för FN:s särskilda sändebud Said </w:t>
      </w:r>
      <w:proofErr w:type="spellStart"/>
      <w:r>
        <w:t>Djinnits</w:t>
      </w:r>
      <w:proofErr w:type="spellEnd"/>
      <w:r>
        <w:t xml:space="preserve"> arbete. </w:t>
      </w:r>
    </w:p>
    <w:p w14:paraId="3B9594D2" w14:textId="77777777" w:rsidR="00734F5B" w:rsidRDefault="00734F5B">
      <w:pPr>
        <w:spacing w:after="280" w:afterAutospacing="1"/>
      </w:pPr>
    </w:p>
    <w:p w14:paraId="3B9594D3" w14:textId="77777777" w:rsidR="00643D86" w:rsidRDefault="00CA4626" w:rsidP="00643D86">
      <w:pPr>
        <w:pStyle w:val="Rubrik1"/>
      </w:pPr>
      <w:bookmarkStart w:id="12" w:name="_Toc409080032"/>
      <w:r>
        <w:rPr>
          <w:noProof/>
        </w:rPr>
        <w:t>Relations with Armenia</w:t>
      </w:r>
      <w:bookmarkEnd w:id="12"/>
      <w:r>
        <w:rPr>
          <w:noProof/>
        </w:rPr>
        <w:t xml:space="preserve"> </w:t>
      </w:r>
    </w:p>
    <w:p w14:paraId="3B9594D4" w14:textId="77777777" w:rsidR="00643D86" w:rsidRDefault="00CA4626" w:rsidP="00643D86">
      <w:pPr>
        <w:rPr>
          <w:lang w:val="en-US"/>
        </w:rPr>
      </w:pPr>
      <w:r>
        <w:rPr>
          <w:noProof/>
          <w:lang w:val="en-US"/>
        </w:rPr>
        <w:t>=</w:t>
      </w:r>
      <w:r>
        <w:rPr>
          <w:lang w:val="en-US"/>
        </w:rPr>
        <w:t>Establishment of the position of the European Union for the fifteenth meeting of the EU-Armenia Cooperation Council (Brussels, 20 January 2015)5105/15 COEST 3</w:t>
      </w:r>
      <w:r>
        <w:rPr>
          <w:lang w:val="en-US"/>
        </w:rPr>
        <w:br/>
      </w:r>
      <w:r>
        <w:rPr>
          <w:noProof/>
          <w:lang w:val="en-US"/>
        </w:rPr>
        <w:t>5105</w:t>
      </w:r>
      <w:r>
        <w:rPr>
          <w:lang w:val="en-US"/>
        </w:rPr>
        <w:t>/15 COEST 3</w:t>
      </w:r>
    </w:p>
    <w:p w14:paraId="3B9594D5" w14:textId="77777777" w:rsidR="00643D86" w:rsidRDefault="00CA4626" w:rsidP="00643D86">
      <w:r>
        <w:rPr>
          <w:b/>
        </w:rPr>
        <w:t>Ansvarigt statsråd</w:t>
      </w:r>
      <w:r>
        <w:rPr>
          <w:b/>
        </w:rPr>
        <w:br/>
      </w:r>
      <w:r>
        <w:rPr>
          <w:noProof/>
        </w:rPr>
        <w:t>Margot Wallström</w:t>
      </w:r>
    </w:p>
    <w:p w14:paraId="3B9594D9" w14:textId="3C013B39" w:rsidR="00734F5B" w:rsidRDefault="00CA4626" w:rsidP="000E54C3">
      <w:r w:rsidRPr="00B44CE2">
        <w:rPr>
          <w:b/>
        </w:rPr>
        <w:lastRenderedPageBreak/>
        <w:t>Annotering</w:t>
      </w:r>
      <w:r>
        <w:rPr>
          <w:b/>
        </w:rPr>
        <w:br/>
      </w:r>
      <w:r>
        <w:rPr>
          <w:b/>
          <w:bCs/>
        </w:rPr>
        <w:t>Avsikt med behandlingen i rådet:</w:t>
      </w:r>
      <w:r>
        <w:t xml:space="preserve"> Rådet föreslås godkänna unionens ståndpunkt i kommande samarbetsråd med Armenien. </w:t>
      </w:r>
    </w:p>
    <w:p w14:paraId="3B9594DB" w14:textId="4D4BC7A5" w:rsidR="00734F5B" w:rsidRDefault="00CA4626">
      <w:pPr>
        <w:spacing w:after="280" w:afterAutospacing="1"/>
      </w:pPr>
      <w:r>
        <w:rPr>
          <w:b/>
          <w:bCs/>
        </w:rPr>
        <w:t>Hur regeringen ställer sig till den blivande A-punkten:</w:t>
      </w:r>
      <w:r>
        <w:t xml:space="preserve"> Regeringen avser rösta ja. </w:t>
      </w:r>
    </w:p>
    <w:p w14:paraId="3B9594DE" w14:textId="4EB8C3A6" w:rsidR="00FB32B9" w:rsidRDefault="00CA4626" w:rsidP="00913679">
      <w:pPr>
        <w:spacing w:after="280" w:afterAutospacing="1"/>
      </w:pPr>
      <w:r>
        <w:rPr>
          <w:b/>
          <w:bCs/>
        </w:rPr>
        <w:t>Bakgrund:</w:t>
      </w:r>
      <w:r w:rsidR="000E54C3">
        <w:rPr>
          <w:b/>
          <w:bCs/>
        </w:rPr>
        <w:t xml:space="preserve"> </w:t>
      </w:r>
      <w:r>
        <w:t>Rådsarbetsgruppen för Östeuropa och Centralasien har slutbehandlat Europeiska unionens ståndpunkt inför det femtonde mötet i samarbetsrådet EU-Armenien, som äger rum den 20 januari. Ståndpunkterna rör allmänna politiska frågor och relationen mellan EU och Armenien.</w:t>
      </w:r>
    </w:p>
    <w:p w14:paraId="19BEFB3B" w14:textId="77777777" w:rsidR="00913679" w:rsidRDefault="00913679" w:rsidP="00913679">
      <w:pPr>
        <w:spacing w:after="280" w:afterAutospacing="1"/>
      </w:pPr>
    </w:p>
    <w:p w14:paraId="3B9594DF" w14:textId="47AA869C" w:rsidR="00643D86" w:rsidRDefault="00CA4626" w:rsidP="00643D86">
      <w:pPr>
        <w:pStyle w:val="Rubrik1"/>
      </w:pPr>
      <w:bookmarkStart w:id="13" w:name="_Toc409080033"/>
      <w:r>
        <w:rPr>
          <w:noProof/>
        </w:rPr>
        <w:t>Draft Council Conclusions on Tunisia</w:t>
      </w:r>
      <w:bookmarkEnd w:id="13"/>
    </w:p>
    <w:p w14:paraId="3B9594E1" w14:textId="00474968" w:rsidR="00643D86" w:rsidRDefault="00CA4626" w:rsidP="00643D86">
      <w:r w:rsidRPr="00682484">
        <w:rPr>
          <w:noProof/>
        </w:rPr>
        <w:t>5210</w:t>
      </w:r>
      <w:r w:rsidRPr="00682484">
        <w:t>/15 COMAG 6 COMED 1 TU 1</w:t>
      </w:r>
      <w:r w:rsidRPr="00682484">
        <w:br/>
      </w:r>
      <w:r>
        <w:rPr>
          <w:b/>
        </w:rPr>
        <w:t>Ansvarigt statsråd</w:t>
      </w:r>
      <w:r>
        <w:rPr>
          <w:b/>
        </w:rPr>
        <w:br/>
      </w:r>
      <w:r>
        <w:rPr>
          <w:noProof/>
        </w:rPr>
        <w:t>Margot Wallström</w:t>
      </w:r>
    </w:p>
    <w:p w14:paraId="3B9594E5" w14:textId="4CE9A025" w:rsidR="00734F5B" w:rsidRDefault="00CA4626" w:rsidP="000E54C3">
      <w:r w:rsidRPr="00B44CE2">
        <w:rPr>
          <w:b/>
        </w:rPr>
        <w:t>Annotering</w:t>
      </w:r>
      <w:r>
        <w:rPr>
          <w:b/>
        </w:rPr>
        <w:br/>
      </w:r>
      <w:r>
        <w:rPr>
          <w:b/>
          <w:bCs/>
        </w:rPr>
        <w:t>Avsikt med behandlingen i rådet:</w:t>
      </w:r>
      <w:r>
        <w:t xml:space="preserve"> Rådet föreslås godkänna </w:t>
      </w:r>
      <w:proofErr w:type="spellStart"/>
      <w:r>
        <w:t>rådsslutsatser</w:t>
      </w:r>
      <w:proofErr w:type="spellEnd"/>
      <w:r>
        <w:t xml:space="preserve"> om Tunisien.</w:t>
      </w:r>
    </w:p>
    <w:p w14:paraId="3B9594E6" w14:textId="77777777" w:rsidR="00734F5B" w:rsidRDefault="00CA4626">
      <w:pPr>
        <w:spacing w:after="280" w:afterAutospacing="1"/>
      </w:pPr>
      <w:r>
        <w:rPr>
          <w:b/>
          <w:bCs/>
        </w:rPr>
        <w:t>Hur regeringen ställer sig till den blivande A-punkten:</w:t>
      </w:r>
      <w:r>
        <w:t xml:space="preserve"> Regeringen avser rösta ja. </w:t>
      </w:r>
    </w:p>
    <w:p w14:paraId="3B9594E8" w14:textId="35811414" w:rsidR="00FB32B9" w:rsidRDefault="00CA4626">
      <w:pPr>
        <w:spacing w:after="280" w:afterAutospacing="1"/>
        <w:rPr>
          <w:noProof/>
        </w:rPr>
      </w:pPr>
      <w:r>
        <w:rPr>
          <w:b/>
          <w:bCs/>
        </w:rPr>
        <w:t xml:space="preserve">Bakgrund: </w:t>
      </w:r>
      <w:proofErr w:type="spellStart"/>
      <w:r>
        <w:t>Rådsslutsatserna</w:t>
      </w:r>
      <w:proofErr w:type="spellEnd"/>
      <w:r>
        <w:t xml:space="preserve"> gratulerar Tunisien till väl genomförda parlaments- och presidentval, lovordar valkommissionen </w:t>
      </w:r>
      <w:proofErr w:type="spellStart"/>
      <w:r>
        <w:t>ISIE:s</w:t>
      </w:r>
      <w:proofErr w:type="spellEnd"/>
      <w:r>
        <w:t xml:space="preserve"> arbete och lyfter fram det tunisiska exemplet som en inspiration för regionen. EU önskar president </w:t>
      </w:r>
      <w:proofErr w:type="spellStart"/>
      <w:r>
        <w:t>Essebsi</w:t>
      </w:r>
      <w:proofErr w:type="spellEnd"/>
      <w:r>
        <w:t xml:space="preserve"> och de tunisiska institutionerna lycka till i genomförandet av de nödvändiga reformer som krävs för att konsolidera demokratiseringsprocessen och för att bemöta landets socio-ekonomiska utmaningar. EU betonar sitt fortsatta engagemang och sin önskan att fördjupa det privilegierade partnerskap som man har med Tunisien. </w:t>
      </w:r>
      <w:r>
        <w:br/>
      </w:r>
    </w:p>
    <w:p w14:paraId="3B9594E9" w14:textId="3FB61B35" w:rsidR="00643D86" w:rsidRPr="00682484" w:rsidRDefault="00CA4626" w:rsidP="00643D86">
      <w:pPr>
        <w:pStyle w:val="Rubrik1"/>
        <w:rPr>
          <w:lang w:val="en-US"/>
        </w:rPr>
      </w:pPr>
      <w:bookmarkStart w:id="14" w:name="_Toc409080034"/>
      <w:r w:rsidRPr="00682484">
        <w:rPr>
          <w:noProof/>
          <w:lang w:val="en-US"/>
        </w:rPr>
        <w:t>Six-monthly Progress Report on the implementation of the EU Strategy against the Proliferation of Weapons of Mass Destruction</w:t>
      </w:r>
      <w:bookmarkEnd w:id="14"/>
    </w:p>
    <w:p w14:paraId="3B9594EB" w14:textId="60D9C502" w:rsidR="00643D86" w:rsidRDefault="00CA4626" w:rsidP="00643D86">
      <w:r w:rsidRPr="00682484">
        <w:rPr>
          <w:noProof/>
        </w:rPr>
        <w:t>5098</w:t>
      </w:r>
      <w:r w:rsidRPr="00682484">
        <w:t xml:space="preserve">/15 PESC 14 CODUN 2 CONOP 25096/15 PESC 13 CODUN 1 CONOP 1 </w:t>
      </w:r>
      <w:r w:rsidRPr="00682484">
        <w:br/>
      </w:r>
      <w:r>
        <w:rPr>
          <w:b/>
        </w:rPr>
        <w:t>Ansvarigt statsråd</w:t>
      </w:r>
      <w:r>
        <w:rPr>
          <w:b/>
        </w:rPr>
        <w:br/>
      </w:r>
      <w:r>
        <w:rPr>
          <w:noProof/>
        </w:rPr>
        <w:t>Margot Wallström</w:t>
      </w:r>
    </w:p>
    <w:p w14:paraId="3B9594EF" w14:textId="6BCB7402" w:rsidR="00734F5B" w:rsidRDefault="00CA4626" w:rsidP="000E54C3">
      <w:r w:rsidRPr="00B44CE2">
        <w:rPr>
          <w:b/>
        </w:rPr>
        <w:t>Annotering</w:t>
      </w:r>
      <w:r>
        <w:rPr>
          <w:b/>
        </w:rPr>
        <w:br/>
      </w:r>
      <w:r w:rsidRPr="000E54C3">
        <w:rPr>
          <w:b/>
        </w:rPr>
        <w:t>Avsikt med behandlingen i rådet:</w:t>
      </w:r>
      <w:r>
        <w:t xml:space="preserve"> Rådet föreslås fatta beslut om föreliggande utkast till en sexmånadersrapport om genomförandet av EU:s strategi emot spridning av massförstörelsevapen. </w:t>
      </w:r>
    </w:p>
    <w:p w14:paraId="3B9594F0" w14:textId="77777777" w:rsidR="00734F5B" w:rsidRDefault="00CA4626">
      <w:pPr>
        <w:spacing w:after="280" w:afterAutospacing="1"/>
      </w:pPr>
      <w:r w:rsidRPr="000E54C3">
        <w:rPr>
          <w:b/>
        </w:rPr>
        <w:t>Hur regeringen ställer sig till den blivande A-punkten:</w:t>
      </w:r>
      <w:r>
        <w:t xml:space="preserve"> Regeringen avser stödja utkastet till rapport. </w:t>
      </w:r>
    </w:p>
    <w:p w14:paraId="3B9594F1" w14:textId="6F186D2F" w:rsidR="00734F5B" w:rsidRDefault="00CA4626">
      <w:pPr>
        <w:spacing w:after="280" w:afterAutospacing="1"/>
      </w:pPr>
      <w:r w:rsidRPr="000E54C3">
        <w:rPr>
          <w:b/>
        </w:rPr>
        <w:t>Bakgrund:</w:t>
      </w:r>
      <w:r>
        <w:t xml:space="preserve"> I december år 2003 antog Europeiska rådet en EU strategi för att förhindra spridning av massförstörelsevapen (dok 15708/03). Enligt strategin ska en framstegsrapport </w:t>
      </w:r>
      <w:r>
        <w:lastRenderedPageBreak/>
        <w:t xml:space="preserve">presenteras varje sexmånadersperiod. Rådet ska nu fatta beslut om rapporten för andra hälften av 2014. Under perioden fokuserade EEAS särskilda sändebud på förberedelser inför översynen av icke-spridningsavtalet (NPT) som äger rum våren 2015, främjande av en internationell </w:t>
      </w:r>
      <w:proofErr w:type="spellStart"/>
      <w:r>
        <w:t>rymdkod</w:t>
      </w:r>
      <w:proofErr w:type="spellEnd"/>
      <w:r>
        <w:t xml:space="preserve"> samt främjande av ikraftträdandet av det fullständiga </w:t>
      </w:r>
      <w:proofErr w:type="spellStart"/>
      <w:r>
        <w:t>provstoppavtalet</w:t>
      </w:r>
      <w:proofErr w:type="spellEnd"/>
      <w:r>
        <w:t xml:space="preserve"> (CTBT), inklusive dialog med partners utanför EU om </w:t>
      </w:r>
      <w:proofErr w:type="spellStart"/>
      <w:r>
        <w:t>mainstreaming</w:t>
      </w:r>
      <w:proofErr w:type="spellEnd"/>
      <w:r>
        <w:t xml:space="preserve"> av icke-spridning i EU:s bilaterala relationer med relevanta länder. Sexmånadersrapporten redogör för EU:s arbete och stöd till relevanta organisationer, liksom regionala frågor. </w:t>
      </w:r>
    </w:p>
    <w:p w14:paraId="3B9594F2" w14:textId="77777777" w:rsidR="00FB32B9" w:rsidRDefault="00682484">
      <w:pPr>
        <w:spacing w:after="280" w:afterAutospacing="1"/>
        <w:rPr>
          <w:noProof/>
        </w:rPr>
      </w:pPr>
    </w:p>
    <w:p w14:paraId="3B9594F3" w14:textId="77777777" w:rsidR="00643D86" w:rsidRPr="00682484" w:rsidRDefault="00CA4626" w:rsidP="00643D86">
      <w:pPr>
        <w:pStyle w:val="Rubrik1"/>
        <w:rPr>
          <w:lang w:val="en-US"/>
        </w:rPr>
      </w:pPr>
      <w:bookmarkStart w:id="15" w:name="_Toc409080035"/>
      <w:r w:rsidRPr="00682484">
        <w:rPr>
          <w:noProof/>
          <w:lang w:val="en-US"/>
        </w:rPr>
        <w:t>Council Decision in support of activities of the Organisation for the Prohibition of Chemical Weapons (OPCW) in the framework of the implementation of the EU Strategy against Proliferation of Weapons of Mass Destruction</w:t>
      </w:r>
      <w:bookmarkEnd w:id="15"/>
    </w:p>
    <w:p w14:paraId="3B9594F4" w14:textId="33DF6DA3" w:rsidR="00643D86" w:rsidRDefault="00CA4626" w:rsidP="00643D86">
      <w:pPr>
        <w:rPr>
          <w:lang w:val="en-US"/>
        </w:rPr>
      </w:pPr>
      <w:r>
        <w:rPr>
          <w:noProof/>
          <w:lang w:val="en-US"/>
        </w:rPr>
        <w:t>16584</w:t>
      </w:r>
      <w:r>
        <w:rPr>
          <w:lang w:val="en-US"/>
        </w:rPr>
        <w:t>/14 PESC 1292 CODUN 50 CONOP 133</w:t>
      </w:r>
    </w:p>
    <w:p w14:paraId="3B9594F5" w14:textId="77777777" w:rsidR="00643D86" w:rsidRDefault="00CA4626" w:rsidP="00643D86">
      <w:pPr>
        <w:rPr>
          <w:lang w:val="en-US"/>
        </w:rPr>
      </w:pPr>
      <w:r>
        <w:rPr>
          <w:lang w:val="en-US"/>
        </w:rPr>
        <w:t>16330/14 PESC 1265 CODUN 46 CONOP 126</w:t>
      </w:r>
    </w:p>
    <w:p w14:paraId="3B9594F6" w14:textId="77777777" w:rsidR="00643D86" w:rsidRDefault="00CA4626" w:rsidP="00643D86">
      <w:r>
        <w:rPr>
          <w:b/>
        </w:rPr>
        <w:t>Ansvarigt statsråd</w:t>
      </w:r>
      <w:r>
        <w:rPr>
          <w:b/>
        </w:rPr>
        <w:br/>
      </w:r>
      <w:r>
        <w:rPr>
          <w:noProof/>
        </w:rPr>
        <w:t>Margot Wallström</w:t>
      </w:r>
    </w:p>
    <w:p w14:paraId="3B9594FA" w14:textId="03072378" w:rsidR="00734F5B" w:rsidRDefault="00CA4626" w:rsidP="000E54C3">
      <w:r w:rsidRPr="00B44CE2">
        <w:rPr>
          <w:b/>
        </w:rPr>
        <w:t>Annotering</w:t>
      </w:r>
      <w:r>
        <w:rPr>
          <w:b/>
        </w:rPr>
        <w:br/>
      </w:r>
      <w:r>
        <w:rPr>
          <w:b/>
          <w:bCs/>
        </w:rPr>
        <w:t>Avsikt med behandlingen i rådet: </w:t>
      </w:r>
      <w:r>
        <w:t xml:space="preserve">Rådet förväntas godkänna utkast till rådsbeslut till stöd för </w:t>
      </w:r>
      <w:proofErr w:type="spellStart"/>
      <w:r>
        <w:t>OPCW:s</w:t>
      </w:r>
      <w:proofErr w:type="spellEnd"/>
      <w:r>
        <w:t xml:space="preserve"> aktiviteter i genomförandet av EU:s strategi mot spridning av massförstörelsevapen.</w:t>
      </w:r>
    </w:p>
    <w:p w14:paraId="3B9594FB" w14:textId="7FB3B474" w:rsidR="00734F5B" w:rsidRDefault="00CA4626">
      <w:pPr>
        <w:spacing w:after="280" w:afterAutospacing="1"/>
      </w:pPr>
      <w:r>
        <w:rPr>
          <w:b/>
          <w:bCs/>
        </w:rPr>
        <w:t>Hur regeringen ställer sig till den blivande A-punkten:</w:t>
      </w:r>
      <w:r>
        <w:t> Regeringen avser </w:t>
      </w:r>
      <w:r w:rsidR="0037156F">
        <w:t>rösta ja</w:t>
      </w:r>
      <w:r>
        <w:t>.</w:t>
      </w:r>
    </w:p>
    <w:p w14:paraId="3B9594FC" w14:textId="77777777" w:rsidR="00734F5B" w:rsidRDefault="00CA4626">
      <w:pPr>
        <w:spacing w:after="280" w:afterAutospacing="1"/>
      </w:pPr>
      <w:r>
        <w:rPr>
          <w:b/>
          <w:bCs/>
        </w:rPr>
        <w:t>Bakgrund:</w:t>
      </w:r>
      <w:r>
        <w:t xml:space="preserve"> EU har stött OPCW genom gemensamma åtgärder och rådsbeslut i ett antal år.  Utkastet till beslut godkändes av CODUN den 10 juli 2014.  SE har i förhandlingarna rekommenderat att brett fokus för det nya rådsbeslutet, med beaktande av slutdokumentet från 2013 års översynskonferens samt lärdomar från Syrienkrisen (STO/0011/14).  Av särskilt intresse är att EU nu går in och stödjer </w:t>
      </w:r>
      <w:proofErr w:type="spellStart"/>
      <w:r>
        <w:t>OPCW:s</w:t>
      </w:r>
      <w:proofErr w:type="spellEnd"/>
      <w:r>
        <w:t xml:space="preserve"> </w:t>
      </w:r>
      <w:proofErr w:type="spellStart"/>
      <w:r>
        <w:t>lessons</w:t>
      </w:r>
      <w:proofErr w:type="spellEnd"/>
      <w:r>
        <w:t xml:space="preserve"> </w:t>
      </w:r>
      <w:proofErr w:type="spellStart"/>
      <w:r>
        <w:t>learned</w:t>
      </w:r>
      <w:proofErr w:type="spellEnd"/>
      <w:r>
        <w:t xml:space="preserve">-process, samt att </w:t>
      </w:r>
      <w:proofErr w:type="spellStart"/>
      <w:r>
        <w:t>universialiseringsarbetet</w:t>
      </w:r>
      <w:proofErr w:type="spellEnd"/>
      <w:r>
        <w:t xml:space="preserve"> nu inriktas på </w:t>
      </w:r>
      <w:proofErr w:type="spellStart"/>
      <w:proofErr w:type="gramStart"/>
      <w:r>
        <w:t>NGO:er</w:t>
      </w:r>
      <w:proofErr w:type="spellEnd"/>
      <w:proofErr w:type="gramEnd"/>
      <w:r>
        <w:t xml:space="preserve"> och akademiker snarare än regeringar i de länder som ännu inte anslutit sig till C-vapenkonventionen.</w:t>
      </w:r>
    </w:p>
    <w:p w14:paraId="3B9594FD" w14:textId="77777777" w:rsidR="00FB32B9" w:rsidRDefault="00682484">
      <w:pPr>
        <w:spacing w:after="280" w:afterAutospacing="1"/>
        <w:rPr>
          <w:noProof/>
        </w:rPr>
      </w:pPr>
    </w:p>
    <w:p w14:paraId="3B9594FE" w14:textId="77777777" w:rsidR="00643D86" w:rsidRPr="00682484" w:rsidRDefault="00CA4626" w:rsidP="00643D86">
      <w:pPr>
        <w:pStyle w:val="Rubrik1"/>
        <w:rPr>
          <w:lang w:val="en-US"/>
        </w:rPr>
      </w:pPr>
      <w:bookmarkStart w:id="16" w:name="_Toc409080036"/>
      <w:r w:rsidRPr="00682484">
        <w:rPr>
          <w:noProof/>
          <w:lang w:val="en-US"/>
        </w:rPr>
        <w:t>Council Decision appointing the European Union Special Representative in Bosnia and Herzegovina</w:t>
      </w:r>
      <w:bookmarkEnd w:id="16"/>
    </w:p>
    <w:p w14:paraId="3B9594FF" w14:textId="77777777" w:rsidR="00643D86" w:rsidRDefault="00CA4626" w:rsidP="00643D86">
      <w:pPr>
        <w:rPr>
          <w:lang w:val="en-US"/>
        </w:rPr>
      </w:pPr>
      <w:r>
        <w:rPr>
          <w:noProof/>
          <w:lang w:val="en-US"/>
        </w:rPr>
        <w:t>16937</w:t>
      </w:r>
      <w:r>
        <w:rPr>
          <w:lang w:val="en-US"/>
        </w:rPr>
        <w:t>/14 PESC 1336 CSDP/PSDC 741 COWEB 137 CSC 27116780/14 PESC 1319 CSDP/PSDC 734 COWEB 133 CSC 267</w:t>
      </w:r>
      <w:r>
        <w:rPr>
          <w:lang w:val="en-US"/>
        </w:rPr>
        <w:br/>
      </w:r>
      <w:r>
        <w:rPr>
          <w:noProof/>
          <w:lang w:val="en-US"/>
        </w:rPr>
        <w:t>16937</w:t>
      </w:r>
      <w:r>
        <w:rPr>
          <w:lang w:val="en-US"/>
        </w:rPr>
        <w:t>/14 PESC 1336 CSDP/PSDC 741 COWEB 137 CSC 27116780/14 PESC 1319 CSDP/PSDC 734 COWEB 133 CSC 267</w:t>
      </w:r>
    </w:p>
    <w:p w14:paraId="3B959500" w14:textId="77777777" w:rsidR="00643D86" w:rsidRDefault="00CA4626" w:rsidP="00643D86">
      <w:r>
        <w:rPr>
          <w:b/>
        </w:rPr>
        <w:t>Ansvarigt statsråd</w:t>
      </w:r>
      <w:r>
        <w:rPr>
          <w:b/>
        </w:rPr>
        <w:br/>
      </w:r>
      <w:r>
        <w:rPr>
          <w:noProof/>
        </w:rPr>
        <w:t>Margot Wallström</w:t>
      </w:r>
    </w:p>
    <w:p w14:paraId="3B959504" w14:textId="62282409" w:rsidR="00734F5B" w:rsidRDefault="00CA4626" w:rsidP="000E54C3">
      <w:r w:rsidRPr="00B44CE2">
        <w:rPr>
          <w:b/>
        </w:rPr>
        <w:lastRenderedPageBreak/>
        <w:t>Annotering</w:t>
      </w:r>
      <w:r>
        <w:rPr>
          <w:b/>
        </w:rPr>
        <w:br/>
      </w:r>
      <w:r>
        <w:rPr>
          <w:b/>
          <w:bCs/>
        </w:rPr>
        <w:t>Avsikt med behandlingen i rådet</w:t>
      </w:r>
      <w:r>
        <w:t>: Rådet föreslås besluta om utnämning av EU:s särskilda representant för Bosnien och Hercegovina.</w:t>
      </w:r>
    </w:p>
    <w:p w14:paraId="3B959505" w14:textId="2CC271C0" w:rsidR="00734F5B" w:rsidRDefault="00CA4626">
      <w:pPr>
        <w:spacing w:after="280" w:afterAutospacing="1"/>
      </w:pPr>
      <w:r>
        <w:rPr>
          <w:b/>
          <w:bCs/>
        </w:rPr>
        <w:t xml:space="preserve">Hur regeringen ställer sig till den blivande A-punkten: </w:t>
      </w:r>
      <w:r>
        <w:t>Regeringen avser rösta ja.</w:t>
      </w:r>
    </w:p>
    <w:p w14:paraId="3B959506" w14:textId="77777777" w:rsidR="00734F5B" w:rsidRDefault="00CA4626">
      <w:pPr>
        <w:spacing w:after="280" w:afterAutospacing="1"/>
      </w:pPr>
      <w:r>
        <w:rPr>
          <w:b/>
          <w:bCs/>
        </w:rPr>
        <w:t>Bakgrund:</w:t>
      </w:r>
      <w:r>
        <w:t xml:space="preserve"> Den 18 juli 2011 beslutade rådet (2011/426/</w:t>
      </w:r>
      <w:proofErr w:type="spellStart"/>
      <w:r>
        <w:t>Gusp</w:t>
      </w:r>
      <w:proofErr w:type="spellEnd"/>
      <w:r>
        <w:t xml:space="preserve">) att utse Peter </w:t>
      </w:r>
      <w:proofErr w:type="spellStart"/>
      <w:r>
        <w:t>Sørensen</w:t>
      </w:r>
      <w:proofErr w:type="spellEnd"/>
      <w:r>
        <w:t xml:space="preserve"> till EU:s särskilde representant (EUSR) i Bosnien och Hercegovina. Nuvarande mandat löper ut den 30 juni 2015. Eftersom </w:t>
      </w:r>
      <w:proofErr w:type="spellStart"/>
      <w:r>
        <w:t>Sørensen</w:t>
      </w:r>
      <w:proofErr w:type="spellEnd"/>
      <w:r>
        <w:t xml:space="preserve"> lämnade posten den 31 oktober 2014 för ny tjänst, avser rådet besluta om att Lars-Gunnar </w:t>
      </w:r>
      <w:proofErr w:type="spellStart"/>
      <w:r>
        <w:t>Wigemark</w:t>
      </w:r>
      <w:proofErr w:type="spellEnd"/>
      <w:r>
        <w:t xml:space="preserve"> utses till ny EUSR från och med den 1 mars 2015 till och med den 30 juni 2015.</w:t>
      </w:r>
    </w:p>
    <w:p w14:paraId="3B959507" w14:textId="77777777" w:rsidR="00FB32B9" w:rsidRDefault="00682484">
      <w:pPr>
        <w:spacing w:after="280" w:afterAutospacing="1"/>
        <w:rPr>
          <w:noProof/>
        </w:rPr>
      </w:pPr>
    </w:p>
    <w:p w14:paraId="3B959508" w14:textId="77777777" w:rsidR="00643D86" w:rsidRPr="00682484" w:rsidRDefault="00CA4626" w:rsidP="00643D86">
      <w:pPr>
        <w:pStyle w:val="Rubrik1"/>
        <w:rPr>
          <w:lang w:val="en-US"/>
        </w:rPr>
      </w:pPr>
      <w:bookmarkStart w:id="17" w:name="_Toc409080037"/>
      <w:r w:rsidRPr="00682484">
        <w:rPr>
          <w:noProof/>
          <w:lang w:val="en-US"/>
        </w:rPr>
        <w:t>Council Decision in support of the Union Proposal for an international Code of Conduct for outer space activities as a contribution to transparency and confidence building measures in outer space activities</w:t>
      </w:r>
      <w:bookmarkEnd w:id="17"/>
    </w:p>
    <w:p w14:paraId="3B959509" w14:textId="77777777" w:rsidR="00643D86" w:rsidRDefault="00CA4626" w:rsidP="00643D86">
      <w:pPr>
        <w:rPr>
          <w:lang w:val="en-US"/>
        </w:rPr>
      </w:pPr>
      <w:r>
        <w:rPr>
          <w:noProof/>
          <w:lang w:val="en-US"/>
        </w:rPr>
        <w:t>17134</w:t>
      </w:r>
      <w:r>
        <w:rPr>
          <w:lang w:val="en-US"/>
        </w:rPr>
        <w:t>/14 CODUN 54 PESC 1352 ESPACE 9517005/14 CODUN 52 PESC 1341 ESPACE 94</w:t>
      </w:r>
      <w:r>
        <w:rPr>
          <w:lang w:val="en-US"/>
        </w:rPr>
        <w:br/>
      </w:r>
      <w:r>
        <w:rPr>
          <w:noProof/>
          <w:lang w:val="en-US"/>
        </w:rPr>
        <w:t>17134</w:t>
      </w:r>
      <w:r>
        <w:rPr>
          <w:lang w:val="en-US"/>
        </w:rPr>
        <w:t>/14 CODUN 54 PESC 1352 ESPACE 9517005/14 CODUN 52 PESC 1341 ESPACE 94</w:t>
      </w:r>
    </w:p>
    <w:p w14:paraId="3B95950A" w14:textId="77777777" w:rsidR="00643D86" w:rsidRDefault="00CA4626" w:rsidP="00643D86">
      <w:r>
        <w:rPr>
          <w:b/>
        </w:rPr>
        <w:t>Ansvarigt statsråd</w:t>
      </w:r>
      <w:r>
        <w:rPr>
          <w:b/>
        </w:rPr>
        <w:br/>
      </w:r>
      <w:r>
        <w:rPr>
          <w:noProof/>
        </w:rPr>
        <w:t>Margot Wallström</w:t>
      </w:r>
    </w:p>
    <w:p w14:paraId="3B95950E" w14:textId="44B9A1DD" w:rsidR="00734F5B" w:rsidRDefault="00CA4626" w:rsidP="000E54C3">
      <w:r w:rsidRPr="00B44CE2">
        <w:rPr>
          <w:b/>
        </w:rPr>
        <w:t>Annotering</w:t>
      </w:r>
      <w:r>
        <w:rPr>
          <w:b/>
        </w:rPr>
        <w:br/>
      </w:r>
      <w:r w:rsidRPr="000E54C3">
        <w:rPr>
          <w:b/>
        </w:rPr>
        <w:t>Avsikt med behandlingen i rådet:</w:t>
      </w:r>
      <w:r>
        <w:t xml:space="preserve"> Rådet föreslås fatta beslut om</w:t>
      </w:r>
      <w:r w:rsidR="00047588">
        <w:t xml:space="preserve"> stöd för den internationella Rymdkoden (International </w:t>
      </w:r>
      <w:proofErr w:type="spellStart"/>
      <w:r w:rsidR="00047588">
        <w:t>Code</w:t>
      </w:r>
      <w:proofErr w:type="spellEnd"/>
      <w:r w:rsidR="00047588">
        <w:t xml:space="preserve"> </w:t>
      </w:r>
      <w:proofErr w:type="spellStart"/>
      <w:r w:rsidR="00047588">
        <w:t>of</w:t>
      </w:r>
      <w:proofErr w:type="spellEnd"/>
      <w:r w:rsidR="00047588">
        <w:t xml:space="preserve"> </w:t>
      </w:r>
      <w:proofErr w:type="spellStart"/>
      <w:r w:rsidR="00047588">
        <w:t>Conduct</w:t>
      </w:r>
      <w:proofErr w:type="spellEnd"/>
      <w:r w:rsidR="00047588">
        <w:t>).</w:t>
      </w:r>
    </w:p>
    <w:p w14:paraId="3B95950F" w14:textId="077785CF" w:rsidR="00734F5B" w:rsidRDefault="00CA4626">
      <w:pPr>
        <w:spacing w:after="280" w:afterAutospacing="1"/>
      </w:pPr>
      <w:r w:rsidRPr="000E54C3">
        <w:rPr>
          <w:b/>
        </w:rPr>
        <w:t>Hur regeringen ställer sig till den blivande A-punkten:</w:t>
      </w:r>
      <w:r>
        <w:t xml:space="preserve"> Regeringen avser </w:t>
      </w:r>
      <w:r w:rsidR="00047588">
        <w:t xml:space="preserve">rösta ja. </w:t>
      </w:r>
    </w:p>
    <w:p w14:paraId="3B959510" w14:textId="77777777" w:rsidR="00734F5B" w:rsidRDefault="00CA4626">
      <w:pPr>
        <w:spacing w:after="280" w:afterAutospacing="1"/>
      </w:pPr>
      <w:r w:rsidRPr="000E54C3">
        <w:rPr>
          <w:b/>
        </w:rPr>
        <w:t>Bakgrund:</w:t>
      </w:r>
      <w:r>
        <w:t xml:space="preserve"> Projektet syftar till att stödja det fortsatta arbetet med att öka medvetandet om förtroendeskapande åtgärder (TCBM) i yttre rymden inkl. den föreslagna internationella Rymdkoden (International </w:t>
      </w:r>
      <w:proofErr w:type="spellStart"/>
      <w:r>
        <w:t>Code</w:t>
      </w:r>
      <w:proofErr w:type="spellEnd"/>
      <w:r>
        <w:t xml:space="preserve"> </w:t>
      </w:r>
      <w:proofErr w:type="spellStart"/>
      <w:r>
        <w:t>of</w:t>
      </w:r>
      <w:proofErr w:type="spellEnd"/>
      <w:r>
        <w:t xml:space="preserve"> </w:t>
      </w:r>
      <w:proofErr w:type="spellStart"/>
      <w:r>
        <w:t>Conduct</w:t>
      </w:r>
      <w:proofErr w:type="spellEnd"/>
      <w:r>
        <w:t xml:space="preserve">), liksom stöd för förhandlingar om Koden och dess formella antagande. Projektet genomförs i samverkan med United Nations Office for </w:t>
      </w:r>
      <w:proofErr w:type="spellStart"/>
      <w:r>
        <w:t>Disarmament</w:t>
      </w:r>
      <w:proofErr w:type="spellEnd"/>
      <w:r>
        <w:t xml:space="preserve"> </w:t>
      </w:r>
      <w:proofErr w:type="spellStart"/>
      <w:r>
        <w:t>Affairs</w:t>
      </w:r>
      <w:proofErr w:type="spellEnd"/>
      <w:r>
        <w:t xml:space="preserve"> (UNODA) och United Nations </w:t>
      </w:r>
      <w:proofErr w:type="spellStart"/>
      <w:r>
        <w:t>Institute</w:t>
      </w:r>
      <w:proofErr w:type="spellEnd"/>
      <w:r>
        <w:t xml:space="preserve"> for </w:t>
      </w:r>
      <w:proofErr w:type="spellStart"/>
      <w:r>
        <w:t>Disarmament</w:t>
      </w:r>
      <w:proofErr w:type="spellEnd"/>
      <w:r>
        <w:t xml:space="preserve"> Research (UNIDIR) som ges ansvar för den tekniska implementeringen av det planerade rådsbeslutet. UNIDIR har tidigare svarat för vissa liknande aktiviteter under rådsbeslut 2012/281/GUSP. </w:t>
      </w:r>
    </w:p>
    <w:p w14:paraId="3B959511" w14:textId="77777777" w:rsidR="00734F5B" w:rsidRDefault="00CA4626">
      <w:pPr>
        <w:spacing w:after="280" w:afterAutospacing="1"/>
      </w:pPr>
      <w:proofErr w:type="spellStart"/>
      <w:r>
        <w:t>Budgetary</w:t>
      </w:r>
      <w:proofErr w:type="spellEnd"/>
      <w:r>
        <w:t xml:space="preserve"> </w:t>
      </w:r>
      <w:proofErr w:type="spellStart"/>
      <w:r>
        <w:t>Impact</w:t>
      </w:r>
      <w:proofErr w:type="spellEnd"/>
      <w:r>
        <w:t xml:space="preserve"> Statment (BIS) redogör för finansiering av projektet inom ramen för ovan nämnda rådsbeslutsutkast. Den totala kostnaden beräknas till EUR 1 274 398,85 över en projekttid på 18 månader. Finansieringen ryms inom ramen för Budget </w:t>
      </w:r>
      <w:proofErr w:type="spellStart"/>
      <w:r>
        <w:t>article</w:t>
      </w:r>
      <w:proofErr w:type="spellEnd"/>
      <w:r>
        <w:t xml:space="preserve"> 19 03 02 Non-</w:t>
      </w:r>
      <w:proofErr w:type="spellStart"/>
      <w:r>
        <w:t>Proliferation</w:t>
      </w:r>
      <w:proofErr w:type="spellEnd"/>
      <w:r>
        <w:t xml:space="preserve"> and </w:t>
      </w:r>
      <w:proofErr w:type="spellStart"/>
      <w:r>
        <w:t>Disarmament</w:t>
      </w:r>
      <w:proofErr w:type="spellEnd"/>
      <w:r>
        <w:t xml:space="preserve">. </w:t>
      </w:r>
    </w:p>
    <w:p w14:paraId="3B959512" w14:textId="77777777" w:rsidR="00FB32B9" w:rsidRDefault="00682484">
      <w:pPr>
        <w:spacing w:after="280" w:afterAutospacing="1"/>
        <w:rPr>
          <w:noProof/>
        </w:rPr>
      </w:pPr>
    </w:p>
    <w:p w14:paraId="3B959513" w14:textId="77777777" w:rsidR="00643D86" w:rsidRPr="00682484" w:rsidRDefault="00CA4626" w:rsidP="00643D86">
      <w:pPr>
        <w:pStyle w:val="Rubrik1"/>
        <w:rPr>
          <w:lang w:val="en-US"/>
        </w:rPr>
      </w:pPr>
      <w:r>
        <w:rPr>
          <w:noProof/>
        </w:rPr>
        <w:lastRenderedPageBreak/>
        <w:t xml:space="preserve"> </w:t>
      </w:r>
      <w:bookmarkStart w:id="18" w:name="_Toc409080038"/>
      <w:r w:rsidRPr="00682484">
        <w:rPr>
          <w:noProof/>
          <w:lang w:val="en-US"/>
        </w:rPr>
        <w:t>Council Decision amending Decision 2010/656/CFSP renewing the restrictive measures against Côte d'Ivoire.</w:t>
      </w:r>
      <w:r w:rsidRPr="00682484">
        <w:rPr>
          <w:noProof/>
          <w:lang w:val="en-US"/>
        </w:rPr>
        <w:br/>
        <w:t>Council Regulation amending Regulation (EC) No 174/2005 imposing restrictions on the supply of assistance related to military activities to Côte d'Ivoire</w:t>
      </w:r>
      <w:bookmarkEnd w:id="18"/>
    </w:p>
    <w:p w14:paraId="3B959515" w14:textId="4DF3C7DF" w:rsidR="00643D86" w:rsidRDefault="00CA4626" w:rsidP="00643D86">
      <w:r w:rsidRPr="00682484">
        <w:rPr>
          <w:noProof/>
        </w:rPr>
        <w:t>16611</w:t>
      </w:r>
      <w:r w:rsidRPr="00682484">
        <w:t>/14 PESC 1298 RELEX 1037 COAFR 347 COARM 202 FIN 97716525/14 PESC 1284 COAFR 341 COARM 199 FIN 97116607/14 PESC 1296 RELEX 1034 COAFR 345 COARM 201 FIN 976</w:t>
      </w:r>
      <w:r w:rsidRPr="00682484">
        <w:br/>
      </w:r>
      <w:r>
        <w:rPr>
          <w:b/>
        </w:rPr>
        <w:t>Ansvarigt statsråd</w:t>
      </w:r>
      <w:r>
        <w:rPr>
          <w:b/>
        </w:rPr>
        <w:br/>
      </w:r>
      <w:r>
        <w:rPr>
          <w:noProof/>
        </w:rPr>
        <w:t>Margot Wallström</w:t>
      </w:r>
    </w:p>
    <w:p w14:paraId="3B959518" w14:textId="77777777" w:rsidR="00643D86" w:rsidRDefault="00CA4626" w:rsidP="00643D86">
      <w:r w:rsidRPr="00B44CE2">
        <w:rPr>
          <w:b/>
        </w:rPr>
        <w:t>Annotering</w:t>
      </w:r>
      <w:r>
        <w:rPr>
          <w:b/>
        </w:rPr>
        <w:br/>
      </w:r>
      <w:r>
        <w:rPr>
          <w:b/>
          <w:bCs/>
        </w:rPr>
        <w:t xml:space="preserve">Avsikt med behandlingen i rådet: </w:t>
      </w:r>
      <w:r>
        <w:t xml:space="preserve">Godkänna ändring av rådsbeslut 2010/656 GUSP.  </w:t>
      </w:r>
    </w:p>
    <w:p w14:paraId="3B959519" w14:textId="77777777" w:rsidR="00734F5B" w:rsidRDefault="00CA4626">
      <w:pPr>
        <w:spacing w:after="280" w:afterAutospacing="1"/>
      </w:pPr>
      <w:r>
        <w:rPr>
          <w:b/>
          <w:bCs/>
        </w:rPr>
        <w:t>Hur regeringen ställer sig till den blivande A-punkten:</w:t>
      </w:r>
      <w:r>
        <w:t xml:space="preserve"> Regeringen förväntas besluta om att införa ett undantag i de restriktiva åtgärderna mot Elfenbenskusten. </w:t>
      </w:r>
    </w:p>
    <w:p w14:paraId="3B95951A" w14:textId="6A2B27CC" w:rsidR="00734F5B" w:rsidRDefault="00CA4626">
      <w:pPr>
        <w:spacing w:after="280" w:afterAutospacing="1"/>
      </w:pPr>
      <w:r>
        <w:rPr>
          <w:b/>
          <w:bCs/>
        </w:rPr>
        <w:t xml:space="preserve">Bakgrund: </w:t>
      </w:r>
      <w:r>
        <w:t>Ändring av rådsbeslut 2010/656 GUSP och de nya rättsakterna handlar om en mildring av sanktionerna under fortsatt löpande sanktionsregim mot Elfenbenskusten. Syftet med en mildring är att genom en tillståndsmekanism låta sprängämnen, som finns med i EU:s lista över utrustning för inre förtryck, kunna exporteras från EU-länder till gruvnäringen i Elfenbenskusten under kontrollerade former.</w:t>
      </w:r>
    </w:p>
    <w:p w14:paraId="3B95951B" w14:textId="77777777" w:rsidR="00FB32B9" w:rsidRDefault="00682484">
      <w:pPr>
        <w:spacing w:after="280" w:afterAutospacing="1"/>
        <w:rPr>
          <w:noProof/>
        </w:rPr>
      </w:pPr>
    </w:p>
    <w:p w14:paraId="3B95951C" w14:textId="77777777" w:rsidR="00643D86" w:rsidRPr="00682484" w:rsidRDefault="00CA4626" w:rsidP="00643D86">
      <w:pPr>
        <w:pStyle w:val="Rubrik1"/>
        <w:rPr>
          <w:lang w:val="en-US"/>
        </w:rPr>
      </w:pPr>
      <w:bookmarkStart w:id="19" w:name="_Toc409080039"/>
      <w:r w:rsidRPr="00682484">
        <w:rPr>
          <w:noProof/>
          <w:lang w:val="en-US"/>
        </w:rPr>
        <w:t>Council Decision on the conclusion, on behalf of the European Union and its Member States, of a Protocol amending the Common Aviation Area Agreement between the European Union and its Member States, of the one part, and Georgia, of the other part, to take account of the accession to the European Union of the Republic of Croatia</w:t>
      </w:r>
      <w:bookmarkEnd w:id="19"/>
    </w:p>
    <w:p w14:paraId="3B95951D" w14:textId="77777777" w:rsidR="00643D86" w:rsidRDefault="00CA4626" w:rsidP="00643D86">
      <w:pPr>
        <w:rPr>
          <w:lang w:val="en-US"/>
        </w:rPr>
      </w:pPr>
      <w:r>
        <w:rPr>
          <w:noProof/>
          <w:lang w:val="en-US"/>
        </w:rPr>
        <w:t>=</w:t>
      </w:r>
      <w:r>
        <w:rPr>
          <w:lang w:val="en-US"/>
        </w:rPr>
        <w:t>Request by the Council for the consent of the European Parliament9990/14 AVIATION 117 COEST 461 NIS 25 RELEX 105312227/14 AVIATION 151 COEST 278 NIS 42 RELEX 643+ COR 1 (</w:t>
      </w:r>
      <w:proofErr w:type="spellStart"/>
      <w:r>
        <w:rPr>
          <w:lang w:val="en-US"/>
        </w:rPr>
        <w:t>cs</w:t>
      </w:r>
      <w:proofErr w:type="spellEnd"/>
      <w:proofErr w:type="gramStart"/>
      <w:r>
        <w:rPr>
          <w:lang w:val="en-US"/>
        </w:rPr>
        <w:t>)</w:t>
      </w:r>
      <w:proofErr w:type="gramEnd"/>
      <w:r>
        <w:rPr>
          <w:lang w:val="en-US"/>
        </w:rPr>
        <w:br/>
      </w:r>
      <w:r>
        <w:rPr>
          <w:noProof/>
          <w:lang w:val="en-US"/>
        </w:rPr>
        <w:t>9990</w:t>
      </w:r>
      <w:r>
        <w:rPr>
          <w:lang w:val="en-US"/>
        </w:rPr>
        <w:t>/14 AVIATION 117 COEST 461 NIS 25 RELEX 105312227/14 AVIATION 151 COEST 278 NIS 42 RELEX 643+ COR 1 (</w:t>
      </w:r>
      <w:proofErr w:type="spellStart"/>
      <w:r>
        <w:rPr>
          <w:lang w:val="en-US"/>
        </w:rPr>
        <w:t>cs</w:t>
      </w:r>
      <w:proofErr w:type="spellEnd"/>
      <w:r>
        <w:rPr>
          <w:lang w:val="en-US"/>
        </w:rPr>
        <w:t>)</w:t>
      </w:r>
    </w:p>
    <w:p w14:paraId="3B95951E" w14:textId="77777777" w:rsidR="00643D86" w:rsidRDefault="00CA4626" w:rsidP="00643D86">
      <w:r>
        <w:rPr>
          <w:b/>
        </w:rPr>
        <w:t>Ansvarigt statsråd</w:t>
      </w:r>
      <w:r>
        <w:rPr>
          <w:b/>
        </w:rPr>
        <w:br/>
      </w:r>
      <w:r>
        <w:rPr>
          <w:noProof/>
        </w:rPr>
        <w:t>Anna Johansson</w:t>
      </w:r>
    </w:p>
    <w:p w14:paraId="3B959520" w14:textId="77777777" w:rsidR="00643D86" w:rsidRPr="00643D86" w:rsidRDefault="00CA4626" w:rsidP="00643D86">
      <w:r w:rsidRPr="00643D86">
        <w:rPr>
          <w:b/>
        </w:rPr>
        <w:t>Tidigare behandling vid rådsmöte</w:t>
      </w:r>
      <w:r>
        <w:rPr>
          <w:b/>
        </w:rPr>
        <w:br/>
      </w:r>
      <w:r>
        <w:rPr>
          <w:noProof/>
        </w:rPr>
        <w:t>2014-10-07</w:t>
      </w:r>
    </w:p>
    <w:p w14:paraId="3B959521" w14:textId="77777777" w:rsidR="00643D86" w:rsidRDefault="00CA4626" w:rsidP="00643D86">
      <w:r w:rsidRPr="00B44CE2">
        <w:rPr>
          <w:b/>
        </w:rPr>
        <w:t>Annotering</w:t>
      </w:r>
      <w:r>
        <w:rPr>
          <w:b/>
        </w:rPr>
        <w:br/>
      </w:r>
      <w:r>
        <w:rPr>
          <w:b/>
          <w:bCs/>
        </w:rPr>
        <w:t>Avsikt med behandlingen i rådet:</w:t>
      </w:r>
      <w:r>
        <w:t xml:space="preserve"> Antagande av förslaget till beslut om att inhämta Europaparlamentets godkännande av beslutet om ingående av avtalet </w:t>
      </w:r>
    </w:p>
    <w:p w14:paraId="3B959522" w14:textId="77777777" w:rsidR="00734F5B" w:rsidRDefault="00CA4626">
      <w:pPr>
        <w:spacing w:after="280" w:afterAutospacing="1"/>
      </w:pPr>
      <w:r>
        <w:rPr>
          <w:b/>
          <w:bCs/>
        </w:rPr>
        <w:t>Hur regeringen ställer sig till den blivande A-punkten:</w:t>
      </w:r>
      <w:r>
        <w:t xml:space="preserve"> Regeringen avser rösta ja till att rådet inhämtar Europaparlamentets godkännande. </w:t>
      </w:r>
    </w:p>
    <w:p w14:paraId="3B959523" w14:textId="77777777" w:rsidR="00734F5B" w:rsidRDefault="00CA4626">
      <w:pPr>
        <w:spacing w:after="280" w:afterAutospacing="1"/>
      </w:pPr>
      <w:r>
        <w:rPr>
          <w:b/>
          <w:bCs/>
        </w:rPr>
        <w:t xml:space="preserve">Bakgrund: </w:t>
      </w:r>
      <w:r>
        <w:t xml:space="preserve">Luftfartsavtalet med Georgien är resultatet av det mandat rådet gav kommissionen i juni 2009. Avtalet undertecknades den 2 december 2010. För att ta hänsyn till Kroatiens </w:t>
      </w:r>
      <w:r>
        <w:lastRenderedPageBreak/>
        <w:t xml:space="preserve">anslutning till EU den 1 juli 2013, </w:t>
      </w:r>
      <w:proofErr w:type="spellStart"/>
      <w:r>
        <w:t>förela</w:t>
      </w:r>
      <w:proofErr w:type="spellEnd"/>
      <w:r>
        <w:t xml:space="preserve"> kommissionen rådet ovannämnda förslag till beslut den 13 maj 2014. Rådet fattade därefter beslut om undertecknande av protokollet om ändring av avtalet med Georgien den 8 oktober 2014. </w:t>
      </w:r>
    </w:p>
    <w:p w14:paraId="3B959524" w14:textId="77777777" w:rsidR="00734F5B" w:rsidRDefault="00CA4626">
      <w:pPr>
        <w:spacing w:after="280" w:afterAutospacing="1"/>
      </w:pPr>
      <w:r>
        <w:t>Rådets beslut nu innebär att beslutet om ingående översänds till Europaparlamentet för godkännande.</w:t>
      </w:r>
    </w:p>
    <w:p w14:paraId="3B959525" w14:textId="77777777" w:rsidR="00FB32B9" w:rsidRDefault="00682484">
      <w:pPr>
        <w:spacing w:after="280" w:afterAutospacing="1"/>
        <w:rPr>
          <w:noProof/>
        </w:rPr>
      </w:pPr>
    </w:p>
    <w:p w14:paraId="3B959526" w14:textId="77777777" w:rsidR="00643D86" w:rsidRDefault="00CA4626" w:rsidP="00643D86">
      <w:pPr>
        <w:pStyle w:val="Rubrik1"/>
      </w:pPr>
      <w:bookmarkStart w:id="20" w:name="_Toc409080040"/>
      <w:r>
        <w:rPr>
          <w:noProof/>
        </w:rPr>
        <w:t>Commission Regulation (EU) No …/.. of XXX amending Regulation (EC) No 1831/2003 of the European Parliament and of the Council as regards requirements for the placing on the market and conditions of use of additives consisting of preparations (Text with EEA relevance)</w:t>
      </w:r>
      <w:bookmarkEnd w:id="20"/>
    </w:p>
    <w:p w14:paraId="3B959527" w14:textId="77777777" w:rsidR="00643D86" w:rsidRDefault="00CA4626" w:rsidP="00643D86">
      <w:pPr>
        <w:rPr>
          <w:lang w:val="en-US"/>
        </w:rPr>
      </w:pPr>
      <w:r>
        <w:rPr>
          <w:noProof/>
          <w:lang w:val="en-US"/>
        </w:rPr>
        <w:t>=</w:t>
      </w:r>
      <w:r>
        <w:rPr>
          <w:lang w:val="en-US"/>
        </w:rPr>
        <w:t>Decision not to oppose adoption 17136/14 AGRILEG 27216243/14 AGRILEG 239+ ADD 1</w:t>
      </w:r>
      <w:r>
        <w:rPr>
          <w:lang w:val="en-US"/>
        </w:rPr>
        <w:br/>
      </w:r>
      <w:r>
        <w:rPr>
          <w:noProof/>
          <w:lang w:val="en-US"/>
        </w:rPr>
        <w:t>17136</w:t>
      </w:r>
      <w:r>
        <w:rPr>
          <w:lang w:val="en-US"/>
        </w:rPr>
        <w:t>/14 AGRILEG 27216243/14 AGRILEG 239+ ADD 1</w:t>
      </w:r>
    </w:p>
    <w:p w14:paraId="3B959528" w14:textId="77777777" w:rsidR="00643D86" w:rsidRDefault="00CA4626" w:rsidP="00643D86">
      <w:r>
        <w:rPr>
          <w:b/>
        </w:rPr>
        <w:t>Ansvarigt statsråd</w:t>
      </w:r>
      <w:r>
        <w:rPr>
          <w:b/>
        </w:rPr>
        <w:br/>
      </w:r>
      <w:r>
        <w:rPr>
          <w:noProof/>
        </w:rPr>
        <w:t>Sven-Erik Bucht</w:t>
      </w:r>
    </w:p>
    <w:p w14:paraId="3B95952C" w14:textId="091DDBCA" w:rsidR="00734F5B" w:rsidRDefault="00CA4626" w:rsidP="000E54C3">
      <w:r w:rsidRPr="00B44CE2">
        <w:rPr>
          <w:b/>
        </w:rPr>
        <w:t>Annotering</w:t>
      </w:r>
      <w:r>
        <w:rPr>
          <w:b/>
        </w:rPr>
        <w:br/>
      </w:r>
      <w:r w:rsidRPr="000E54C3">
        <w:rPr>
          <w:b/>
        </w:rPr>
        <w:t>Avsikt med behandlingen i rådet:</w:t>
      </w:r>
      <w:r>
        <w:t xml:space="preserve"> Rådet föreslås att stödja beslutet att inte motsätta sig ett antagande av rättsakten. </w:t>
      </w:r>
    </w:p>
    <w:p w14:paraId="3B95952D" w14:textId="77777777" w:rsidR="00734F5B" w:rsidRDefault="00CA4626">
      <w:pPr>
        <w:spacing w:after="280" w:afterAutospacing="1"/>
      </w:pPr>
      <w:r w:rsidRPr="000E54C3">
        <w:rPr>
          <w:b/>
        </w:rPr>
        <w:t>Hur regeringen ställer sig till den blivande A-punkten:</w:t>
      </w:r>
      <w:r>
        <w:t xml:space="preserve"> Regeringen stödjer beslutet att inte motsätta sig ett antagande av rättsakten. </w:t>
      </w:r>
    </w:p>
    <w:p w14:paraId="3B95952E" w14:textId="77777777" w:rsidR="00734F5B" w:rsidRDefault="00CA4626">
      <w:pPr>
        <w:spacing w:after="280" w:afterAutospacing="1"/>
      </w:pPr>
      <w:r w:rsidRPr="000E54C3">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3B95952F" w14:textId="77777777" w:rsidR="00FB32B9" w:rsidRDefault="00682484">
      <w:pPr>
        <w:spacing w:after="280" w:afterAutospacing="1"/>
        <w:rPr>
          <w:noProof/>
        </w:rPr>
      </w:pPr>
    </w:p>
    <w:p w14:paraId="3B959530" w14:textId="77777777" w:rsidR="00643D86" w:rsidRDefault="00CA4626" w:rsidP="00643D86">
      <w:pPr>
        <w:pStyle w:val="Rubrik1"/>
      </w:pPr>
      <w:bookmarkStart w:id="21" w:name="_Toc409080041"/>
      <w:r>
        <w:rPr>
          <w:noProof/>
        </w:rPr>
        <w:t>Commission Regulation (EU) No …/.. of XXX amending Annexes II, III and V to Regulation (EC) No 396/2005 of the European Parliament and of the Council as regards maximum residue levels for bone oil, carbon monoxide, cyprodinil, dodemorph, iprodione, metaldehyde, metazachlor, paraffin oil (CAS 64742-54-7), petroleum oils (CAS 92062-35-6) and propargite in or on certain products (text with EEA relevance)</w:t>
      </w:r>
      <w:bookmarkEnd w:id="21"/>
      <w:r>
        <w:rPr>
          <w:noProof/>
        </w:rPr>
        <w:t xml:space="preserve"> </w:t>
      </w:r>
    </w:p>
    <w:p w14:paraId="58905400" w14:textId="77777777" w:rsidR="00CA4626" w:rsidRDefault="00CA4626" w:rsidP="00643D86">
      <w:pPr>
        <w:rPr>
          <w:lang w:val="en-US"/>
        </w:rPr>
      </w:pPr>
      <w:r>
        <w:rPr>
          <w:noProof/>
          <w:lang w:val="en-US"/>
        </w:rPr>
        <w:t>=</w:t>
      </w:r>
      <w:r>
        <w:rPr>
          <w:lang w:val="en-US"/>
        </w:rPr>
        <w:t>Decision not to oppose adoption</w:t>
      </w:r>
    </w:p>
    <w:p w14:paraId="3B959531" w14:textId="33F35A2B" w:rsidR="00643D86" w:rsidRDefault="00CA4626" w:rsidP="00643D86">
      <w:pPr>
        <w:rPr>
          <w:lang w:val="en-US"/>
        </w:rPr>
      </w:pPr>
      <w:r>
        <w:rPr>
          <w:lang w:val="en-US"/>
        </w:rPr>
        <w:t>17150/14 AGRILEG 27316594/14 AGRILEG 254+ ADD 1+ ADD 2</w:t>
      </w:r>
      <w:r>
        <w:rPr>
          <w:lang w:val="en-US"/>
        </w:rPr>
        <w:br/>
      </w:r>
      <w:r>
        <w:rPr>
          <w:noProof/>
          <w:lang w:val="en-US"/>
        </w:rPr>
        <w:t>17150</w:t>
      </w:r>
      <w:r>
        <w:rPr>
          <w:lang w:val="en-US"/>
        </w:rPr>
        <w:t>/14 AGRILEG 27316594/14 AGRILEG 254+ ADD 1+ ADD 2</w:t>
      </w:r>
    </w:p>
    <w:p w14:paraId="3B959532" w14:textId="77777777" w:rsidR="00643D86" w:rsidRDefault="00CA4626" w:rsidP="00643D86">
      <w:r>
        <w:rPr>
          <w:b/>
        </w:rPr>
        <w:lastRenderedPageBreak/>
        <w:t>Ansvarigt statsråd</w:t>
      </w:r>
      <w:r>
        <w:rPr>
          <w:b/>
        </w:rPr>
        <w:br/>
      </w:r>
      <w:r>
        <w:rPr>
          <w:noProof/>
        </w:rPr>
        <w:t>Sven-Erik Bucht</w:t>
      </w:r>
    </w:p>
    <w:p w14:paraId="223E7244" w14:textId="77777777" w:rsidR="000E54C3" w:rsidRDefault="00CA4626" w:rsidP="00643D86">
      <w:r w:rsidRPr="00B44CE2">
        <w:rPr>
          <w:b/>
        </w:rPr>
        <w:t>Annotering</w:t>
      </w:r>
      <w:r>
        <w:rPr>
          <w:b/>
        </w:rPr>
        <w:br/>
      </w:r>
      <w:r w:rsidRPr="000E54C3">
        <w:rPr>
          <w:b/>
        </w:rPr>
        <w:t>Avsikt med behandlingen i rådet:</w:t>
      </w:r>
      <w:r>
        <w:t xml:space="preserve"> Rådet föreslås att stödja beslutet att inte motsätta sig ett antagande av rättsakten. </w:t>
      </w:r>
    </w:p>
    <w:p w14:paraId="78BB548F" w14:textId="314B77FB" w:rsidR="000E54C3" w:rsidRDefault="00CA4626" w:rsidP="00643D86">
      <w:r w:rsidRPr="000E54C3">
        <w:rPr>
          <w:b/>
        </w:rPr>
        <w:t>Hur regeringen ställer sig till den blivande A-punkten:</w:t>
      </w:r>
      <w:r>
        <w:t xml:space="preserve"> Regeringen stödjer beslutet att inte motsätta sig ett antagande av rättsakten. </w:t>
      </w:r>
    </w:p>
    <w:p w14:paraId="3B959535" w14:textId="6451476F" w:rsidR="00643D86" w:rsidRDefault="00CA4626" w:rsidP="00643D86">
      <w:r w:rsidRPr="000E54C3">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3B959536" w14:textId="77777777" w:rsidR="00643D86" w:rsidRDefault="00CA4626" w:rsidP="00643D86">
      <w:pPr>
        <w:pStyle w:val="Rubrik1"/>
      </w:pPr>
      <w:bookmarkStart w:id="22" w:name="_Toc409080042"/>
      <w:r>
        <w:rPr>
          <w:noProof/>
        </w:rPr>
        <w:t>Commission Regulation (EU) No …/.. of XXX amending Annexes II, III and V to Regulation (EC) No 396/2005 of the European Parliament and of the Council as regards maximum residue levels for 1,4-dimethylnaphthalene, benfuracarb, carbofuran, carbosulfan, ethephon, fenamidone, fenvalerate, fenhexamid, furathiocarb, imazapyr, malathion, picoxystrobin, spirotetramat, tepraloxydim and trifloxystrobin in or on certain products (text with EEA relevance)</w:t>
      </w:r>
      <w:bookmarkEnd w:id="22"/>
    </w:p>
    <w:p w14:paraId="3B959537" w14:textId="77777777" w:rsidR="00643D86" w:rsidRDefault="00CA4626" w:rsidP="00643D86">
      <w:pPr>
        <w:rPr>
          <w:lang w:val="en-US"/>
        </w:rPr>
      </w:pPr>
      <w:r>
        <w:rPr>
          <w:noProof/>
          <w:lang w:val="en-US"/>
        </w:rPr>
        <w:t>=</w:t>
      </w:r>
      <w:r>
        <w:rPr>
          <w:lang w:val="en-US"/>
        </w:rPr>
        <w:t>Decision not to oppose adoption 17151/14 AGRILEG 27416595/14 AGRILEG 255+ ADD 1+ ADD 1 REV 1 (</w:t>
      </w:r>
      <w:proofErr w:type="spellStart"/>
      <w:r>
        <w:rPr>
          <w:lang w:val="en-US"/>
        </w:rPr>
        <w:t>pt</w:t>
      </w:r>
      <w:proofErr w:type="spellEnd"/>
      <w:r>
        <w:rPr>
          <w:lang w:val="en-US"/>
        </w:rPr>
        <w:t>)+ ADD 2</w:t>
      </w:r>
      <w:r>
        <w:rPr>
          <w:lang w:val="en-US"/>
        </w:rPr>
        <w:br/>
      </w:r>
      <w:r>
        <w:rPr>
          <w:noProof/>
          <w:lang w:val="en-US"/>
        </w:rPr>
        <w:t>17151</w:t>
      </w:r>
      <w:r>
        <w:rPr>
          <w:lang w:val="en-US"/>
        </w:rPr>
        <w:t>/14 AGRILEG 27416595/14 AGRILEG 255+ ADD 1+ ADD 1 REV 1 (</w:t>
      </w:r>
      <w:proofErr w:type="spellStart"/>
      <w:r>
        <w:rPr>
          <w:lang w:val="en-US"/>
        </w:rPr>
        <w:t>pt</w:t>
      </w:r>
      <w:proofErr w:type="spellEnd"/>
      <w:r>
        <w:rPr>
          <w:lang w:val="en-US"/>
        </w:rPr>
        <w:t>)+ ADD 2</w:t>
      </w:r>
    </w:p>
    <w:p w14:paraId="3B959538" w14:textId="77777777" w:rsidR="00643D86" w:rsidRDefault="00CA4626" w:rsidP="00643D86">
      <w:r>
        <w:rPr>
          <w:b/>
        </w:rPr>
        <w:t>Ansvarigt statsråd</w:t>
      </w:r>
      <w:r>
        <w:rPr>
          <w:b/>
        </w:rPr>
        <w:br/>
      </w:r>
      <w:r>
        <w:rPr>
          <w:noProof/>
        </w:rPr>
        <w:t>Sven-Erik Bucht</w:t>
      </w:r>
    </w:p>
    <w:p w14:paraId="3EF5B83F" w14:textId="77777777" w:rsidR="000E54C3" w:rsidRDefault="00CA4626" w:rsidP="00643D86">
      <w:r w:rsidRPr="00B44CE2">
        <w:rPr>
          <w:b/>
        </w:rPr>
        <w:t>Annotering</w:t>
      </w:r>
      <w:r>
        <w:rPr>
          <w:b/>
        </w:rPr>
        <w:br/>
      </w:r>
      <w:r w:rsidRPr="000E54C3">
        <w:rPr>
          <w:b/>
        </w:rPr>
        <w:t>Avsikt med behandlingen i rådet:</w:t>
      </w:r>
      <w:r>
        <w:t xml:space="preserve"> Rådet föreslås att stödja beslutet att inte motsätta sig ett antagande av rättsakten. </w:t>
      </w:r>
    </w:p>
    <w:p w14:paraId="1E5125C5" w14:textId="57B919DF" w:rsidR="000E54C3" w:rsidRDefault="00CA4626" w:rsidP="00643D86">
      <w:r w:rsidRPr="000E54C3">
        <w:rPr>
          <w:b/>
        </w:rPr>
        <w:t>Hur regeringen ställer sig till den blivande A-punkten:</w:t>
      </w:r>
      <w:r>
        <w:t xml:space="preserve"> Regeringen stödjer beslutet att inte motsätta sig ett antagande av rättsakten. </w:t>
      </w:r>
    </w:p>
    <w:p w14:paraId="3B95953B" w14:textId="24BC7D12" w:rsidR="00643D86" w:rsidRDefault="00CA4626" w:rsidP="00643D86">
      <w:r w:rsidRPr="000E54C3">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4E9271C9" w14:textId="77777777" w:rsidR="000E54C3" w:rsidRDefault="000E54C3" w:rsidP="00643D86"/>
    <w:p w14:paraId="3B95953C" w14:textId="77777777" w:rsidR="00643D86" w:rsidRPr="00682484" w:rsidRDefault="00CA4626" w:rsidP="00643D86">
      <w:pPr>
        <w:pStyle w:val="Rubrik1"/>
        <w:rPr>
          <w:lang w:val="en-US"/>
        </w:rPr>
      </w:pPr>
      <w:bookmarkStart w:id="23" w:name="_Toc409080043"/>
      <w:r w:rsidRPr="00682484">
        <w:rPr>
          <w:noProof/>
          <w:lang w:val="en-US"/>
        </w:rPr>
        <w:lastRenderedPageBreak/>
        <w:t>Appeal against judgment of the EU General Court in Case T-400/10 (Hamas v. Council)</w:t>
      </w:r>
      <w:bookmarkEnd w:id="23"/>
    </w:p>
    <w:p w14:paraId="3B95953D" w14:textId="77777777" w:rsidR="00643D86" w:rsidRPr="00682484" w:rsidRDefault="00CA4626" w:rsidP="00643D86">
      <w:r w:rsidRPr="00682484">
        <w:br/>
      </w:r>
      <w:r w:rsidRPr="00682484">
        <w:rPr>
          <w:noProof/>
        </w:rPr>
        <w:t>5188</w:t>
      </w:r>
      <w:r w:rsidRPr="00682484">
        <w:t>/15 JUR 15 RELEX 17 PESC 23 COTER 1</w:t>
      </w:r>
    </w:p>
    <w:p w14:paraId="3B95953E" w14:textId="77777777" w:rsidR="00643D86" w:rsidRDefault="00CA4626" w:rsidP="00643D86">
      <w:r>
        <w:rPr>
          <w:b/>
        </w:rPr>
        <w:t>Ansvarigt statsråd</w:t>
      </w:r>
      <w:r>
        <w:rPr>
          <w:b/>
        </w:rPr>
        <w:br/>
      </w:r>
      <w:r>
        <w:rPr>
          <w:noProof/>
        </w:rPr>
        <w:t>Margot Wallström</w:t>
      </w:r>
    </w:p>
    <w:p w14:paraId="3B959542" w14:textId="43C653AB" w:rsidR="00734F5B" w:rsidRDefault="00CA4626" w:rsidP="000E54C3">
      <w:r w:rsidRPr="00B44CE2">
        <w:rPr>
          <w:b/>
        </w:rPr>
        <w:t>Annotering</w:t>
      </w:r>
      <w:r>
        <w:rPr>
          <w:b/>
        </w:rPr>
        <w:br/>
      </w:r>
      <w:r>
        <w:rPr>
          <w:b/>
          <w:bCs/>
        </w:rPr>
        <w:t>Avsikt med behandlingen i rådet:</w:t>
      </w:r>
      <w:r w:rsidR="000E54C3">
        <w:rPr>
          <w:b/>
          <w:bCs/>
        </w:rPr>
        <w:t xml:space="preserve"> </w:t>
      </w:r>
      <w:r>
        <w:t xml:space="preserve">Rådet föreslås besluta om att överklaga delar domen T-400/10, i vilka EU:s tribunal annullerade Hamas listning enligt EU:s terrorismsanktioner. </w:t>
      </w:r>
    </w:p>
    <w:p w14:paraId="3B959543" w14:textId="280B69D3" w:rsidR="00734F5B" w:rsidRDefault="00CA4626">
      <w:pPr>
        <w:spacing w:after="280" w:afterAutospacing="1"/>
      </w:pPr>
      <w:r>
        <w:rPr>
          <w:b/>
          <w:bCs/>
        </w:rPr>
        <w:t>Hur regeringen ställer sig till den blivande a-punkten</w:t>
      </w:r>
      <w:r w:rsidR="000E54C3">
        <w:rPr>
          <w:b/>
          <w:bCs/>
        </w:rPr>
        <w:t xml:space="preserve">: </w:t>
      </w:r>
      <w:r>
        <w:t>Regeringen avser att rösta ja till beslutet att rådet ska överklaga delar av målet T-400/10.</w:t>
      </w:r>
    </w:p>
    <w:p w14:paraId="3B959544" w14:textId="290DD2C0" w:rsidR="00734F5B" w:rsidRDefault="00CA4626">
      <w:pPr>
        <w:spacing w:after="280" w:afterAutospacing="1"/>
      </w:pPr>
      <w:r>
        <w:rPr>
          <w:b/>
          <w:bCs/>
        </w:rPr>
        <w:t>Bakgrund</w:t>
      </w:r>
      <w:r w:rsidR="000E54C3">
        <w:rPr>
          <w:b/>
          <w:bCs/>
        </w:rPr>
        <w:t xml:space="preserve">: </w:t>
      </w:r>
      <w:r>
        <w:t>Hamas är listade enligt EU:s terroristsanktioner i den gemensamma ståndpunkten 2001/931. Sanktionerna</w:t>
      </w:r>
      <w:r w:rsidR="00837474">
        <w:t xml:space="preserve"> innebär en skyldighet att frys</w:t>
      </w:r>
      <w:r>
        <w:t xml:space="preserve">a Hamas tillgångar i EU:s medlemsstater och ett tillgängliggörandeförbud. Listningen grundade sig på beslut av brittiska myndigheter respektive amerikanska myndigheters beslut att lägga till Hamas på nationella förteckningar över terroristklassade organisationer. </w:t>
      </w:r>
    </w:p>
    <w:p w14:paraId="3B959545" w14:textId="77777777" w:rsidR="00734F5B" w:rsidRDefault="00CA4626">
      <w:pPr>
        <w:spacing w:after="280" w:afterAutospacing="1"/>
      </w:pPr>
      <w:r>
        <w:t>EU:s tribunal har den 17 december 2014 i en dom annullerat EU:s listning av Hamas, med motiveringen att rådet har brustit i sin motiveringsskyldighet, genom att självmant vid sina översyner ha samlat in fakta om Hamas till grund för listningen, som inte återspeglades i de myndighetsbeslut från Storbritannien och USA som listningen grundar sig på.</w:t>
      </w:r>
    </w:p>
    <w:p w14:paraId="3B959546" w14:textId="77777777" w:rsidR="00734F5B" w:rsidRDefault="00CA4626">
      <w:pPr>
        <w:spacing w:after="280" w:afterAutospacing="1"/>
      </w:pPr>
      <w:r>
        <w:t xml:space="preserve">Rådet föreslås nu överklaga delar av domen som rör hanteringen av översynerna. </w:t>
      </w:r>
    </w:p>
    <w:p w14:paraId="3B959547" w14:textId="77777777" w:rsidR="00FB32B9" w:rsidRDefault="00682484">
      <w:pPr>
        <w:spacing w:after="280" w:afterAutospacing="1"/>
        <w:rPr>
          <w:noProof/>
        </w:rPr>
      </w:pPr>
    </w:p>
    <w:bookmarkEnd w:id="1"/>
    <w:p w14:paraId="3B959548" w14:textId="77777777" w:rsidR="00643D86" w:rsidRPr="00682484" w:rsidRDefault="00682484" w:rsidP="00643D86">
      <w:pPr>
        <w:ind w:left="0"/>
      </w:pPr>
    </w:p>
    <w:sectPr w:rsidR="00643D86" w:rsidRPr="00682484" w:rsidSect="006E71D7">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025A0" w14:textId="77777777" w:rsidR="001F5F22" w:rsidRDefault="001F5F22">
      <w:pPr>
        <w:spacing w:after="0" w:line="240" w:lineRule="auto"/>
      </w:pPr>
      <w:r>
        <w:separator/>
      </w:r>
    </w:p>
  </w:endnote>
  <w:endnote w:type="continuationSeparator" w:id="0">
    <w:p w14:paraId="1060008E" w14:textId="77777777" w:rsidR="001F5F22" w:rsidRDefault="001F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782912"/>
      <w:docPartObj>
        <w:docPartGallery w:val="Page Numbers (Bottom of Page)"/>
        <w:docPartUnique/>
      </w:docPartObj>
    </w:sdtPr>
    <w:sdtEndPr/>
    <w:sdtContent>
      <w:p w14:paraId="2ABAD9E6" w14:textId="6305D2DC" w:rsidR="00913679" w:rsidRDefault="00913679">
        <w:pPr>
          <w:pStyle w:val="Sidfot"/>
          <w:jc w:val="right"/>
        </w:pPr>
        <w:r>
          <w:fldChar w:fldCharType="begin"/>
        </w:r>
        <w:r>
          <w:instrText>PAGE   \* MERGEFORMAT</w:instrText>
        </w:r>
        <w:r>
          <w:fldChar w:fldCharType="separate"/>
        </w:r>
        <w:r w:rsidR="00682484">
          <w:rPr>
            <w:noProof/>
          </w:rPr>
          <w:t>16</w:t>
        </w:r>
        <w:r>
          <w:fldChar w:fldCharType="end"/>
        </w:r>
      </w:p>
    </w:sdtContent>
  </w:sdt>
  <w:p w14:paraId="26F3ED7B" w14:textId="77777777" w:rsidR="00913679" w:rsidRDefault="0091367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F2A50" w14:textId="77777777" w:rsidR="001F5F22" w:rsidRDefault="001F5F22">
      <w:pPr>
        <w:spacing w:after="0" w:line="240" w:lineRule="auto"/>
      </w:pPr>
      <w:r>
        <w:separator/>
      </w:r>
    </w:p>
  </w:footnote>
  <w:footnote w:type="continuationSeparator" w:id="0">
    <w:p w14:paraId="09A6EFAB" w14:textId="77777777" w:rsidR="001F5F22" w:rsidRDefault="001F5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59549" w14:textId="77777777" w:rsidR="006E71D7" w:rsidRDefault="00682484" w:rsidP="006E71D7">
    <w:pPr>
      <w:pStyle w:val="Sidhuvud"/>
      <w:ind w:left="0"/>
    </w:pPr>
  </w:p>
  <w:p w14:paraId="3B95954A" w14:textId="77777777" w:rsidR="006F1C0D" w:rsidRDefault="0068248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34F5B" w14:paraId="3B959550" w14:textId="77777777" w:rsidTr="006E71D7">
      <w:tc>
        <w:tcPr>
          <w:tcW w:w="4606" w:type="dxa"/>
        </w:tcPr>
        <w:p w14:paraId="3B95954B" w14:textId="77777777" w:rsidR="006E71D7" w:rsidRDefault="00CA4626" w:rsidP="00752770">
          <w:pPr>
            <w:pStyle w:val="Sidhuvud"/>
            <w:ind w:left="0"/>
          </w:pPr>
          <w:r>
            <w:rPr>
              <w:noProof/>
              <w:lang w:eastAsia="sv-SE"/>
            </w:rPr>
            <w:drawing>
              <wp:inline distT="0" distB="0" distL="0" distR="0" wp14:anchorId="3B959556" wp14:editId="3B95955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B95954C" w14:textId="77777777" w:rsidR="00FB32B9" w:rsidRDefault="00682484" w:rsidP="00FB32B9">
          <w:pPr>
            <w:ind w:right="916"/>
            <w:rPr>
              <w:rFonts w:ascii="TradeGothic" w:hAnsi="TradeGothic"/>
              <w:b/>
            </w:rPr>
          </w:pPr>
        </w:p>
        <w:p w14:paraId="3B95954D" w14:textId="77777777" w:rsidR="00FB32B9" w:rsidRDefault="00CA4626" w:rsidP="00FB32B9">
          <w:pPr>
            <w:ind w:right="916"/>
          </w:pPr>
          <w:r>
            <w:rPr>
              <w:rFonts w:ascii="TradeGothic" w:hAnsi="TradeGothic"/>
              <w:b/>
            </w:rPr>
            <w:t>Promemoria</w:t>
          </w:r>
        </w:p>
        <w:p w14:paraId="3B95954E" w14:textId="77777777" w:rsidR="00FB32B9" w:rsidRDefault="00682484" w:rsidP="00FB32B9">
          <w:pPr>
            <w:jc w:val="right"/>
          </w:pPr>
        </w:p>
        <w:p w14:paraId="3B95954F" w14:textId="77777777" w:rsidR="006E71D7" w:rsidRDefault="00CA4626" w:rsidP="00FB32B9">
          <w:pPr>
            <w:ind w:right="916"/>
          </w:pPr>
          <w:r>
            <w:rPr>
              <w:rFonts w:ascii="TradeGothic" w:hAnsi="TradeGothic"/>
              <w:b/>
              <w:noProof/>
            </w:rPr>
            <w:t>2015-01-15</w:t>
          </w:r>
          <w:r w:rsidRPr="00934953">
            <w:t xml:space="preserve"> </w:t>
          </w:r>
        </w:p>
      </w:tc>
    </w:tr>
  </w:tbl>
  <w:p w14:paraId="3B959551" w14:textId="77777777" w:rsidR="00FB32B9" w:rsidRDefault="00682484" w:rsidP="00FB32B9">
    <w:pPr>
      <w:pStyle w:val="Avsndare"/>
      <w:framePr w:w="0" w:hRule="auto" w:hSpace="0" w:wrap="auto" w:vAnchor="margin" w:hAnchor="text" w:xAlign="left" w:yAlign="inline"/>
      <w:rPr>
        <w:b/>
        <w:i w:val="0"/>
        <w:sz w:val="22"/>
      </w:rPr>
    </w:pPr>
  </w:p>
  <w:p w14:paraId="3B959552" w14:textId="77777777" w:rsidR="00FB32B9" w:rsidRDefault="00CA4626" w:rsidP="00FB32B9">
    <w:pPr>
      <w:pStyle w:val="Avsndare"/>
      <w:framePr w:w="0" w:hRule="auto" w:hSpace="0" w:wrap="auto" w:vAnchor="margin" w:hAnchor="text" w:xAlign="left" w:yAlign="inline"/>
      <w:rPr>
        <w:b/>
        <w:i w:val="0"/>
        <w:sz w:val="22"/>
      </w:rPr>
    </w:pPr>
    <w:r>
      <w:rPr>
        <w:b/>
        <w:i w:val="0"/>
        <w:sz w:val="22"/>
      </w:rPr>
      <w:t>Statsrådsberedningen</w:t>
    </w:r>
  </w:p>
  <w:p w14:paraId="3B959553" w14:textId="77777777" w:rsidR="00FB32B9" w:rsidRDefault="00682484" w:rsidP="00FB32B9">
    <w:pPr>
      <w:pStyle w:val="Avsndare"/>
      <w:framePr w:w="0" w:hRule="auto" w:hSpace="0" w:wrap="auto" w:vAnchor="margin" w:hAnchor="text" w:xAlign="left" w:yAlign="inline"/>
    </w:pPr>
  </w:p>
  <w:p w14:paraId="3B959554" w14:textId="77777777" w:rsidR="00FB32B9" w:rsidRDefault="00CA4626" w:rsidP="00FB32B9">
    <w:pPr>
      <w:pStyle w:val="Avsndare"/>
      <w:framePr w:w="0" w:hRule="auto" w:hSpace="0" w:wrap="auto" w:vAnchor="margin" w:hAnchor="text" w:xAlign="left" w:yAlign="inline"/>
    </w:pPr>
    <w:r>
      <w:t>EU-kansliet</w:t>
    </w:r>
  </w:p>
  <w:p w14:paraId="3B959555" w14:textId="77777777" w:rsidR="0012376B" w:rsidRDefault="0068248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E132D568">
      <w:start w:val="1"/>
      <w:numFmt w:val="decimal"/>
      <w:pStyle w:val="Rubrik1"/>
      <w:lvlText w:val="%1."/>
      <w:lvlJc w:val="left"/>
      <w:pPr>
        <w:ind w:left="720" w:hanging="360"/>
      </w:pPr>
    </w:lvl>
    <w:lvl w:ilvl="1" w:tplc="B19A094E" w:tentative="1">
      <w:start w:val="1"/>
      <w:numFmt w:val="lowerLetter"/>
      <w:lvlText w:val="%2."/>
      <w:lvlJc w:val="left"/>
      <w:pPr>
        <w:ind w:left="1440" w:hanging="360"/>
      </w:pPr>
    </w:lvl>
    <w:lvl w:ilvl="2" w:tplc="45121E70" w:tentative="1">
      <w:start w:val="1"/>
      <w:numFmt w:val="lowerRoman"/>
      <w:lvlText w:val="%3."/>
      <w:lvlJc w:val="right"/>
      <w:pPr>
        <w:ind w:left="2160" w:hanging="180"/>
      </w:pPr>
    </w:lvl>
    <w:lvl w:ilvl="3" w:tplc="34EA3E18" w:tentative="1">
      <w:start w:val="1"/>
      <w:numFmt w:val="decimal"/>
      <w:lvlText w:val="%4."/>
      <w:lvlJc w:val="left"/>
      <w:pPr>
        <w:ind w:left="2880" w:hanging="360"/>
      </w:pPr>
    </w:lvl>
    <w:lvl w:ilvl="4" w:tplc="71CC41F0" w:tentative="1">
      <w:start w:val="1"/>
      <w:numFmt w:val="lowerLetter"/>
      <w:lvlText w:val="%5."/>
      <w:lvlJc w:val="left"/>
      <w:pPr>
        <w:ind w:left="3600" w:hanging="360"/>
      </w:pPr>
    </w:lvl>
    <w:lvl w:ilvl="5" w:tplc="26607958" w:tentative="1">
      <w:start w:val="1"/>
      <w:numFmt w:val="lowerRoman"/>
      <w:lvlText w:val="%6."/>
      <w:lvlJc w:val="right"/>
      <w:pPr>
        <w:ind w:left="4320" w:hanging="180"/>
      </w:pPr>
    </w:lvl>
    <w:lvl w:ilvl="6" w:tplc="C5EA4CAA" w:tentative="1">
      <w:start w:val="1"/>
      <w:numFmt w:val="decimal"/>
      <w:lvlText w:val="%7."/>
      <w:lvlJc w:val="left"/>
      <w:pPr>
        <w:ind w:left="5040" w:hanging="360"/>
      </w:pPr>
    </w:lvl>
    <w:lvl w:ilvl="7" w:tplc="746E4560" w:tentative="1">
      <w:start w:val="1"/>
      <w:numFmt w:val="lowerLetter"/>
      <w:lvlText w:val="%8."/>
      <w:lvlJc w:val="left"/>
      <w:pPr>
        <w:ind w:left="5760" w:hanging="360"/>
      </w:pPr>
    </w:lvl>
    <w:lvl w:ilvl="8" w:tplc="F7D8C304" w:tentative="1">
      <w:start w:val="1"/>
      <w:numFmt w:val="lowerRoman"/>
      <w:lvlText w:val="%9."/>
      <w:lvlJc w:val="right"/>
      <w:pPr>
        <w:ind w:left="6480" w:hanging="180"/>
      </w:pPr>
    </w:lvl>
  </w:abstractNum>
  <w:abstractNum w:abstractNumId="1">
    <w:nsid w:val="73990993"/>
    <w:multiLevelType w:val="hybridMultilevel"/>
    <w:tmpl w:val="3BD822EE"/>
    <w:lvl w:ilvl="0" w:tplc="FF945E10">
      <w:start w:val="1"/>
      <w:numFmt w:val="decimal"/>
      <w:lvlText w:val="%1."/>
      <w:lvlJc w:val="left"/>
      <w:pPr>
        <w:ind w:left="360" w:hanging="360"/>
      </w:pPr>
      <w:rPr>
        <w:b w:val="0"/>
      </w:rPr>
    </w:lvl>
    <w:lvl w:ilvl="1" w:tplc="E4EAAA50" w:tentative="1">
      <w:start w:val="1"/>
      <w:numFmt w:val="lowerLetter"/>
      <w:lvlText w:val="%2."/>
      <w:lvlJc w:val="left"/>
      <w:pPr>
        <w:ind w:left="1080" w:hanging="360"/>
      </w:pPr>
    </w:lvl>
    <w:lvl w:ilvl="2" w:tplc="3CB0B916" w:tentative="1">
      <w:start w:val="1"/>
      <w:numFmt w:val="lowerRoman"/>
      <w:lvlText w:val="%3."/>
      <w:lvlJc w:val="right"/>
      <w:pPr>
        <w:ind w:left="1800" w:hanging="180"/>
      </w:pPr>
    </w:lvl>
    <w:lvl w:ilvl="3" w:tplc="FD7AD01C" w:tentative="1">
      <w:start w:val="1"/>
      <w:numFmt w:val="decimal"/>
      <w:lvlText w:val="%4."/>
      <w:lvlJc w:val="left"/>
      <w:pPr>
        <w:ind w:left="2520" w:hanging="360"/>
      </w:pPr>
    </w:lvl>
    <w:lvl w:ilvl="4" w:tplc="5964E4B4" w:tentative="1">
      <w:start w:val="1"/>
      <w:numFmt w:val="lowerLetter"/>
      <w:lvlText w:val="%5."/>
      <w:lvlJc w:val="left"/>
      <w:pPr>
        <w:ind w:left="3240" w:hanging="360"/>
      </w:pPr>
    </w:lvl>
    <w:lvl w:ilvl="5" w:tplc="49D2931A" w:tentative="1">
      <w:start w:val="1"/>
      <w:numFmt w:val="lowerRoman"/>
      <w:lvlText w:val="%6."/>
      <w:lvlJc w:val="right"/>
      <w:pPr>
        <w:ind w:left="3960" w:hanging="180"/>
      </w:pPr>
    </w:lvl>
    <w:lvl w:ilvl="6" w:tplc="D31C661A" w:tentative="1">
      <w:start w:val="1"/>
      <w:numFmt w:val="decimal"/>
      <w:lvlText w:val="%7."/>
      <w:lvlJc w:val="left"/>
      <w:pPr>
        <w:ind w:left="4680" w:hanging="360"/>
      </w:pPr>
    </w:lvl>
    <w:lvl w:ilvl="7" w:tplc="8EE0A054" w:tentative="1">
      <w:start w:val="1"/>
      <w:numFmt w:val="lowerLetter"/>
      <w:lvlText w:val="%8."/>
      <w:lvlJc w:val="left"/>
      <w:pPr>
        <w:ind w:left="5400" w:hanging="360"/>
      </w:pPr>
    </w:lvl>
    <w:lvl w:ilvl="8" w:tplc="2BE2F43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5B"/>
    <w:rsid w:val="00047588"/>
    <w:rsid w:val="000E54C3"/>
    <w:rsid w:val="001F5F22"/>
    <w:rsid w:val="0037156F"/>
    <w:rsid w:val="003A7631"/>
    <w:rsid w:val="00474158"/>
    <w:rsid w:val="00484CAA"/>
    <w:rsid w:val="00682484"/>
    <w:rsid w:val="006A14E8"/>
    <w:rsid w:val="00734F5B"/>
    <w:rsid w:val="00837474"/>
    <w:rsid w:val="00913679"/>
    <w:rsid w:val="00A41D01"/>
    <w:rsid w:val="00CA4626"/>
    <w:rsid w:val="00E942AA"/>
    <w:rsid w:val="00F47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942E"/>
  <w15:docId w15:val="{F9AD23B3-7937-49CE-B65D-78995C90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JE6N4JFJXNNF-9-66151</_dlc_DocId>
    <_dlc_DocIdUrl xmlns="8b66ae41-1ec6-402e-b662-35d1932ca064">
      <Url>http://rkdhs-sb/enhet/EUKansli/_layouts/DocIdRedir.aspx?ID=JE6N4JFJXNNF-9-66151</Url>
      <Description>JE6N4JFJXNNF-9-66151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77C1-1D95-4F02-833D-8A54E6CC2B68}">
  <ds:schemaRefs>
    <ds:schemaRef ds:uri="8b66ae41-1ec6-402e-b662-35d1932ca064"/>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e4c0beb7-0294-4d25-9600-346807c0961e"/>
  </ds:schemaRefs>
</ds:datastoreItem>
</file>

<file path=customXml/itemProps2.xml><?xml version="1.0" encoding="utf-8"?>
<ds:datastoreItem xmlns:ds="http://schemas.openxmlformats.org/officeDocument/2006/customXml" ds:itemID="{9A76CF27-1326-41BD-8AA7-8A9EE57CC9CF}">
  <ds:schemaRefs>
    <ds:schemaRef ds:uri="http://schemas.microsoft.com/sharepoint/v3/contenttype/forms"/>
  </ds:schemaRefs>
</ds:datastoreItem>
</file>

<file path=customXml/itemProps3.xml><?xml version="1.0" encoding="utf-8"?>
<ds:datastoreItem xmlns:ds="http://schemas.openxmlformats.org/officeDocument/2006/customXml" ds:itemID="{32727A80-3628-4C60-A4DB-F1863CD9A0E9}">
  <ds:schemaRefs>
    <ds:schemaRef ds:uri="http://schemas.microsoft.com/sharepoint/v3/contenttype/forms/url"/>
  </ds:schemaRefs>
</ds:datastoreItem>
</file>

<file path=customXml/itemProps4.xml><?xml version="1.0" encoding="utf-8"?>
<ds:datastoreItem xmlns:ds="http://schemas.openxmlformats.org/officeDocument/2006/customXml" ds:itemID="{BC25702A-9272-48DB-95E3-B43E06919669}">
  <ds:schemaRefs>
    <ds:schemaRef ds:uri="http://schemas.microsoft.com/office/2006/metadata/customXsn"/>
  </ds:schemaRefs>
</ds:datastoreItem>
</file>

<file path=customXml/itemProps5.xml><?xml version="1.0" encoding="utf-8"?>
<ds:datastoreItem xmlns:ds="http://schemas.openxmlformats.org/officeDocument/2006/customXml" ds:itemID="{3D5500AF-3C7F-49FF-9BA8-94CC200C63E2}">
  <ds:schemaRefs>
    <ds:schemaRef ds:uri="http://schemas.microsoft.com/sharepoint/events"/>
  </ds:schemaRefs>
</ds:datastoreItem>
</file>

<file path=customXml/itemProps6.xml><?xml version="1.0" encoding="utf-8"?>
<ds:datastoreItem xmlns:ds="http://schemas.openxmlformats.org/officeDocument/2006/customXml" ds:itemID="{33AB5048-54C8-40EE-B283-B88FF780F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759A2B-7FF2-4B61-BF1B-5BE789B6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5293</Words>
  <Characters>28054</Characters>
  <Application>Microsoft Office Word</Application>
  <DocSecurity>4</DocSecurity>
  <Lines>233</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2015-01-15T11:58:00Z</cp:lastPrinted>
  <dcterms:created xsi:type="dcterms:W3CDTF">2015-01-15T12:48:00Z</dcterms:created>
  <dcterms:modified xsi:type="dcterms:W3CDTF">2015-01-15T12:48:00Z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a951b5cc-7f1a-430f-92f9-76145a8c18f2</vt:lpwstr>
  </property>
</Properties>
</file>