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65E" w:rsidRPr="00F43AA7" w:rsidRDefault="00AD365E">
      <w:pPr>
        <w:pStyle w:val="Hemstlrubrik"/>
        <w:shd w:val="clear" w:color="000000" w:fill="auto"/>
      </w:pPr>
      <w:r w:rsidRPr="00F43AA7">
        <w:t>Förslag till riksdagsbeslut</w:t>
      </w:r>
    </w:p>
    <w:p w:rsidR="00AD365E" w:rsidRPr="00F43AA7" w:rsidRDefault="00AD365E">
      <w:pPr>
        <w:pStyle w:val="Hemstlatt"/>
        <w:numPr>
          <w:ilvl w:val="0"/>
          <w:numId w:val="1"/>
        </w:numPr>
        <w:shd w:val="clear" w:color="000000" w:fill="auto"/>
      </w:pPr>
      <w:r w:rsidRPr="00F43AA7">
        <w:t>Riksdagen anvisar med följande ändringar i fö</w:t>
      </w:r>
      <w:r w:rsidRPr="00F43AA7">
        <w:t>r</w:t>
      </w:r>
      <w:r w:rsidRPr="00F43AA7">
        <w:t>hållande till regeringens förslag anslagen under utgiftsområde 15 Studi</w:t>
      </w:r>
      <w:r w:rsidRPr="00F43AA7">
        <w:t>e</w:t>
      </w:r>
      <w:r w:rsidRPr="00F43AA7">
        <w:t>stöd enligt uppställningen i motionen.</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992"/>
        <w:gridCol w:w="993"/>
        <w:gridCol w:w="56"/>
        <w:gridCol w:w="936"/>
        <w:gridCol w:w="992"/>
        <w:gridCol w:w="993"/>
      </w:tblGrid>
      <w:tr w:rsidR="00000000" w:rsidRPr="00F43AA7">
        <w:tc>
          <w:tcPr>
            <w:tcW w:w="3033" w:type="dxa"/>
            <w:gridSpan w:val="4"/>
            <w:tcBorders>
              <w:top w:val="single" w:sz="4" w:space="0" w:color="auto"/>
              <w:bottom w:val="nil"/>
            </w:tcBorders>
          </w:tcPr>
          <w:p w:rsidR="00AD365E" w:rsidRPr="00F43AA7" w:rsidRDefault="00AD365E">
            <w:pPr>
              <w:shd w:val="clear" w:color="000000" w:fill="auto"/>
              <w:autoSpaceDE w:val="0"/>
              <w:autoSpaceDN w:val="0"/>
              <w:adjustRightInd w:val="0"/>
              <w:spacing w:before="60" w:line="200" w:lineRule="exact"/>
            </w:pPr>
            <w:r w:rsidRPr="00F43AA7">
              <w:rPr>
                <w:b/>
                <w:color w:val="000000"/>
                <w:sz w:val="18"/>
              </w:rPr>
              <w:t>Nivå i BP 2008</w:t>
            </w:r>
          </w:p>
        </w:tc>
        <w:tc>
          <w:tcPr>
            <w:tcW w:w="2921" w:type="dxa"/>
            <w:gridSpan w:val="3"/>
            <w:tcBorders>
              <w:top w:val="single" w:sz="4" w:space="0" w:color="auto"/>
              <w:bottom w:val="nil"/>
            </w:tcBorders>
          </w:tcPr>
          <w:p w:rsidR="00AD365E" w:rsidRPr="00F43AA7" w:rsidRDefault="00AD365E">
            <w:pPr>
              <w:shd w:val="clear" w:color="000000" w:fill="auto"/>
              <w:autoSpaceDE w:val="0"/>
              <w:autoSpaceDN w:val="0"/>
              <w:adjustRightInd w:val="0"/>
              <w:spacing w:before="60" w:line="200" w:lineRule="exact"/>
              <w:ind w:left="317"/>
              <w:jc w:val="center"/>
              <w:rPr>
                <w:b/>
                <w:color w:val="000000"/>
                <w:sz w:val="18"/>
              </w:rPr>
            </w:pPr>
            <w:r w:rsidRPr="00F43AA7">
              <w:rPr>
                <w:b/>
                <w:color w:val="000000"/>
                <w:sz w:val="18"/>
              </w:rPr>
              <w:t>Avvikelse från propositionen</w:t>
            </w:r>
          </w:p>
        </w:tc>
      </w:tr>
      <w:tr w:rsidR="00000000" w:rsidRPr="00F43AA7">
        <w:tc>
          <w:tcPr>
            <w:tcW w:w="992"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2008</w:t>
            </w:r>
          </w:p>
        </w:tc>
        <w:tc>
          <w:tcPr>
            <w:tcW w:w="992"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2009</w:t>
            </w:r>
          </w:p>
        </w:tc>
        <w:tc>
          <w:tcPr>
            <w:tcW w:w="993"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2010</w:t>
            </w:r>
          </w:p>
        </w:tc>
        <w:tc>
          <w:tcPr>
            <w:tcW w:w="992" w:type="dxa"/>
            <w:gridSpan w:val="2"/>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2008</w:t>
            </w:r>
          </w:p>
        </w:tc>
        <w:tc>
          <w:tcPr>
            <w:tcW w:w="992"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2009</w:t>
            </w:r>
          </w:p>
        </w:tc>
        <w:tc>
          <w:tcPr>
            <w:tcW w:w="993"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2010</w:t>
            </w:r>
          </w:p>
        </w:tc>
      </w:tr>
      <w:tr w:rsidR="00000000" w:rsidRPr="00F43AA7">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20 297</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21 582</w:t>
            </w: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23 282</w:t>
            </w:r>
          </w:p>
        </w:tc>
        <w:tc>
          <w:tcPr>
            <w:tcW w:w="992" w:type="dxa"/>
            <w:gridSpan w:val="2"/>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sz w:val="18"/>
              </w:rPr>
              <w:t>1</w:t>
            </w:r>
            <w:r w:rsidRPr="00F43AA7">
              <w:rPr>
                <w:color w:val="000000"/>
                <w:sz w:val="18"/>
              </w:rPr>
              <w:t>40</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180</w:t>
            </w: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260</w:t>
            </w:r>
          </w:p>
        </w:tc>
      </w:tr>
    </w:tbl>
    <w:p w:rsidR="00AD365E" w:rsidRPr="00F43AA7" w:rsidRDefault="00AD365E">
      <w:pPr>
        <w:shd w:val="clear" w:color="000000" w:fill="auto"/>
        <w:autoSpaceDE w:val="0"/>
        <w:autoSpaceDN w:val="0"/>
        <w:adjustRightInd w:val="0"/>
        <w:spacing w:before="120" w:line="200" w:lineRule="exact"/>
        <w:rPr>
          <w:color w:val="000000"/>
          <w:sz w:val="18"/>
        </w:rPr>
      </w:pPr>
      <w:r w:rsidRPr="00F43AA7">
        <w:rPr>
          <w:color w:val="000000"/>
          <w:sz w:val="18"/>
        </w:rPr>
        <w:t>Reformer jämfört med budgetpropositionen för 2008</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992"/>
        <w:gridCol w:w="993"/>
        <w:gridCol w:w="992"/>
        <w:gridCol w:w="992"/>
        <w:gridCol w:w="993"/>
      </w:tblGrid>
      <w:tr w:rsidR="00000000" w:rsidRPr="00F43AA7">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rPr>
                <w:b/>
                <w:color w:val="000000"/>
                <w:sz w:val="18"/>
              </w:rPr>
            </w:pPr>
            <w:r w:rsidRPr="00F43AA7">
              <w:rPr>
                <w:b/>
                <w:color w:val="000000"/>
                <w:sz w:val="18"/>
              </w:rPr>
              <w:t>Anslag</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2008</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2009</w:t>
            </w: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2010</w:t>
            </w:r>
          </w:p>
        </w:tc>
      </w:tr>
      <w:tr w:rsidR="00000000" w:rsidRPr="00F43AA7">
        <w:tc>
          <w:tcPr>
            <w:tcW w:w="2977" w:type="dxa"/>
            <w:gridSpan w:val="3"/>
            <w:tcBorders>
              <w:top w:val="single" w:sz="4" w:space="0" w:color="auto"/>
            </w:tcBorders>
          </w:tcPr>
          <w:p w:rsidR="00AD365E" w:rsidRPr="00F43AA7" w:rsidRDefault="00AD365E">
            <w:pPr>
              <w:shd w:val="clear" w:color="000000" w:fill="auto"/>
              <w:autoSpaceDE w:val="0"/>
              <w:autoSpaceDN w:val="0"/>
              <w:adjustRightInd w:val="0"/>
              <w:spacing w:before="60" w:line="200" w:lineRule="exact"/>
              <w:rPr>
                <w:color w:val="000000"/>
                <w:sz w:val="18"/>
              </w:rPr>
            </w:pPr>
            <w:r w:rsidRPr="00F43AA7">
              <w:rPr>
                <w:color w:val="000000"/>
                <w:sz w:val="18"/>
              </w:rPr>
              <w:t>Studiemedel högskolan till följd av fler utbildningsplatser (se UO16)</w:t>
            </w:r>
          </w:p>
        </w:tc>
        <w:tc>
          <w:tcPr>
            <w:tcW w:w="992" w:type="dxa"/>
            <w:tcBorders>
              <w:top w:val="single" w:sz="4" w:space="0" w:color="auto"/>
            </w:tcBorders>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 xml:space="preserve">140 </w:t>
            </w:r>
          </w:p>
        </w:tc>
        <w:tc>
          <w:tcPr>
            <w:tcW w:w="992" w:type="dxa"/>
            <w:tcBorders>
              <w:top w:val="single" w:sz="4" w:space="0" w:color="auto"/>
            </w:tcBorders>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180</w:t>
            </w:r>
          </w:p>
        </w:tc>
        <w:tc>
          <w:tcPr>
            <w:tcW w:w="993" w:type="dxa"/>
            <w:tcBorders>
              <w:top w:val="single" w:sz="4" w:space="0" w:color="auto"/>
            </w:tcBorders>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260</w:t>
            </w:r>
          </w:p>
        </w:tc>
      </w:tr>
    </w:tbl>
    <w:p w:rsidR="00AD365E" w:rsidRPr="00F43AA7" w:rsidRDefault="00AD365E">
      <w:pPr>
        <w:pStyle w:val="Hemstlatt"/>
        <w:numPr>
          <w:ilvl w:val="0"/>
          <w:numId w:val="1"/>
        </w:numPr>
        <w:shd w:val="clear" w:color="000000" w:fill="auto"/>
      </w:pPr>
      <w:r w:rsidRPr="00F43AA7">
        <w:t>Riksdagen anvisar med följande ändringar i förhållande till regeringens förslag anslagen under utgiftsområde 16 Utbildning och un</w:t>
      </w:r>
      <w:r w:rsidRPr="00F43AA7">
        <w:t>i</w:t>
      </w:r>
      <w:r w:rsidRPr="00F43AA7">
        <w:t>versitetsforskning enligt uppställningen i motionen.</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992"/>
        <w:gridCol w:w="993"/>
        <w:gridCol w:w="56"/>
        <w:gridCol w:w="936"/>
        <w:gridCol w:w="992"/>
        <w:gridCol w:w="993"/>
      </w:tblGrid>
      <w:tr w:rsidR="00000000" w:rsidRPr="00F43AA7">
        <w:tc>
          <w:tcPr>
            <w:tcW w:w="3033" w:type="dxa"/>
            <w:gridSpan w:val="4"/>
            <w:tcBorders>
              <w:top w:val="single" w:sz="4" w:space="0" w:color="auto"/>
              <w:bottom w:val="nil"/>
            </w:tcBorders>
          </w:tcPr>
          <w:p w:rsidR="00AD365E" w:rsidRPr="00F43AA7" w:rsidRDefault="00AD365E">
            <w:pPr>
              <w:shd w:val="clear" w:color="000000" w:fill="auto"/>
              <w:autoSpaceDE w:val="0"/>
              <w:autoSpaceDN w:val="0"/>
              <w:adjustRightInd w:val="0"/>
              <w:spacing w:before="60" w:line="200" w:lineRule="exact"/>
            </w:pPr>
            <w:r w:rsidRPr="00F43AA7">
              <w:rPr>
                <w:b/>
                <w:color w:val="000000"/>
                <w:sz w:val="18"/>
              </w:rPr>
              <w:t>Nivå i BP 2008</w:t>
            </w:r>
          </w:p>
        </w:tc>
        <w:tc>
          <w:tcPr>
            <w:tcW w:w="2921" w:type="dxa"/>
            <w:gridSpan w:val="3"/>
            <w:tcBorders>
              <w:top w:val="single" w:sz="4" w:space="0" w:color="auto"/>
              <w:bottom w:val="nil"/>
            </w:tcBorders>
          </w:tcPr>
          <w:p w:rsidR="00AD365E" w:rsidRPr="00F43AA7" w:rsidRDefault="00AD365E">
            <w:pPr>
              <w:shd w:val="clear" w:color="000000" w:fill="auto"/>
              <w:autoSpaceDE w:val="0"/>
              <w:autoSpaceDN w:val="0"/>
              <w:adjustRightInd w:val="0"/>
              <w:spacing w:before="60" w:line="200" w:lineRule="exact"/>
              <w:ind w:left="317"/>
              <w:jc w:val="center"/>
              <w:rPr>
                <w:b/>
                <w:color w:val="000000"/>
                <w:sz w:val="18"/>
              </w:rPr>
            </w:pPr>
            <w:r w:rsidRPr="00F43AA7">
              <w:rPr>
                <w:b/>
                <w:color w:val="000000"/>
                <w:sz w:val="18"/>
              </w:rPr>
              <w:t>Avvikelse från propositionen</w:t>
            </w:r>
          </w:p>
        </w:tc>
      </w:tr>
      <w:tr w:rsidR="00000000" w:rsidRPr="00F43AA7">
        <w:tc>
          <w:tcPr>
            <w:tcW w:w="992"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2008</w:t>
            </w:r>
          </w:p>
        </w:tc>
        <w:tc>
          <w:tcPr>
            <w:tcW w:w="992"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2009</w:t>
            </w:r>
          </w:p>
        </w:tc>
        <w:tc>
          <w:tcPr>
            <w:tcW w:w="993"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2010</w:t>
            </w:r>
          </w:p>
        </w:tc>
        <w:tc>
          <w:tcPr>
            <w:tcW w:w="992" w:type="dxa"/>
            <w:gridSpan w:val="2"/>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2008</w:t>
            </w:r>
          </w:p>
        </w:tc>
        <w:tc>
          <w:tcPr>
            <w:tcW w:w="992"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2009</w:t>
            </w:r>
          </w:p>
        </w:tc>
        <w:tc>
          <w:tcPr>
            <w:tcW w:w="993" w:type="dxa"/>
            <w:tcBorders>
              <w:top w:val="nil"/>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2010</w:t>
            </w:r>
          </w:p>
        </w:tc>
      </w:tr>
      <w:tr w:rsidR="00000000" w:rsidRPr="00F43AA7">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46 374</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48 170</w:t>
            </w: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49 586</w:t>
            </w:r>
          </w:p>
        </w:tc>
        <w:tc>
          <w:tcPr>
            <w:tcW w:w="992" w:type="dxa"/>
            <w:gridSpan w:val="2"/>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935</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1 230</w:t>
            </w: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1 360</w:t>
            </w:r>
          </w:p>
        </w:tc>
      </w:tr>
    </w:tbl>
    <w:p w:rsidR="00AD365E" w:rsidRPr="00F43AA7" w:rsidRDefault="00AD365E">
      <w:pPr>
        <w:shd w:val="clear" w:color="000000" w:fill="auto"/>
        <w:spacing w:before="120" w:line="200" w:lineRule="exact"/>
        <w:rPr>
          <w:sz w:val="18"/>
        </w:rPr>
      </w:pPr>
      <w:r w:rsidRPr="00F43AA7">
        <w:rPr>
          <w:sz w:val="18"/>
        </w:rPr>
        <w:t>Reformer jämfört med budgetpropositionen för 2008</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992"/>
        <w:gridCol w:w="993"/>
        <w:gridCol w:w="992"/>
        <w:gridCol w:w="992"/>
        <w:gridCol w:w="993"/>
      </w:tblGrid>
      <w:tr w:rsidR="00000000" w:rsidRPr="00F43AA7">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rPr>
                <w:b/>
                <w:color w:val="000000"/>
                <w:sz w:val="18"/>
              </w:rPr>
            </w:pPr>
            <w:r w:rsidRPr="00F43AA7">
              <w:rPr>
                <w:b/>
                <w:color w:val="000000"/>
                <w:sz w:val="18"/>
              </w:rPr>
              <w:t>Anslag</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2008</w:t>
            </w:r>
          </w:p>
        </w:tc>
        <w:tc>
          <w:tcPr>
            <w:tcW w:w="992"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2009</w:t>
            </w:r>
          </w:p>
        </w:tc>
        <w:tc>
          <w:tcPr>
            <w:tcW w:w="993" w:type="dxa"/>
            <w:tcBorders>
              <w:top w:val="single" w:sz="4" w:space="0" w:color="auto"/>
              <w:bottom w:val="single" w:sz="4" w:space="0" w:color="auto"/>
            </w:tcBorders>
          </w:tcPr>
          <w:p w:rsidR="00AD365E" w:rsidRPr="00F43AA7" w:rsidRDefault="00AD365E">
            <w:pPr>
              <w:shd w:val="clear" w:color="000000" w:fill="auto"/>
              <w:autoSpaceDE w:val="0"/>
              <w:autoSpaceDN w:val="0"/>
              <w:adjustRightInd w:val="0"/>
              <w:spacing w:before="60" w:line="200" w:lineRule="exact"/>
              <w:jc w:val="right"/>
              <w:rPr>
                <w:b/>
                <w:color w:val="000000"/>
                <w:sz w:val="18"/>
              </w:rPr>
            </w:pPr>
            <w:r w:rsidRPr="00F43AA7">
              <w:rPr>
                <w:b/>
                <w:color w:val="000000"/>
                <w:sz w:val="18"/>
              </w:rPr>
              <w:t>2010</w:t>
            </w:r>
          </w:p>
        </w:tc>
      </w:tr>
      <w:tr w:rsidR="00000000" w:rsidRPr="00F43AA7">
        <w:tc>
          <w:tcPr>
            <w:tcW w:w="2977" w:type="dxa"/>
            <w:gridSpan w:val="3"/>
            <w:tcBorders>
              <w:top w:val="single" w:sz="4" w:space="0" w:color="auto"/>
            </w:tcBorders>
          </w:tcPr>
          <w:p w:rsidR="00AD365E" w:rsidRPr="00F43AA7" w:rsidRDefault="00AD365E">
            <w:pPr>
              <w:shd w:val="clear" w:color="000000" w:fill="auto"/>
              <w:autoSpaceDE w:val="0"/>
              <w:autoSpaceDN w:val="0"/>
              <w:adjustRightInd w:val="0"/>
              <w:spacing w:before="60" w:line="200" w:lineRule="exact"/>
              <w:rPr>
                <w:color w:val="000000"/>
                <w:sz w:val="18"/>
              </w:rPr>
            </w:pPr>
            <w:r w:rsidRPr="00F43AA7">
              <w:rPr>
                <w:color w:val="000000"/>
                <w:sz w:val="18"/>
              </w:rPr>
              <w:t>Ökade resurser till forskning</w:t>
            </w:r>
          </w:p>
        </w:tc>
        <w:tc>
          <w:tcPr>
            <w:tcW w:w="992" w:type="dxa"/>
            <w:tcBorders>
              <w:top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400</w:t>
            </w:r>
          </w:p>
        </w:tc>
        <w:tc>
          <w:tcPr>
            <w:tcW w:w="992" w:type="dxa"/>
            <w:tcBorders>
              <w:top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400</w:t>
            </w:r>
          </w:p>
        </w:tc>
        <w:tc>
          <w:tcPr>
            <w:tcW w:w="993" w:type="dxa"/>
            <w:tcBorders>
              <w:top w:val="single" w:sz="4" w:space="0" w:color="auto"/>
            </w:tcBorders>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400</w:t>
            </w:r>
          </w:p>
        </w:tc>
      </w:tr>
      <w:tr w:rsidR="00000000" w:rsidRPr="00F43AA7">
        <w:tc>
          <w:tcPr>
            <w:tcW w:w="2977" w:type="dxa"/>
            <w:gridSpan w:val="3"/>
          </w:tcPr>
          <w:p w:rsidR="00AD365E" w:rsidRPr="00F43AA7" w:rsidRDefault="00AD365E">
            <w:pPr>
              <w:shd w:val="clear" w:color="000000" w:fill="auto"/>
              <w:autoSpaceDE w:val="0"/>
              <w:autoSpaceDN w:val="0"/>
              <w:adjustRightInd w:val="0"/>
              <w:spacing w:before="60" w:line="200" w:lineRule="exact"/>
              <w:rPr>
                <w:color w:val="000000"/>
                <w:sz w:val="18"/>
              </w:rPr>
            </w:pPr>
            <w:r w:rsidRPr="00F43AA7">
              <w:rPr>
                <w:color w:val="000000"/>
                <w:sz w:val="18"/>
              </w:rPr>
              <w:t>Fler högskoleplatser</w:t>
            </w:r>
          </w:p>
        </w:tc>
        <w:tc>
          <w:tcPr>
            <w:tcW w:w="992" w:type="dxa"/>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290</w:t>
            </w:r>
          </w:p>
        </w:tc>
        <w:tc>
          <w:tcPr>
            <w:tcW w:w="992" w:type="dxa"/>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360</w:t>
            </w:r>
          </w:p>
        </w:tc>
        <w:tc>
          <w:tcPr>
            <w:tcW w:w="993" w:type="dxa"/>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490</w:t>
            </w:r>
          </w:p>
        </w:tc>
      </w:tr>
      <w:tr w:rsidR="00000000" w:rsidRPr="00F43AA7">
        <w:tc>
          <w:tcPr>
            <w:tcW w:w="2977" w:type="dxa"/>
            <w:gridSpan w:val="3"/>
          </w:tcPr>
          <w:p w:rsidR="00AD365E" w:rsidRPr="00F43AA7" w:rsidRDefault="00AD365E">
            <w:pPr>
              <w:shd w:val="clear" w:color="000000" w:fill="auto"/>
              <w:autoSpaceDE w:val="0"/>
              <w:autoSpaceDN w:val="0"/>
              <w:adjustRightInd w:val="0"/>
              <w:spacing w:before="60" w:line="200" w:lineRule="exact"/>
              <w:rPr>
                <w:color w:val="000000"/>
                <w:sz w:val="18"/>
              </w:rPr>
            </w:pPr>
            <w:r w:rsidRPr="00F43AA7">
              <w:rPr>
                <w:color w:val="000000"/>
                <w:sz w:val="18"/>
              </w:rPr>
              <w:t>Särskild satsning på breddad rekryt</w:t>
            </w:r>
            <w:r w:rsidRPr="00F43AA7">
              <w:rPr>
                <w:color w:val="000000"/>
                <w:sz w:val="18"/>
              </w:rPr>
              <w:t>e</w:t>
            </w:r>
            <w:r w:rsidRPr="00F43AA7">
              <w:rPr>
                <w:color w:val="000000"/>
                <w:sz w:val="18"/>
              </w:rPr>
              <w:t>ring och pedagogisk utveckling inom högre utbildning</w:t>
            </w:r>
          </w:p>
        </w:tc>
        <w:tc>
          <w:tcPr>
            <w:tcW w:w="992" w:type="dxa"/>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20</w:t>
            </w:r>
          </w:p>
        </w:tc>
        <w:tc>
          <w:tcPr>
            <w:tcW w:w="992" w:type="dxa"/>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20</w:t>
            </w:r>
          </w:p>
        </w:tc>
        <w:tc>
          <w:tcPr>
            <w:tcW w:w="993" w:type="dxa"/>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20</w:t>
            </w:r>
          </w:p>
        </w:tc>
      </w:tr>
      <w:tr w:rsidR="00000000" w:rsidRPr="00F43AA7">
        <w:tc>
          <w:tcPr>
            <w:tcW w:w="2977" w:type="dxa"/>
            <w:gridSpan w:val="3"/>
          </w:tcPr>
          <w:p w:rsidR="00AD365E" w:rsidRPr="00F43AA7" w:rsidRDefault="00AD365E">
            <w:pPr>
              <w:shd w:val="clear" w:color="000000" w:fill="auto"/>
              <w:autoSpaceDE w:val="0"/>
              <w:autoSpaceDN w:val="0"/>
              <w:adjustRightInd w:val="0"/>
              <w:spacing w:before="60" w:line="200" w:lineRule="exact"/>
              <w:rPr>
                <w:color w:val="000000"/>
                <w:sz w:val="18"/>
              </w:rPr>
            </w:pPr>
            <w:r w:rsidRPr="00F43AA7">
              <w:rPr>
                <w:color w:val="000000"/>
                <w:sz w:val="18"/>
              </w:rPr>
              <w:t>Vuxenutbildningsinsatser, komvux</w:t>
            </w:r>
          </w:p>
        </w:tc>
        <w:tc>
          <w:tcPr>
            <w:tcW w:w="992" w:type="dxa"/>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600</w:t>
            </w:r>
          </w:p>
        </w:tc>
        <w:tc>
          <w:tcPr>
            <w:tcW w:w="992" w:type="dxa"/>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600</w:t>
            </w:r>
          </w:p>
        </w:tc>
        <w:tc>
          <w:tcPr>
            <w:tcW w:w="993" w:type="dxa"/>
            <w:vAlign w:val="bottom"/>
          </w:tcPr>
          <w:p w:rsidR="00AD365E" w:rsidRPr="00F43AA7" w:rsidRDefault="00AD365E">
            <w:pPr>
              <w:shd w:val="clear" w:color="000000" w:fill="auto"/>
              <w:autoSpaceDE w:val="0"/>
              <w:autoSpaceDN w:val="0"/>
              <w:adjustRightInd w:val="0"/>
              <w:spacing w:before="60" w:line="200" w:lineRule="exact"/>
              <w:jc w:val="right"/>
              <w:rPr>
                <w:color w:val="000000"/>
                <w:sz w:val="18"/>
              </w:rPr>
            </w:pPr>
            <w:r w:rsidRPr="00F43AA7">
              <w:rPr>
                <w:color w:val="000000"/>
                <w:sz w:val="18"/>
              </w:rPr>
              <w:t>600</w:t>
            </w:r>
          </w:p>
        </w:tc>
      </w:tr>
    </w:tbl>
    <w:p w:rsidR="00AD365E" w:rsidRPr="00F43AA7" w:rsidRDefault="00AD365E">
      <w:pPr>
        <w:shd w:val="clear" w:color="000000" w:fill="auto"/>
        <w:spacing w:line="20" w:lineRule="exact"/>
      </w:pPr>
    </w:p>
    <w:p w:rsidR="00AD365E" w:rsidRPr="00F43AA7" w:rsidRDefault="00AD365E">
      <w:pPr>
        <w:pStyle w:val="Rubrik1"/>
        <w:shd w:val="clear" w:color="000000" w:fill="auto"/>
      </w:pPr>
      <w:r w:rsidRPr="00F43AA7">
        <w:lastRenderedPageBreak/>
        <w:t>Inledning</w:t>
      </w:r>
    </w:p>
    <w:p w:rsidR="00AD365E" w:rsidRPr="00F43AA7" w:rsidRDefault="00AD365E">
      <w:pPr>
        <w:shd w:val="clear" w:color="000000" w:fill="auto"/>
        <w:autoSpaceDE w:val="0"/>
        <w:autoSpaceDN w:val="0"/>
        <w:adjustRightInd w:val="0"/>
        <w:rPr>
          <w:bCs/>
          <w:spacing w:val="-6"/>
        </w:rPr>
      </w:pPr>
      <w:r w:rsidRPr="00F43AA7">
        <w:rPr>
          <w:bCs/>
        </w:rPr>
        <w:t>I denna motion beskriver vi kortfattat de förändringar vi föreslår i budgeten för utgiftsområdena 15 och 16 i förhållande till regeringens politik. Vår u</w:t>
      </w:r>
      <w:r w:rsidRPr="00F43AA7">
        <w:rPr>
          <w:bCs/>
        </w:rPr>
        <w:t>t</w:t>
      </w:r>
      <w:r w:rsidRPr="00F43AA7">
        <w:rPr>
          <w:bCs/>
          <w:spacing w:val="-2"/>
        </w:rPr>
        <w:t xml:space="preserve">bildningspolitik beskrivs mer utförligt i motionerna Förskolan </w:t>
      </w:r>
      <w:r w:rsidRPr="00F43AA7">
        <w:rPr>
          <w:bCs/>
          <w:spacing w:val="-4"/>
        </w:rPr>
        <w:t xml:space="preserve">(2007/08:Ub515), Grundskolan (2007/08:Ub511), Gymnasieskolan (2007/08:Ub514), Vuxnas </w:t>
      </w:r>
      <w:r w:rsidRPr="00F43AA7">
        <w:rPr>
          <w:bCs/>
          <w:spacing w:val="-2"/>
        </w:rPr>
        <w:t>lärande (2007/08:Ub513), Högskola och universitet (2007/08:Ub510), Fors</w:t>
      </w:r>
      <w:r w:rsidRPr="00F43AA7">
        <w:rPr>
          <w:bCs/>
          <w:spacing w:val="-2"/>
        </w:rPr>
        <w:t>k</w:t>
      </w:r>
      <w:r w:rsidRPr="00F43AA7">
        <w:rPr>
          <w:bCs/>
          <w:spacing w:val="-2"/>
        </w:rPr>
        <w:t xml:space="preserve">ning </w:t>
      </w:r>
      <w:r w:rsidRPr="00F43AA7">
        <w:rPr>
          <w:bCs/>
          <w:spacing w:val="-6"/>
        </w:rPr>
        <w:t xml:space="preserve">(2007/08:Ub517), Studiestöd (2007/08:Ub512) Lex Tibble (2007/08:Ub203). </w:t>
      </w:r>
    </w:p>
    <w:p w:rsidR="00AD365E" w:rsidRPr="00F43AA7" w:rsidRDefault="00AD365E">
      <w:pPr>
        <w:pStyle w:val="Rubrik1"/>
        <w:shd w:val="clear" w:color="000000" w:fill="auto"/>
      </w:pPr>
      <w:r w:rsidRPr="00F43AA7">
        <w:t>Studiestöd</w:t>
      </w:r>
    </w:p>
    <w:p w:rsidR="00AD365E" w:rsidRPr="00F43AA7" w:rsidRDefault="00AD365E">
      <w:pPr>
        <w:shd w:val="clear" w:color="000000" w:fill="auto"/>
        <w:rPr>
          <w:rFonts w:cs="Courier New"/>
        </w:rPr>
      </w:pPr>
      <w:r w:rsidRPr="00F43AA7">
        <w:rPr>
          <w:rFonts w:cs="Courier New"/>
        </w:rPr>
        <w:t>Socialdemokraterna vill ge fler människor möjlighet till utbildning och mö</w:t>
      </w:r>
      <w:r w:rsidRPr="00F43AA7">
        <w:rPr>
          <w:rFonts w:cs="Courier New"/>
        </w:rPr>
        <w:t>j</w:t>
      </w:r>
      <w:r w:rsidRPr="00F43AA7">
        <w:rPr>
          <w:rFonts w:cs="Courier New"/>
        </w:rPr>
        <w:t>lighet till ett livslångt lärande. Steget att påbörja en utbildning och ta studi</w:t>
      </w:r>
      <w:r w:rsidRPr="00F43AA7">
        <w:rPr>
          <w:rFonts w:cs="Courier New"/>
        </w:rPr>
        <w:t>e</w:t>
      </w:r>
      <w:r w:rsidRPr="00F43AA7">
        <w:rPr>
          <w:rFonts w:cs="Courier New"/>
        </w:rPr>
        <w:t>lån kan upplevas som olika stort för olika människor. Tyvärr spelar fortfara</w:t>
      </w:r>
      <w:r w:rsidRPr="00F43AA7">
        <w:rPr>
          <w:rFonts w:cs="Courier New"/>
        </w:rPr>
        <w:t>n</w:t>
      </w:r>
      <w:r w:rsidRPr="00F43AA7">
        <w:rPr>
          <w:rFonts w:cs="Courier New"/>
        </w:rPr>
        <w:t>de samhällsklass och bakgrund stor roll för utbildning. Ett generöst och flex</w:t>
      </w:r>
      <w:r w:rsidRPr="00F43AA7">
        <w:rPr>
          <w:rFonts w:cs="Courier New"/>
        </w:rPr>
        <w:t>i</w:t>
      </w:r>
      <w:r w:rsidRPr="00F43AA7">
        <w:rPr>
          <w:rFonts w:cs="Courier New"/>
        </w:rPr>
        <w:t>belt studiestödssystem har en central roll för att bryta dessa mönster. Studi</w:t>
      </w:r>
      <w:r w:rsidRPr="00F43AA7">
        <w:rPr>
          <w:rFonts w:cs="Courier New"/>
        </w:rPr>
        <w:t>e</w:t>
      </w:r>
      <w:r w:rsidRPr="00F43AA7">
        <w:rPr>
          <w:rFonts w:cs="Courier New"/>
        </w:rPr>
        <w:t xml:space="preserve">medlen för högre utbildning bör öka som en följd av att Socialdemokraterna föreslår fler högskoleplatser. </w:t>
      </w:r>
    </w:p>
    <w:p w:rsidR="00AD365E" w:rsidRPr="00F43AA7" w:rsidRDefault="00AD365E">
      <w:pPr>
        <w:pStyle w:val="Rubrik1"/>
        <w:shd w:val="clear" w:color="000000" w:fill="auto"/>
      </w:pPr>
      <w:r w:rsidRPr="00F43AA7">
        <w:t>Vuxenutbildning</w:t>
      </w:r>
    </w:p>
    <w:p w:rsidR="00AD365E" w:rsidRPr="00F43AA7" w:rsidRDefault="00AD365E">
      <w:pPr>
        <w:shd w:val="clear" w:color="000000" w:fill="auto"/>
      </w:pPr>
      <w:r w:rsidRPr="00F43AA7">
        <w:t>Utbildning är en rättighet för alla. Men alla har vi olika förutsättningar att tillgodogöra oss denna rättighet under olika perioder av livet. Det kommer alltid att finnas elever som av olika skäl behöver fylla igen kunskapsluckor i vuxen ålder. Därför är det för oss socialdemokrater självklart att alla ska få mer än en chans att skaffa sig de kunskaper som behövs för att kunna leva ett gott liv och vara efterfrågade på arbetsmarknaden. De förändringar som ko</w:t>
      </w:r>
      <w:r w:rsidRPr="00F43AA7">
        <w:t>n</w:t>
      </w:r>
      <w:r w:rsidRPr="00F43AA7">
        <w:t>stant pågår på arbetsmarknaden gör att arbetskraften ständigt har ett behov av kunskapspåfyllnad. Att satsa på vuxenutbildning är ett av de mest effektiva sätten att bryta kunskapsklyftor mellan människor och minska segregationen. Den borgerliga regeringen har gjort drastiska nedskärningar i det statliga stödet till vuxenutbildningen. De 600 miljoner kronor som drogs ned i ansl</w:t>
      </w:r>
      <w:r w:rsidRPr="00F43AA7">
        <w:t>a</w:t>
      </w:r>
      <w:r w:rsidRPr="00F43AA7">
        <w:t xml:space="preserve">get till komvux vill vi återinföra. </w:t>
      </w:r>
    </w:p>
    <w:p w:rsidR="00AD365E" w:rsidRPr="00F43AA7" w:rsidRDefault="00AD365E">
      <w:pPr>
        <w:pStyle w:val="Rubrik1"/>
        <w:shd w:val="clear" w:color="000000" w:fill="auto"/>
      </w:pPr>
      <w:r w:rsidRPr="00F43AA7">
        <w:t xml:space="preserve">Högre utbildning </w:t>
      </w:r>
    </w:p>
    <w:p w:rsidR="00AD365E" w:rsidRPr="00F43AA7" w:rsidRDefault="00AD365E">
      <w:pPr>
        <w:shd w:val="clear" w:color="000000" w:fill="auto"/>
      </w:pPr>
      <w:r w:rsidRPr="00F43AA7">
        <w:t>Sverige ska vara en ledande kunskapsnation. De människor och nationer som är bäst förberedda att möta den allt snabbare globaliseringen kommer att kunna hävda sig bättre i framtiden. Utbildning och forskning har därför ce</w:t>
      </w:r>
      <w:r w:rsidRPr="00F43AA7">
        <w:t>n</w:t>
      </w:r>
      <w:r w:rsidRPr="00F43AA7">
        <w:t>tral betydelse för välfärdens tillväxt och utveckling. Satsningar på utbildning på alla nivåer bryter väg för kunskapssamhället.</w:t>
      </w:r>
    </w:p>
    <w:p w:rsidR="00AD365E" w:rsidRPr="00F43AA7" w:rsidRDefault="00AD365E">
      <w:pPr>
        <w:pStyle w:val="Normaltindrag"/>
        <w:shd w:val="clear" w:color="000000" w:fill="auto"/>
      </w:pPr>
      <w:r w:rsidRPr="00F43AA7">
        <w:t>Utbildning är en avgörande förutsättning för att befästa demokratin och u</w:t>
      </w:r>
      <w:r w:rsidRPr="00F43AA7">
        <w:t>t</w:t>
      </w:r>
      <w:r w:rsidRPr="00F43AA7">
        <w:t xml:space="preserve">jämna olikheter i fördelningen av välfärd, inflytande och möjligheter till att aktivt delta i samhället. Alla människors rätt till kunskap och utveckling är utgångspunkt för socialdemokratisk utbildningspolitik. Kunskapssamhället skall stå öppet för alla. </w:t>
      </w:r>
    </w:p>
    <w:p w:rsidR="00AD365E" w:rsidRPr="00F43AA7" w:rsidRDefault="00AD365E">
      <w:pPr>
        <w:pStyle w:val="Normaltindrag"/>
        <w:shd w:val="clear" w:color="000000" w:fill="auto"/>
      </w:pPr>
      <w:r w:rsidRPr="00F43AA7">
        <w:t>Kunskap blir inte mindre för att den delas av fler – tvärtom. Tillväxt och välfärd förutsätter en hög utbildningsnivå i hela befolkningen. Kunskapsse</w:t>
      </w:r>
      <w:r w:rsidRPr="00F43AA7">
        <w:t>g</w:t>
      </w:r>
      <w:r w:rsidRPr="00F43AA7">
        <w:t>regation innebär att samhället inte tar vara på alla de människor och de ku</w:t>
      </w:r>
      <w:r w:rsidRPr="00F43AA7">
        <w:t>n</w:t>
      </w:r>
      <w:r w:rsidRPr="00F43AA7">
        <w:t>skaper som finns i samhället. Ojämlikheter i tillgången till utbildning betyder dessutom ojämlikheter i makt både över det egna livet och i samhället. U</w:t>
      </w:r>
      <w:r w:rsidRPr="00F43AA7">
        <w:t>t</w:t>
      </w:r>
      <w:r w:rsidRPr="00F43AA7">
        <w:t xml:space="preserve">bildningspolitiken är därför central för socialdemokratins fördelningspolitik i kunskapssamhället. </w:t>
      </w:r>
    </w:p>
    <w:p w:rsidR="00AD365E" w:rsidRPr="00F43AA7" w:rsidRDefault="00AD365E">
      <w:pPr>
        <w:pStyle w:val="Normaltindrag"/>
        <w:shd w:val="clear" w:color="000000" w:fill="auto"/>
        <w:rPr>
          <w:bCs/>
        </w:rPr>
      </w:pPr>
      <w:r w:rsidRPr="00F43AA7">
        <w:rPr>
          <w:bCs/>
        </w:rPr>
        <w:t>Vi anser att den neddragning av antalet högskoleplatser som regeringen f</w:t>
      </w:r>
      <w:r w:rsidRPr="00F43AA7">
        <w:rPr>
          <w:bCs/>
        </w:rPr>
        <w:t>ö</w:t>
      </w:r>
      <w:r w:rsidRPr="00F43AA7">
        <w:rPr>
          <w:bCs/>
        </w:rPr>
        <w:t>reslår är fel. Sverige behöver fler högutbildade, inte färre. Särskilt inte samt</w:t>
      </w:r>
      <w:r w:rsidRPr="00F43AA7">
        <w:rPr>
          <w:bCs/>
        </w:rPr>
        <w:t>i</w:t>
      </w:r>
      <w:r w:rsidRPr="00F43AA7">
        <w:rPr>
          <w:bCs/>
        </w:rPr>
        <w:t>digt som ungdomskullarna växer. Det innebär att den generation som nu går ut gymnasiet får allt svårare att få en högskoleplats jämfört med tidigare gen</w:t>
      </w:r>
      <w:r w:rsidRPr="00F43AA7">
        <w:rPr>
          <w:bCs/>
        </w:rPr>
        <w:t>e</w:t>
      </w:r>
      <w:r w:rsidRPr="00F43AA7">
        <w:rPr>
          <w:bCs/>
        </w:rPr>
        <w:t xml:space="preserve">rationer. </w:t>
      </w:r>
      <w:r w:rsidRPr="00F43AA7">
        <w:t>Från år 2006 till år 2010 ökar antalet 20-åringar som mest: från 112 400 till 132 800, dvs. med drygt 20 000 personer. Med regeringens fö</w:t>
      </w:r>
      <w:r w:rsidRPr="00F43AA7">
        <w:t>r</w:t>
      </w:r>
      <w:r w:rsidRPr="00F43AA7">
        <w:t>slag kommer andelen som påbörjar en högre utbildning att sjunka från knappt 44 till 38 procent fram till 2010. Vi vill istället ö</w:t>
      </w:r>
      <w:r w:rsidRPr="00F43AA7">
        <w:t xml:space="preserve">ka antalet högskoleplatser med 7 500. </w:t>
      </w:r>
    </w:p>
    <w:p w:rsidR="00AD365E" w:rsidRPr="00F43AA7" w:rsidRDefault="00AD365E">
      <w:pPr>
        <w:pStyle w:val="Rubrik1"/>
        <w:shd w:val="clear" w:color="000000" w:fill="auto"/>
      </w:pPr>
      <w:r w:rsidRPr="00F43AA7">
        <w:t>Forskning</w:t>
      </w:r>
    </w:p>
    <w:p w:rsidR="00AD365E" w:rsidRPr="00F43AA7" w:rsidRDefault="00AD365E">
      <w:pPr>
        <w:shd w:val="clear" w:color="000000" w:fill="auto"/>
      </w:pPr>
      <w:r w:rsidRPr="00F43AA7">
        <w:t>Sverige ska vara en ledande kunskaps- och forskningsnation. Kunskap är grunden för en gynnsam samhällsutveckling och vårt främsta internationella k</w:t>
      </w:r>
      <w:r w:rsidRPr="00F43AA7">
        <w:rPr>
          <w:spacing w:val="-2"/>
        </w:rPr>
        <w:t>onkurrensmedel. Det kräver fortsatt stora insatser av både staten och när</w:t>
      </w:r>
      <w:r w:rsidRPr="00F43AA7">
        <w:t>ing</w:t>
      </w:r>
      <w:r w:rsidRPr="00F43AA7">
        <w:t>s</w:t>
      </w:r>
      <w:r w:rsidRPr="00F43AA7">
        <w:t>livet. Investeringar i forskning återbetalar sig i form av kunskap och utvec</w:t>
      </w:r>
      <w:r w:rsidRPr="00F43AA7">
        <w:t>k</w:t>
      </w:r>
      <w:r w:rsidRPr="00F43AA7">
        <w:t>ling av samhället samt bidrar till tillväxt inom näringslivet. All forskning skall hålla hög kvalitet och forskningsinsatserna skall rymma både bredd och djup. Socialdemokraterna är kritiska till regeringens nedläggning av Arbetslivsi</w:t>
      </w:r>
      <w:r w:rsidRPr="00F43AA7">
        <w:t>n</w:t>
      </w:r>
      <w:r w:rsidRPr="00F43AA7">
        <w:t>stitutet. Det är viktigt att även i fortsättningen forska på arbetsrelaterade o</w:t>
      </w:r>
      <w:r w:rsidRPr="00F43AA7">
        <w:t>m</w:t>
      </w:r>
      <w:r w:rsidRPr="00F43AA7">
        <w:t>råden. Socialdemokraterna vill satsa mer pe</w:t>
      </w:r>
      <w:r w:rsidRPr="00F43AA7">
        <w:t>ngar på forskning än regeringen. Vi föreslår att anslagen till grundforskning skall öka med 400 miljoner kronor mer jämfört med regeringens förslag. Därutöver föreslår vi ökade forskning</w:t>
      </w:r>
      <w:r w:rsidRPr="00F43AA7">
        <w:t>s</w:t>
      </w:r>
      <w:r w:rsidRPr="00F43AA7">
        <w:t xml:space="preserve">anslag inom företagspolitiken och ett investerings- och forskningsprogram inom energipolitiken.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AA7">
        <w:trPr>
          <w:cantSplit/>
        </w:trPr>
        <w:tc>
          <w:tcPr>
            <w:tcW w:w="3046" w:type="dxa"/>
          </w:tcPr>
          <w:p w:rsidR="00AD365E" w:rsidRPr="00F43AA7" w:rsidRDefault="00AD365E">
            <w:pPr>
              <w:pStyle w:val="UnderskriftDatum"/>
              <w:shd w:val="clear" w:color="000000" w:fill="auto"/>
              <w:spacing w:before="240"/>
            </w:pPr>
            <w:r w:rsidRPr="00F43AA7">
              <w:t>Stockholm den 3 oktober 2007</w:t>
            </w:r>
          </w:p>
        </w:tc>
        <w:tc>
          <w:tcPr>
            <w:tcW w:w="3047" w:type="dxa"/>
          </w:tcPr>
          <w:p w:rsidR="00AD365E" w:rsidRPr="00F43AA7" w:rsidRDefault="00AD365E">
            <w:pPr>
              <w:pStyle w:val="Underskrifter"/>
              <w:shd w:val="clear" w:color="000000" w:fill="auto"/>
              <w:spacing w:before="240"/>
            </w:pPr>
          </w:p>
        </w:tc>
      </w:tr>
      <w:tr w:rsidR="00000000" w:rsidRPr="00F43AA7">
        <w:trPr>
          <w:cantSplit/>
        </w:trPr>
        <w:tc>
          <w:tcPr>
            <w:tcW w:w="3046" w:type="dxa"/>
          </w:tcPr>
          <w:p w:rsidR="00AD365E" w:rsidRPr="00F43AA7" w:rsidRDefault="00AD365E">
            <w:pPr>
              <w:pStyle w:val="Underskrifter"/>
              <w:shd w:val="clear" w:color="000000" w:fill="auto"/>
            </w:pPr>
            <w:r w:rsidRPr="00F43AA7">
              <w:t>Marie Granlund (s)</w:t>
            </w:r>
          </w:p>
        </w:tc>
        <w:tc>
          <w:tcPr>
            <w:tcW w:w="3046" w:type="dxa"/>
          </w:tcPr>
          <w:p w:rsidR="00AD365E" w:rsidRPr="00F43AA7" w:rsidRDefault="00AD365E">
            <w:pPr>
              <w:pStyle w:val="Underskrifter"/>
              <w:shd w:val="clear" w:color="000000" w:fill="auto"/>
            </w:pPr>
          </w:p>
        </w:tc>
      </w:tr>
      <w:tr w:rsidR="00000000" w:rsidRPr="00F43AA7">
        <w:trPr>
          <w:cantSplit/>
        </w:trPr>
        <w:tc>
          <w:tcPr>
            <w:tcW w:w="3046" w:type="dxa"/>
          </w:tcPr>
          <w:p w:rsidR="00AD365E" w:rsidRPr="00F43AA7" w:rsidRDefault="00AD365E">
            <w:pPr>
              <w:pStyle w:val="Underskrifter"/>
              <w:shd w:val="clear" w:color="000000" w:fill="auto"/>
            </w:pPr>
            <w:r w:rsidRPr="00F43AA7">
              <w:t>Mikael Damberg (s)</w:t>
            </w:r>
          </w:p>
        </w:tc>
        <w:tc>
          <w:tcPr>
            <w:tcW w:w="3046" w:type="dxa"/>
          </w:tcPr>
          <w:p w:rsidR="00AD365E" w:rsidRPr="00F43AA7" w:rsidRDefault="00AD365E">
            <w:pPr>
              <w:pStyle w:val="Underskrifter"/>
              <w:shd w:val="clear" w:color="000000" w:fill="auto"/>
            </w:pPr>
            <w:r w:rsidRPr="00F43AA7">
              <w:t>Agneta Lundberg (s)</w:t>
            </w:r>
          </w:p>
        </w:tc>
      </w:tr>
      <w:tr w:rsidR="00000000" w:rsidRPr="00F43AA7">
        <w:trPr>
          <w:cantSplit/>
        </w:trPr>
        <w:tc>
          <w:tcPr>
            <w:tcW w:w="3046" w:type="dxa"/>
          </w:tcPr>
          <w:p w:rsidR="00AD365E" w:rsidRPr="00F43AA7" w:rsidRDefault="00AD365E">
            <w:pPr>
              <w:pStyle w:val="Underskrifter"/>
              <w:shd w:val="clear" w:color="000000" w:fill="auto"/>
            </w:pPr>
            <w:r w:rsidRPr="00F43AA7">
              <w:t>Louise Malmström (s)</w:t>
            </w:r>
          </w:p>
        </w:tc>
        <w:tc>
          <w:tcPr>
            <w:tcW w:w="3046" w:type="dxa"/>
          </w:tcPr>
          <w:p w:rsidR="00AD365E" w:rsidRPr="00F43AA7" w:rsidRDefault="00AD365E">
            <w:pPr>
              <w:pStyle w:val="Underskrifter"/>
              <w:shd w:val="clear" w:color="000000" w:fill="auto"/>
            </w:pPr>
            <w:r w:rsidRPr="00F43AA7">
              <w:t>Peter Hultqvist (s)</w:t>
            </w:r>
          </w:p>
        </w:tc>
      </w:tr>
      <w:tr w:rsidR="00000000" w:rsidRPr="00F43AA7">
        <w:trPr>
          <w:cantSplit/>
        </w:trPr>
        <w:tc>
          <w:tcPr>
            <w:tcW w:w="3046" w:type="dxa"/>
          </w:tcPr>
          <w:p w:rsidR="00AD365E" w:rsidRPr="00F43AA7" w:rsidRDefault="00AD365E">
            <w:pPr>
              <w:pStyle w:val="Underskrifter"/>
              <w:shd w:val="clear" w:color="000000" w:fill="auto"/>
            </w:pPr>
            <w:r w:rsidRPr="00F43AA7">
              <w:t>Thomas Strand (s)</w:t>
            </w:r>
          </w:p>
        </w:tc>
        <w:tc>
          <w:tcPr>
            <w:tcW w:w="3046" w:type="dxa"/>
          </w:tcPr>
          <w:p w:rsidR="00AD365E" w:rsidRPr="00F43AA7" w:rsidRDefault="00AD365E">
            <w:pPr>
              <w:pStyle w:val="Underskrifter"/>
              <w:shd w:val="clear" w:color="000000" w:fill="auto"/>
            </w:pPr>
            <w:r w:rsidRPr="00F43AA7">
              <w:t>Caroline  Helmersson-Olsson (s)</w:t>
            </w:r>
          </w:p>
        </w:tc>
      </w:tr>
    </w:tbl>
    <w:p w:rsidR="00AD365E" w:rsidRPr="00F43AA7" w:rsidRDefault="00AD365E">
      <w:pPr>
        <w:pStyle w:val="Normaltindrag"/>
        <w:shd w:val="clear" w:color="000000" w:fill="auto"/>
      </w:pPr>
    </w:p>
    <w:sectPr w:rsidR="00AD365E" w:rsidRPr="00F43A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65E" w:rsidRPr="00F43AA7" w:rsidRDefault="00AD365E">
      <w:r w:rsidRPr="00F43AA7">
        <w:separator/>
      </w:r>
    </w:p>
  </w:endnote>
  <w:endnote w:type="continuationSeparator" w:id="0">
    <w:p w:rsidR="00AD365E" w:rsidRPr="00F43AA7" w:rsidRDefault="00AD365E">
      <w:r w:rsidRPr="00F43A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65E" w:rsidRPr="00F43AA7" w:rsidRDefault="00F43AA7">
    <w:pPr>
      <w:pStyle w:val="Sidfot"/>
    </w:pPr>
    <w:r w:rsidRPr="00F43A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955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65E" w:rsidRDefault="00AD36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65E" w:rsidRDefault="00AD36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65E" w:rsidRPr="00F43AA7" w:rsidRDefault="00F43AA7">
    <w:pPr>
      <w:pStyle w:val="Sidfot"/>
    </w:pPr>
    <w:r w:rsidRPr="00F43A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865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65E" w:rsidRDefault="00AD36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65E" w:rsidRDefault="00AD36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65E" w:rsidRPr="00F43AA7" w:rsidRDefault="00F43AA7">
    <w:pPr>
      <w:pStyle w:val="Sidfot"/>
    </w:pPr>
    <w:r w:rsidRPr="00F43A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699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65E" w:rsidRDefault="00AD36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65E" w:rsidRDefault="00AD36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65E" w:rsidRPr="00F43AA7" w:rsidRDefault="00AD365E">
      <w:r w:rsidRPr="00F43AA7">
        <w:separator/>
      </w:r>
    </w:p>
  </w:footnote>
  <w:footnote w:type="continuationSeparator" w:id="0">
    <w:p w:rsidR="00AD365E" w:rsidRPr="00F43AA7" w:rsidRDefault="00AD365E">
      <w:r w:rsidRPr="00F43A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65E" w:rsidRPr="00F43AA7" w:rsidRDefault="00F43AA7">
    <w:pPr>
      <w:pStyle w:val="Sidhuvud"/>
    </w:pPr>
    <w:r w:rsidRPr="00F43A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093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65E" w:rsidRDefault="00AD36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65E" w:rsidRDefault="00AD36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65E" w:rsidRPr="00F43AA7" w:rsidRDefault="00F43AA7">
    <w:pPr>
      <w:pStyle w:val="Sidhuvud"/>
    </w:pPr>
    <w:r w:rsidRPr="00F43A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865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65E" w:rsidRDefault="00AD36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65E" w:rsidRDefault="00AD36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65E" w:rsidRPr="00F43AA7" w:rsidRDefault="00AD365E">
    <w:pPr>
      <w:pStyle w:val="FSHNormal"/>
      <w:tabs>
        <w:tab w:val="right" w:pos="5840"/>
      </w:tabs>
    </w:pPr>
    <w:r w:rsidRPr="00F43AA7">
      <w:br/>
    </w:r>
    <w:r w:rsidRPr="00F43AA7">
      <w:fldChar w:fldCharType="begin" w:fldLock="1"/>
    </w:r>
    <w:r w:rsidRPr="00F43AA7">
      <w:instrText xml:space="preserve"> DOCPROPERTY</w:instrText>
    </w:r>
    <w:r w:rsidRPr="00F43AA7">
      <w:rPr>
        <w:sz w:val="18"/>
      </w:rPr>
      <w:instrText xml:space="preserve"> "YearUser" *\charformat </w:instrText>
    </w:r>
    <w:r w:rsidRPr="00F43AA7">
      <w:fldChar w:fldCharType="separate"/>
    </w:r>
    <w:r w:rsidRPr="00F43AA7">
      <w:t>2007/08</w:t>
    </w:r>
    <w:r w:rsidRPr="00F43AA7">
      <w:fldChar w:fldCharType="end"/>
    </w:r>
    <w:r w:rsidRPr="00F43AA7">
      <w:t xml:space="preserve"> </w:t>
    </w:r>
    <w:r w:rsidRPr="00F43AA7">
      <w:tab/>
      <w:t xml:space="preserve">mnr: </w:t>
    </w:r>
    <w:r w:rsidRPr="00F43AA7">
      <w:fldChar w:fldCharType="begin" w:fldLock="1"/>
    </w:r>
    <w:r w:rsidRPr="00F43AA7">
      <w:instrText xml:space="preserve"> DOCPROPERTY</w:instrText>
    </w:r>
    <w:r w:rsidRPr="00F43AA7">
      <w:rPr>
        <w:sz w:val="18"/>
      </w:rPr>
      <w:instrText xml:space="preserve"> "Motionsnummer" *\charformat </w:instrText>
    </w:r>
    <w:r w:rsidRPr="00F43AA7">
      <w:fldChar w:fldCharType="separate"/>
    </w:r>
    <w:r w:rsidRPr="00F43AA7">
      <w:t>Ub556</w:t>
    </w:r>
    <w:r w:rsidRPr="00F43AA7">
      <w:fldChar w:fldCharType="end"/>
    </w:r>
    <w:r w:rsidRPr="00F43AA7">
      <w:br/>
    </w:r>
    <w:r w:rsidRPr="00F43AA7">
      <w:fldChar w:fldCharType="begin" w:fldLock="1"/>
    </w:r>
    <w:r w:rsidRPr="00F43AA7">
      <w:instrText xml:space="preserve"> DOCPROPERTY</w:instrText>
    </w:r>
    <w:r w:rsidRPr="00F43AA7">
      <w:rPr>
        <w:sz w:val="18"/>
      </w:rPr>
      <w:instrText xml:space="preserve"> "Samling" *\charformat </w:instrText>
    </w:r>
    <w:r w:rsidRPr="00F43AA7">
      <w:fldChar w:fldCharType="end"/>
    </w:r>
    <w:r w:rsidRPr="00F43AA7">
      <w:tab/>
      <w:t xml:space="preserve">pnr: </w:t>
    </w:r>
    <w:r w:rsidRPr="00F43AA7">
      <w:fldChar w:fldCharType="begin" w:fldLock="1"/>
    </w:r>
    <w:r w:rsidRPr="00F43AA7">
      <w:instrText xml:space="preserve"> DOCPROPERTY</w:instrText>
    </w:r>
    <w:r w:rsidRPr="00F43AA7">
      <w:rPr>
        <w:sz w:val="18"/>
      </w:rPr>
      <w:instrText xml:space="preserve"> "Partinummer" *\charformat </w:instrText>
    </w:r>
    <w:r w:rsidRPr="00F43AA7">
      <w:fldChar w:fldCharType="separate"/>
    </w:r>
    <w:r w:rsidRPr="00F43AA7">
      <w:t>s68025</w:t>
    </w:r>
    <w:r w:rsidRPr="00F43AA7">
      <w:fldChar w:fldCharType="end"/>
    </w:r>
  </w:p>
  <w:p w:rsidR="00AD365E" w:rsidRPr="00F43AA7" w:rsidRDefault="00AD365E">
    <w:pPr>
      <w:pStyle w:val="FSHRub1"/>
    </w:pPr>
    <w:r w:rsidRPr="00F43AA7">
      <w:t>Motion till riksdagen</w:t>
    </w:r>
    <w:r w:rsidRPr="00F43AA7">
      <w:br/>
    </w:r>
    <w:r w:rsidRPr="00F43AA7">
      <w:fldChar w:fldCharType="begin" w:fldLock="1"/>
    </w:r>
    <w:r w:rsidRPr="00F43AA7">
      <w:instrText xml:space="preserve"> DOCPROPERTY "YearUser" *\charformat </w:instrText>
    </w:r>
    <w:r w:rsidRPr="00F43AA7">
      <w:fldChar w:fldCharType="separate"/>
    </w:r>
    <w:r w:rsidRPr="00F43AA7">
      <w:t>2007/08</w:t>
    </w:r>
    <w:r w:rsidRPr="00F43AA7">
      <w:fldChar w:fldCharType="end"/>
    </w:r>
    <w:r w:rsidRPr="00F43AA7">
      <w:t>:</w:t>
    </w:r>
    <w:r w:rsidRPr="00F43AA7">
      <w:fldChar w:fldCharType="begin" w:fldLock="1"/>
    </w:r>
    <w:r w:rsidRPr="00F43AA7">
      <w:instrText xml:space="preserve"> DOCPROPERTY "Motionsnummer" *\charformat </w:instrText>
    </w:r>
    <w:r w:rsidRPr="00F43AA7">
      <w:fldChar w:fldCharType="separate"/>
    </w:r>
    <w:r w:rsidRPr="00F43AA7">
      <w:t>Ub556</w:t>
    </w:r>
    <w:r w:rsidRPr="00F43AA7">
      <w:fldChar w:fldCharType="end"/>
    </w:r>
  </w:p>
  <w:p w:rsidR="00AD365E" w:rsidRPr="00F43AA7" w:rsidRDefault="00AD365E">
    <w:pPr>
      <w:pStyle w:val="FSHNormalS5"/>
    </w:pPr>
    <w:r w:rsidRPr="00F43AA7">
      <w:fldChar w:fldCharType="begin" w:fldLock="1"/>
    </w:r>
    <w:r w:rsidRPr="00F43AA7">
      <w:instrText xml:space="preserve"> DOCPROPERTY "MotionarText" *\charformat </w:instrText>
    </w:r>
    <w:r w:rsidRPr="00F43AA7">
      <w:fldChar w:fldCharType="separate"/>
    </w:r>
    <w:r w:rsidRPr="00F43AA7">
      <w:t>av Marie Granlund m.fl. (s)</w:t>
    </w:r>
    <w:r w:rsidRPr="00F43AA7">
      <w:fldChar w:fldCharType="end"/>
    </w:r>
    <w:r w:rsidRPr="00F43AA7">
      <w:br/>
    </w:r>
    <w:r w:rsidRPr="00F43AA7">
      <w:fldChar w:fldCharType="begin" w:fldLock="1"/>
    </w:r>
    <w:r w:rsidRPr="00F43AA7">
      <w:instrText xml:space="preserve"> DOCPROPERTY "SvarFrasKort" *\charformat </w:instrText>
    </w:r>
    <w:r w:rsidRPr="00F43AA7">
      <w:fldChar w:fldCharType="end"/>
    </w:r>
  </w:p>
  <w:p w:rsidR="00AD365E" w:rsidRPr="00F43AA7" w:rsidRDefault="00AD365E">
    <w:pPr>
      <w:pStyle w:val="FSHTitel"/>
    </w:pPr>
    <w:r w:rsidRPr="00F43AA7">
      <w:fldChar w:fldCharType="begin" w:fldLock="1"/>
    </w:r>
    <w:r w:rsidRPr="00F43AA7">
      <w:instrText xml:space="preserve"> DOCPROPERTY</w:instrText>
    </w:r>
    <w:r w:rsidRPr="00F43AA7">
      <w:rPr>
        <w:sz w:val="18"/>
      </w:rPr>
      <w:instrText xml:space="preserve"> "RubrikSvar" *\charformat </w:instrText>
    </w:r>
    <w:r w:rsidRPr="00F43AA7">
      <w:fldChar w:fldCharType="separate"/>
    </w:r>
    <w:r w:rsidRPr="00F43AA7">
      <w:t>Utgiftsområde 15 Studiestöd och utgiftsområde16 Utbildning och universitetsforskning</w:t>
    </w:r>
    <w:r w:rsidRPr="00F43AA7">
      <w:fldChar w:fldCharType="end"/>
    </w:r>
  </w:p>
  <w:p w:rsidR="00AD365E" w:rsidRPr="00F43AA7" w:rsidRDefault="00AD365E">
    <w:pPr>
      <w:pStyle w:val="Normal00"/>
    </w:pPr>
  </w:p>
  <w:p w:rsidR="00AD365E" w:rsidRPr="00F43AA7" w:rsidRDefault="00AD36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68513C"/>
    <w:multiLevelType w:val="hybridMultilevel"/>
    <w:tmpl w:val="5B6472E2"/>
    <w:lvl w:ilvl="0" w:tplc="3B3CCA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9800E7"/>
    <w:multiLevelType w:val="hybridMultilevel"/>
    <w:tmpl w:val="9E442024"/>
    <w:lvl w:ilvl="0" w:tplc="BA5E54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00F3B24"/>
    <w:multiLevelType w:val="hybridMultilevel"/>
    <w:tmpl w:val="0220C2A8"/>
    <w:lvl w:ilvl="0" w:tplc="37D0AE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7A00D48E">
      <w:start w:val="1"/>
      <w:numFmt w:val="decimal"/>
      <w:lvlText w:val="%1."/>
      <w:lvlJc w:val="left"/>
      <w:pPr>
        <w:tabs>
          <w:tab w:val="num" w:pos="340"/>
        </w:tabs>
        <w:ind w:left="340" w:hanging="340"/>
      </w:pPr>
      <w:rPr>
        <w:rFonts w:cs="Times New Roman"/>
      </w:rPr>
    </w:lvl>
    <w:lvl w:ilvl="1" w:tplc="E7DEF398" w:tentative="1">
      <w:start w:val="1"/>
      <w:numFmt w:val="lowerLetter"/>
      <w:lvlText w:val="%2."/>
      <w:lvlJc w:val="left"/>
      <w:pPr>
        <w:tabs>
          <w:tab w:val="num" w:pos="1440"/>
        </w:tabs>
        <w:ind w:left="1440" w:hanging="360"/>
      </w:pPr>
      <w:rPr>
        <w:rFonts w:cs="Times New Roman"/>
      </w:rPr>
    </w:lvl>
    <w:lvl w:ilvl="2" w:tplc="AE207F96" w:tentative="1">
      <w:start w:val="1"/>
      <w:numFmt w:val="lowerRoman"/>
      <w:lvlText w:val="%3."/>
      <w:lvlJc w:val="right"/>
      <w:pPr>
        <w:tabs>
          <w:tab w:val="num" w:pos="2160"/>
        </w:tabs>
        <w:ind w:left="2160" w:hanging="180"/>
      </w:pPr>
      <w:rPr>
        <w:rFonts w:cs="Times New Roman"/>
      </w:rPr>
    </w:lvl>
    <w:lvl w:ilvl="3" w:tplc="1430F4C8" w:tentative="1">
      <w:start w:val="1"/>
      <w:numFmt w:val="decimal"/>
      <w:lvlText w:val="%4."/>
      <w:lvlJc w:val="left"/>
      <w:pPr>
        <w:tabs>
          <w:tab w:val="num" w:pos="2880"/>
        </w:tabs>
        <w:ind w:left="2880" w:hanging="360"/>
      </w:pPr>
      <w:rPr>
        <w:rFonts w:cs="Times New Roman"/>
      </w:rPr>
    </w:lvl>
    <w:lvl w:ilvl="4" w:tplc="4A80907A" w:tentative="1">
      <w:start w:val="1"/>
      <w:numFmt w:val="lowerLetter"/>
      <w:lvlText w:val="%5."/>
      <w:lvlJc w:val="left"/>
      <w:pPr>
        <w:tabs>
          <w:tab w:val="num" w:pos="3600"/>
        </w:tabs>
        <w:ind w:left="3600" w:hanging="360"/>
      </w:pPr>
      <w:rPr>
        <w:rFonts w:cs="Times New Roman"/>
      </w:rPr>
    </w:lvl>
    <w:lvl w:ilvl="5" w:tplc="412A6C9A" w:tentative="1">
      <w:start w:val="1"/>
      <w:numFmt w:val="lowerRoman"/>
      <w:lvlText w:val="%6."/>
      <w:lvlJc w:val="right"/>
      <w:pPr>
        <w:tabs>
          <w:tab w:val="num" w:pos="4320"/>
        </w:tabs>
        <w:ind w:left="4320" w:hanging="180"/>
      </w:pPr>
      <w:rPr>
        <w:rFonts w:cs="Times New Roman"/>
      </w:rPr>
    </w:lvl>
    <w:lvl w:ilvl="6" w:tplc="C23ABA9C" w:tentative="1">
      <w:start w:val="1"/>
      <w:numFmt w:val="decimal"/>
      <w:lvlText w:val="%7."/>
      <w:lvlJc w:val="left"/>
      <w:pPr>
        <w:tabs>
          <w:tab w:val="num" w:pos="5040"/>
        </w:tabs>
        <w:ind w:left="5040" w:hanging="360"/>
      </w:pPr>
      <w:rPr>
        <w:rFonts w:cs="Times New Roman"/>
      </w:rPr>
    </w:lvl>
    <w:lvl w:ilvl="7" w:tplc="A61E574A" w:tentative="1">
      <w:start w:val="1"/>
      <w:numFmt w:val="lowerLetter"/>
      <w:lvlText w:val="%8."/>
      <w:lvlJc w:val="left"/>
      <w:pPr>
        <w:tabs>
          <w:tab w:val="num" w:pos="5760"/>
        </w:tabs>
        <w:ind w:left="5760" w:hanging="360"/>
      </w:pPr>
      <w:rPr>
        <w:rFonts w:cs="Times New Roman"/>
      </w:rPr>
    </w:lvl>
    <w:lvl w:ilvl="8" w:tplc="329E2DC2" w:tentative="1">
      <w:start w:val="1"/>
      <w:numFmt w:val="lowerRoman"/>
      <w:lvlText w:val="%9."/>
      <w:lvlJc w:val="right"/>
      <w:pPr>
        <w:tabs>
          <w:tab w:val="num" w:pos="6480"/>
        </w:tabs>
        <w:ind w:left="6480" w:hanging="180"/>
      </w:pPr>
      <w:rPr>
        <w:rFonts w:cs="Times New Roman"/>
      </w:rPr>
    </w:lvl>
  </w:abstractNum>
  <w:num w:numId="1" w16cid:durableId="539049700">
    <w:abstractNumId w:val="8"/>
  </w:num>
  <w:num w:numId="2" w16cid:durableId="51464943">
    <w:abstractNumId w:val="9"/>
  </w:num>
  <w:num w:numId="3" w16cid:durableId="1824080535">
    <w:abstractNumId w:val="8"/>
  </w:num>
  <w:num w:numId="4" w16cid:durableId="1308630851">
    <w:abstractNumId w:val="9"/>
  </w:num>
  <w:num w:numId="5" w16cid:durableId="2134015214">
    <w:abstractNumId w:val="16"/>
  </w:num>
  <w:num w:numId="6" w16cid:durableId="2069302985">
    <w:abstractNumId w:val="10"/>
  </w:num>
  <w:num w:numId="7" w16cid:durableId="1661886362">
    <w:abstractNumId w:val="11"/>
  </w:num>
  <w:num w:numId="8" w16cid:durableId="1749424180">
    <w:abstractNumId w:val="15"/>
  </w:num>
  <w:num w:numId="9" w16cid:durableId="921183559">
    <w:abstractNumId w:val="8"/>
  </w:num>
  <w:num w:numId="10" w16cid:durableId="1433016534">
    <w:abstractNumId w:val="3"/>
  </w:num>
  <w:num w:numId="11" w16cid:durableId="262961249">
    <w:abstractNumId w:val="2"/>
  </w:num>
  <w:num w:numId="12" w16cid:durableId="1815632879">
    <w:abstractNumId w:val="1"/>
  </w:num>
  <w:num w:numId="13" w16cid:durableId="838472291">
    <w:abstractNumId w:val="0"/>
  </w:num>
  <w:num w:numId="14" w16cid:durableId="337972788">
    <w:abstractNumId w:val="9"/>
  </w:num>
  <w:num w:numId="15" w16cid:durableId="368384540">
    <w:abstractNumId w:val="7"/>
  </w:num>
  <w:num w:numId="16" w16cid:durableId="1367632245">
    <w:abstractNumId w:val="6"/>
  </w:num>
  <w:num w:numId="17" w16cid:durableId="1945454353">
    <w:abstractNumId w:val="5"/>
  </w:num>
  <w:num w:numId="18" w16cid:durableId="578949019">
    <w:abstractNumId w:val="4"/>
  </w:num>
  <w:num w:numId="19" w16cid:durableId="1793937199">
    <w:abstractNumId w:val="13"/>
  </w:num>
  <w:num w:numId="20" w16cid:durableId="2112431971">
    <w:abstractNumId w:val="12"/>
  </w:num>
  <w:num w:numId="21" w16cid:durableId="1026250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883EFE"/>
    <w:rsid w:val="00883EFE"/>
    <w:rsid w:val="00AD365E"/>
    <w:rsid w:val="00F43A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BD75F6-E52E-47CC-9FEB-D27D3F6E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5034</Characters>
  <Application>Microsoft Office Word</Application>
  <DocSecurity>4</DocSecurity>
  <Lines>157</Lines>
  <Paragraphs>94</Paragraphs>
  <ScaleCrop>false</ScaleCrop>
  <HeadingPairs>
    <vt:vector size="2" baseType="variant">
      <vt:variant>
        <vt:lpstr>Rubrik</vt:lpstr>
      </vt:variant>
      <vt:variant>
        <vt:i4>1</vt:i4>
      </vt:variant>
    </vt:vector>
  </HeadingPairs>
  <TitlesOfParts>
    <vt:vector size="1" baseType="lpstr">
      <vt:lpstr>s68025</vt:lpstr>
    </vt:vector>
  </TitlesOfParts>
  <Company>Riksdagen</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s68025</dc:title>
  <dc:subject>s68025</dc:subject>
  <dc:creator>Riksdagen</dc:creator>
  <cp:keywords>Riksdagen</cp:keywords>
  <dc:description>TKG-ktrl, MSMQ4mb, PersReg-Distribution mm</dc:description>
  <cp:lastModifiedBy>Lars Brink</cp:lastModifiedBy>
  <cp:revision>2</cp:revision>
  <cp:lastPrinted>2007-11-02T07:52:00Z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15 Studiestöd och utgiftsområde16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 och utgiftsområde16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20072008000000000115000680250075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20072008000000000115000680250075</vt:lpwstr>
  </property>
  <property fmtid="{D5CDD505-2E9C-101B-9397-08002B2CF9AE}" pid="50" name="nummer">
    <vt:lpwstr>556</vt:lpwstr>
  </property>
  <property fmtid="{D5CDD505-2E9C-101B-9397-08002B2CF9AE}" pid="51" name="utskottsbeteckning">
    <vt:lpwstr>Ub</vt:lpwstr>
  </property>
  <property fmtid="{D5CDD505-2E9C-101B-9397-08002B2CF9AE}" pid="52" name="GlobalUID">
    <vt:lpwstr>{78704AE8-81B8-4050-8E80-3B03BBABD30C}</vt:lpwstr>
  </property>
  <property fmtid="{D5CDD505-2E9C-101B-9397-08002B2CF9AE}" pid="53" name="Överföringar">
    <vt:i4>0</vt:i4>
  </property>
  <property fmtid="{D5CDD505-2E9C-101B-9397-08002B2CF9AE}" pid="54" name="Checksum">
    <vt:lpwstr>*1003604295789*</vt:lpwstr>
  </property>
  <property fmtid="{D5CDD505-2E9C-101B-9397-08002B2CF9AE}" pid="55" name="skuggnummer">
    <vt:lpwstr>3146</vt:lpwstr>
  </property>
  <property fmtid="{D5CDD505-2E9C-101B-9397-08002B2CF9AE}" pid="56" name="urixVersion">
    <vt:lpwstr>3.2.0.8</vt:lpwstr>
  </property>
  <property fmtid="{D5CDD505-2E9C-101B-9397-08002B2CF9AE}" pid="57" name="urixOrigin">
    <vt:lpwstr>080827 13:33:28.971</vt:lpwstr>
  </property>
  <property fmtid="{D5CDD505-2E9C-101B-9397-08002B2CF9AE}" pid="58" name="urixGuid">
    <vt:lpwstr>{1F945E80-866A-42C4-A58D-504A8648A564}</vt:lpwstr>
  </property>
</Properties>
</file>