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81B" w:rsidRPr="00BF529C" w:rsidRDefault="0031181B">
      <w:pPr>
        <w:pStyle w:val="Hemstlrubrik"/>
      </w:pPr>
      <w:r w:rsidRPr="00BF529C">
        <w:t>Förslag till riksdagsbeslut</w:t>
      </w:r>
    </w:p>
    <w:p w:rsidR="0031181B" w:rsidRPr="00BF529C" w:rsidRDefault="0031181B">
      <w:pPr>
        <w:pStyle w:val="Hemstlatt"/>
        <w:ind w:left="0"/>
      </w:pPr>
      <w:r w:rsidRPr="00BF529C">
        <w:t>Riksdagen tillkännager för regeringen som sin mening vad som anförs i motionen om att regeringen utreder frågan om kommunernas skyldighet att bedriva fritidsgårdsverksamhet.</w:t>
      </w:r>
    </w:p>
    <w:p w:rsidR="0031181B" w:rsidRPr="00BF529C" w:rsidRDefault="0031181B">
      <w:pPr>
        <w:pStyle w:val="Rubrik1"/>
      </w:pPr>
      <w:r w:rsidRPr="00BF529C">
        <w:t>Motivering</w:t>
      </w:r>
    </w:p>
    <w:p w:rsidR="0031181B" w:rsidRPr="00BF529C" w:rsidRDefault="0031181B">
      <w:r w:rsidRPr="00BF529C">
        <w:rPr>
          <w:spacing w:val="2"/>
        </w:rPr>
        <w:t xml:space="preserve">På 350 kommunala och föreningsdrivna fritidsgårdar gör 52 000 ungdomar ca </w:t>
      </w:r>
      <w:r w:rsidRPr="00BF529C">
        <w:t>6,3 miljoner besök per år. Demokrati, solidaritet och omsorg utvecklas i ömsesidiga relationer mellan människor. Därför gäller det att slå vakt om mö</w:t>
      </w:r>
      <w:r w:rsidRPr="00BF529C">
        <w:t>j</w:t>
      </w:r>
      <w:r w:rsidRPr="00BF529C">
        <w:t>ligheten att träffas och skapa möteslokaler och träffpunkter.</w:t>
      </w:r>
    </w:p>
    <w:p w:rsidR="0031181B" w:rsidRPr="00BF529C" w:rsidRDefault="0031181B">
      <w:pPr>
        <w:pStyle w:val="Normaltindrag"/>
      </w:pPr>
      <w:r w:rsidRPr="00BF529C">
        <w:t>Ett av fritidsgårdarnas signum är den öppna verksamheten, en verksamhet som syftar till att under fria former underlätta och ge utrymme åt människors möten. Ett sätt att definiera öppen verksamhet är ”en fritidsform dit man kan gå och inom vida ramar fritt välja att möta vänner, samtala eller syssla</w:t>
      </w:r>
      <w:r w:rsidRPr="00BF529C">
        <w:t xml:space="preserve"> med fritidsaktiviteter, till exempel spontanidrott och olika estetiska uttrycksfo</w:t>
      </w:r>
      <w:r w:rsidRPr="00BF529C">
        <w:t>r</w:t>
      </w:r>
      <w:r w:rsidRPr="00BF529C">
        <w:t xml:space="preserve">mer” (Stålstierna 1998). </w:t>
      </w:r>
    </w:p>
    <w:p w:rsidR="0031181B" w:rsidRPr="00BF529C" w:rsidRDefault="0031181B">
      <w:pPr>
        <w:pStyle w:val="Normaltindrag"/>
      </w:pPr>
      <w:r w:rsidRPr="00BF529C">
        <w:t xml:space="preserve">I den öppna verksamheten kan man välja om man vill göra något eller bara </w:t>
      </w:r>
      <w:r w:rsidRPr="00BF529C">
        <w:rPr>
          <w:i/>
        </w:rPr>
        <w:t xml:space="preserve">vara </w:t>
      </w:r>
      <w:r w:rsidRPr="00BF529C">
        <w:t>och det saknas krav på att man måste prestera eller konsumera för att få delta. Verksamheten är frivillig och öppen för alla. Besökarna kommer när de själva vill. I eller i anslutning till öppen verksamhet skapas ofta tillfälliga eller mer varaktiga aktiviteter.</w:t>
      </w:r>
    </w:p>
    <w:p w:rsidR="0031181B" w:rsidRPr="00BF529C" w:rsidRDefault="0031181B">
      <w:pPr>
        <w:pStyle w:val="Normaltindrag"/>
      </w:pPr>
      <w:r w:rsidRPr="00BF529C">
        <w:t>Sedan början av 1990-talet har fritidsgårdarna blivit färre i Sverige, en a</w:t>
      </w:r>
      <w:r w:rsidRPr="00BF529C">
        <w:t>n</w:t>
      </w:r>
      <w:r w:rsidRPr="00BF529C">
        <w:t>ledning är de kraftiga nedskärningar som Sveriges kommuner då gjorde. B</w:t>
      </w:r>
      <w:r w:rsidRPr="00BF529C">
        <w:t>e</w:t>
      </w:r>
      <w:r w:rsidRPr="00BF529C">
        <w:t>sparingar som främst drabbade de icke lagstadgade verksamheterna som t.ex. fritidsgårdsverksamhet och den öppna verksamheten.</w:t>
      </w:r>
    </w:p>
    <w:p w:rsidR="0031181B" w:rsidRPr="00BF529C" w:rsidRDefault="0031181B">
      <w:pPr>
        <w:pStyle w:val="Normaltindrag"/>
      </w:pPr>
      <w:r w:rsidRPr="00BF529C">
        <w:t xml:space="preserve">Några andra trender är att det i allt högre grad är föreningslivet och inte kommuner som driver fritidsgårdsverksamhet. I slutet av 1980-talet var cirka </w:t>
      </w:r>
      <w:r w:rsidRPr="00BF529C">
        <w:lastRenderedPageBreak/>
        <w:t xml:space="preserve">var femte fritidsgård i Sverige föreningsdriven, år 2000 var motsvarande siffra mellan var tredje och var fjärde gård. </w:t>
      </w:r>
    </w:p>
    <w:p w:rsidR="0031181B" w:rsidRPr="00BF529C" w:rsidRDefault="0031181B">
      <w:pPr>
        <w:pStyle w:val="Normaltindrag"/>
      </w:pPr>
      <w:r w:rsidRPr="00BF529C">
        <w:t>Detta sker samtidigt som verksamheten allt oftare sträckts ut för att möta allt fler åldersgrupper (Ungdomsstyrelsen 2004). Till exempel startas ver</w:t>
      </w:r>
      <w:r w:rsidRPr="00BF529C">
        <w:t>k</w:t>
      </w:r>
      <w:r w:rsidRPr="00BF529C">
        <w:rPr>
          <w:spacing w:val="-2"/>
        </w:rPr>
        <w:t>samhet för gymnasieungdomar genom musikens hus och andra föreningsdri</w:t>
      </w:r>
      <w:r w:rsidRPr="00BF529C">
        <w:rPr>
          <w:spacing w:val="-2"/>
        </w:rPr>
        <w:t>v</w:t>
      </w:r>
      <w:r w:rsidRPr="00BF529C">
        <w:t>na verksamheter. För yngre barn har ett flertal verksamheter startats genom sa</w:t>
      </w:r>
      <w:r w:rsidRPr="00BF529C">
        <w:t>m</w:t>
      </w:r>
      <w:r w:rsidRPr="00BF529C">
        <w:t>ordning med skola och skolbarnsomsorgsverksamhet. Det gör att samma summa pengar ska räcka till så många fler och att den traditionella fritid</w:t>
      </w:r>
      <w:r w:rsidRPr="00BF529C">
        <w:t>s</w:t>
      </w:r>
      <w:r w:rsidRPr="00BF529C">
        <w:t>gårdsverksamheten har fått stryka på foten.</w:t>
      </w:r>
    </w:p>
    <w:p w:rsidR="0031181B" w:rsidRPr="00BF529C" w:rsidRDefault="0031181B">
      <w:pPr>
        <w:pStyle w:val="Normaltindrag"/>
      </w:pPr>
      <w:r w:rsidRPr="00BF529C">
        <w:t>Vi menar att det behövs en medveten strategi och satsning på fritidsgård</w:t>
      </w:r>
      <w:r w:rsidRPr="00BF529C">
        <w:t>s</w:t>
      </w:r>
      <w:r w:rsidRPr="00BF529C">
        <w:t xml:space="preserve">verksamhet så att den öppna verksamheten och gårdarnas verksamhet får en viktig plats i kommunernas satsningar på ungdomars fritid. </w:t>
      </w:r>
    </w:p>
    <w:p w:rsidR="0031181B" w:rsidRPr="00BF529C" w:rsidRDefault="0031181B">
      <w:pPr>
        <w:pStyle w:val="Normaltindrag"/>
      </w:pPr>
      <w:r w:rsidRPr="00BF529C">
        <w:t>Det handlar om en viss förskjutning från ett socialt perspektiv, att möta och vägleda de ungdomar som särskilt behöver det, till ett medborgarperspe</w:t>
      </w:r>
      <w:r w:rsidRPr="00BF529C">
        <w:t>k</w:t>
      </w:r>
      <w:r w:rsidRPr="00BF529C">
        <w:t>tiv, att ungdomar ska ingå i samhällsgemenskapen och stärkas och tillåtas driva sina egna frågor. En fungerande gårdsverksamhet bör handla om både och. Mot bakgrund av ovanstående bör regeringen utreda frågan om komm</w:t>
      </w:r>
      <w:r w:rsidRPr="00BF529C">
        <w:t>u</w:t>
      </w:r>
      <w:r w:rsidRPr="00BF529C">
        <w:t>nernas skyldighet att bedriva fritidsgårdsverksamhet.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29C">
        <w:trPr>
          <w:cantSplit/>
        </w:trPr>
        <w:tc>
          <w:tcPr>
            <w:tcW w:w="3046" w:type="dxa"/>
          </w:tcPr>
          <w:p w:rsidR="0031181B" w:rsidRPr="00BF529C" w:rsidRDefault="0031181B">
            <w:pPr>
              <w:pStyle w:val="UnderskriftDatum"/>
              <w:spacing w:before="240"/>
            </w:pPr>
            <w:r w:rsidRPr="00BF529C">
              <w:t>Stockholm den 24 september 2008</w:t>
            </w:r>
          </w:p>
        </w:tc>
        <w:tc>
          <w:tcPr>
            <w:tcW w:w="3047" w:type="dxa"/>
          </w:tcPr>
          <w:p w:rsidR="0031181B" w:rsidRPr="00BF529C" w:rsidRDefault="0031181B">
            <w:pPr>
              <w:pStyle w:val="Underskrifter"/>
              <w:spacing w:before="240"/>
            </w:pPr>
          </w:p>
        </w:tc>
      </w:tr>
      <w:tr w:rsidR="00000000" w:rsidRPr="00BF529C">
        <w:trPr>
          <w:cantSplit/>
        </w:trPr>
        <w:tc>
          <w:tcPr>
            <w:tcW w:w="3046" w:type="dxa"/>
          </w:tcPr>
          <w:p w:rsidR="0031181B" w:rsidRPr="00BF529C" w:rsidRDefault="0031181B">
            <w:pPr>
              <w:pStyle w:val="Underskrifter"/>
            </w:pPr>
            <w:r w:rsidRPr="00BF529C">
              <w:t>LiseLotte Olsson (v)</w:t>
            </w:r>
          </w:p>
        </w:tc>
        <w:tc>
          <w:tcPr>
            <w:tcW w:w="3046" w:type="dxa"/>
          </w:tcPr>
          <w:p w:rsidR="0031181B" w:rsidRPr="00BF529C" w:rsidRDefault="0031181B">
            <w:pPr>
              <w:pStyle w:val="Underskrifter"/>
            </w:pPr>
          </w:p>
        </w:tc>
      </w:tr>
      <w:tr w:rsidR="00000000" w:rsidRPr="00BF529C">
        <w:trPr>
          <w:cantSplit/>
        </w:trPr>
        <w:tc>
          <w:tcPr>
            <w:tcW w:w="3046" w:type="dxa"/>
          </w:tcPr>
          <w:p w:rsidR="0031181B" w:rsidRPr="00BF529C" w:rsidRDefault="0031181B">
            <w:pPr>
              <w:pStyle w:val="Underskrifter"/>
            </w:pPr>
            <w:r w:rsidRPr="00BF529C">
              <w:t>Torbjörn Björlund (v)</w:t>
            </w:r>
          </w:p>
        </w:tc>
        <w:tc>
          <w:tcPr>
            <w:tcW w:w="3046" w:type="dxa"/>
          </w:tcPr>
          <w:p w:rsidR="0031181B" w:rsidRPr="00BF529C" w:rsidRDefault="0031181B">
            <w:pPr>
              <w:pStyle w:val="Underskrifter"/>
            </w:pPr>
            <w:r w:rsidRPr="00BF529C">
              <w:t>Rossana Dinamarca (v)</w:t>
            </w:r>
          </w:p>
        </w:tc>
      </w:tr>
      <w:tr w:rsidR="00000000" w:rsidRPr="00BF529C">
        <w:trPr>
          <w:cantSplit/>
        </w:trPr>
        <w:tc>
          <w:tcPr>
            <w:tcW w:w="3046" w:type="dxa"/>
          </w:tcPr>
          <w:p w:rsidR="0031181B" w:rsidRPr="00BF529C" w:rsidRDefault="0031181B">
            <w:pPr>
              <w:pStyle w:val="Underskrifter"/>
            </w:pPr>
            <w:r w:rsidRPr="00BF529C">
              <w:t>Egon Frid (v)</w:t>
            </w:r>
          </w:p>
        </w:tc>
        <w:tc>
          <w:tcPr>
            <w:tcW w:w="3046" w:type="dxa"/>
          </w:tcPr>
          <w:p w:rsidR="0031181B" w:rsidRPr="00BF529C" w:rsidRDefault="0031181B">
            <w:pPr>
              <w:pStyle w:val="Underskrifter"/>
            </w:pPr>
            <w:r w:rsidRPr="00BF529C">
              <w:t>Siv Holma (v)</w:t>
            </w:r>
          </w:p>
        </w:tc>
      </w:tr>
      <w:tr w:rsidR="00000000" w:rsidRPr="00BF529C">
        <w:trPr>
          <w:cantSplit/>
        </w:trPr>
        <w:tc>
          <w:tcPr>
            <w:tcW w:w="3046" w:type="dxa"/>
          </w:tcPr>
          <w:p w:rsidR="0031181B" w:rsidRPr="00BF529C" w:rsidRDefault="0031181B">
            <w:pPr>
              <w:pStyle w:val="Underskrifter"/>
            </w:pPr>
            <w:r w:rsidRPr="00BF529C">
              <w:t>Elina Linna (v)</w:t>
            </w:r>
          </w:p>
        </w:tc>
        <w:tc>
          <w:tcPr>
            <w:tcW w:w="3046" w:type="dxa"/>
          </w:tcPr>
          <w:p w:rsidR="0031181B" w:rsidRPr="00BF529C" w:rsidRDefault="0031181B">
            <w:pPr>
              <w:pStyle w:val="Underskrifter"/>
            </w:pPr>
            <w:r w:rsidRPr="00BF529C">
              <w:t>Eva Olofsson (v)</w:t>
            </w:r>
          </w:p>
        </w:tc>
      </w:tr>
    </w:tbl>
    <w:p w:rsidR="0031181B" w:rsidRPr="00BF529C" w:rsidRDefault="0031181B">
      <w:pPr>
        <w:pStyle w:val="Normaltindrag"/>
      </w:pPr>
    </w:p>
    <w:sectPr w:rsidR="0031181B" w:rsidRPr="00BF5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81B" w:rsidRPr="00BF529C" w:rsidRDefault="0031181B">
      <w:r w:rsidRPr="00BF529C">
        <w:separator/>
      </w:r>
    </w:p>
  </w:endnote>
  <w:endnote w:type="continuationSeparator" w:id="0">
    <w:p w:rsidR="0031181B" w:rsidRPr="00BF529C" w:rsidRDefault="0031181B">
      <w:r w:rsidRPr="00BF5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1B" w:rsidRPr="00BF529C" w:rsidRDefault="00BF529C">
    <w:pPr>
      <w:pStyle w:val="Sidfot"/>
    </w:pPr>
    <w:r w:rsidRPr="00BF52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202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1B" w:rsidRDefault="003118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81B" w:rsidRDefault="003118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1B" w:rsidRPr="00BF529C" w:rsidRDefault="00BF529C">
    <w:pPr>
      <w:pStyle w:val="Sidfot"/>
    </w:pPr>
    <w:r w:rsidRPr="00BF52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061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1B" w:rsidRDefault="00311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81B" w:rsidRDefault="00311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1B" w:rsidRPr="00BF529C" w:rsidRDefault="00BF529C">
    <w:pPr>
      <w:pStyle w:val="Sidfot"/>
    </w:pPr>
    <w:r w:rsidRPr="00BF52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669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1B" w:rsidRDefault="00311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81B" w:rsidRDefault="00311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81B" w:rsidRPr="00BF529C" w:rsidRDefault="0031181B">
      <w:r w:rsidRPr="00BF529C">
        <w:separator/>
      </w:r>
    </w:p>
  </w:footnote>
  <w:footnote w:type="continuationSeparator" w:id="0">
    <w:p w:rsidR="0031181B" w:rsidRPr="00BF529C" w:rsidRDefault="0031181B">
      <w:r w:rsidRPr="00BF5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1B" w:rsidRPr="00BF529C" w:rsidRDefault="00BF529C">
    <w:pPr>
      <w:pStyle w:val="Sidhuvud"/>
    </w:pPr>
    <w:r w:rsidRPr="00BF52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568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1B" w:rsidRDefault="003118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81B" w:rsidRDefault="003118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1B" w:rsidRPr="00BF529C" w:rsidRDefault="00BF529C">
    <w:pPr>
      <w:pStyle w:val="Sidhuvud"/>
    </w:pPr>
    <w:r w:rsidRPr="00BF52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002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1B" w:rsidRDefault="003118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81B" w:rsidRDefault="003118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1B" w:rsidRPr="00BF529C" w:rsidRDefault="0031181B">
    <w:pPr>
      <w:pStyle w:val="FSHNormal"/>
      <w:tabs>
        <w:tab w:val="right" w:pos="5840"/>
      </w:tabs>
    </w:pPr>
    <w:r w:rsidRPr="00BF529C">
      <w:br/>
    </w:r>
    <w:r w:rsidRPr="00BF529C">
      <w:fldChar w:fldCharType="begin" w:fldLock="1"/>
    </w:r>
    <w:r w:rsidRPr="00BF529C">
      <w:instrText xml:space="preserve"> DOCPROPERTY</w:instrText>
    </w:r>
    <w:r w:rsidRPr="00BF529C">
      <w:rPr>
        <w:sz w:val="18"/>
      </w:rPr>
      <w:instrText xml:space="preserve"> "YearUser" *\charformat </w:instrText>
    </w:r>
    <w:r w:rsidRPr="00BF529C">
      <w:fldChar w:fldCharType="separate"/>
    </w:r>
    <w:r w:rsidRPr="00BF529C">
      <w:t>2008/09</w:t>
    </w:r>
    <w:r w:rsidRPr="00BF529C">
      <w:fldChar w:fldCharType="end"/>
    </w:r>
    <w:r w:rsidRPr="00BF529C">
      <w:t xml:space="preserve"> </w:t>
    </w:r>
    <w:r w:rsidRPr="00BF529C">
      <w:tab/>
      <w:t xml:space="preserve">mnr: </w:t>
    </w:r>
    <w:r w:rsidRPr="00BF529C">
      <w:fldChar w:fldCharType="begin" w:fldLock="1"/>
    </w:r>
    <w:r w:rsidRPr="00BF529C">
      <w:instrText xml:space="preserve"> DOCPROPERTY</w:instrText>
    </w:r>
    <w:r w:rsidRPr="00BF529C">
      <w:rPr>
        <w:sz w:val="18"/>
      </w:rPr>
      <w:instrText xml:space="preserve"> "Motionsnummer" *\charformat </w:instrText>
    </w:r>
    <w:r w:rsidRPr="00BF529C">
      <w:fldChar w:fldCharType="separate"/>
    </w:r>
    <w:r w:rsidRPr="00BF529C">
      <w:t>Kr204</w:t>
    </w:r>
    <w:r w:rsidRPr="00BF529C">
      <w:fldChar w:fldCharType="end"/>
    </w:r>
    <w:r w:rsidRPr="00BF529C">
      <w:br/>
    </w:r>
    <w:r w:rsidRPr="00BF529C">
      <w:fldChar w:fldCharType="begin" w:fldLock="1"/>
    </w:r>
    <w:r w:rsidRPr="00BF529C">
      <w:instrText xml:space="preserve"> DOCPROPERTY</w:instrText>
    </w:r>
    <w:r w:rsidRPr="00BF529C">
      <w:rPr>
        <w:sz w:val="18"/>
      </w:rPr>
      <w:instrText xml:space="preserve"> "Samling" *\charformat </w:instrText>
    </w:r>
    <w:r w:rsidRPr="00BF529C">
      <w:fldChar w:fldCharType="end"/>
    </w:r>
    <w:r w:rsidRPr="00BF529C">
      <w:tab/>
      <w:t xml:space="preserve">pnr: </w:t>
    </w:r>
    <w:r w:rsidRPr="00BF529C">
      <w:fldChar w:fldCharType="begin" w:fldLock="1"/>
    </w:r>
    <w:r w:rsidRPr="00BF529C">
      <w:instrText xml:space="preserve"> DOCPROPERTY</w:instrText>
    </w:r>
    <w:r w:rsidRPr="00BF529C">
      <w:rPr>
        <w:sz w:val="18"/>
      </w:rPr>
      <w:instrText xml:space="preserve"> "Partinummer" *\charformat </w:instrText>
    </w:r>
    <w:r w:rsidRPr="00BF529C">
      <w:fldChar w:fldCharType="separate"/>
    </w:r>
    <w:r w:rsidRPr="00BF529C">
      <w:t>v552</w:t>
    </w:r>
    <w:r w:rsidRPr="00BF529C">
      <w:fldChar w:fldCharType="end"/>
    </w:r>
  </w:p>
  <w:p w:rsidR="0031181B" w:rsidRPr="00BF529C" w:rsidRDefault="0031181B">
    <w:pPr>
      <w:pStyle w:val="FSHRub1"/>
    </w:pPr>
    <w:r w:rsidRPr="00BF529C">
      <w:t>Motion till riksdagen</w:t>
    </w:r>
    <w:r w:rsidRPr="00BF529C">
      <w:br/>
    </w:r>
    <w:r w:rsidRPr="00BF529C">
      <w:fldChar w:fldCharType="begin" w:fldLock="1"/>
    </w:r>
    <w:r w:rsidRPr="00BF529C">
      <w:instrText xml:space="preserve"> DOCPROPERTY "YearUser" *\charformat </w:instrText>
    </w:r>
    <w:r w:rsidRPr="00BF529C">
      <w:fldChar w:fldCharType="separate"/>
    </w:r>
    <w:r w:rsidRPr="00BF529C">
      <w:t>2008/09</w:t>
    </w:r>
    <w:r w:rsidRPr="00BF529C">
      <w:fldChar w:fldCharType="end"/>
    </w:r>
    <w:r w:rsidRPr="00BF529C">
      <w:t>:</w:t>
    </w:r>
    <w:r w:rsidRPr="00BF529C">
      <w:fldChar w:fldCharType="begin" w:fldLock="1"/>
    </w:r>
    <w:r w:rsidRPr="00BF529C">
      <w:instrText xml:space="preserve"> DOCPROPERTY "Motionsnummer" *\charformat </w:instrText>
    </w:r>
    <w:r w:rsidRPr="00BF529C">
      <w:fldChar w:fldCharType="separate"/>
    </w:r>
    <w:r w:rsidRPr="00BF529C">
      <w:t>Kr204</w:t>
    </w:r>
    <w:r w:rsidRPr="00BF529C">
      <w:fldChar w:fldCharType="end"/>
    </w:r>
  </w:p>
  <w:p w:rsidR="0031181B" w:rsidRPr="00BF529C" w:rsidRDefault="0031181B">
    <w:pPr>
      <w:pStyle w:val="FSHNormalS5"/>
    </w:pPr>
    <w:r w:rsidRPr="00BF529C">
      <w:fldChar w:fldCharType="begin" w:fldLock="1"/>
    </w:r>
    <w:r w:rsidRPr="00BF529C">
      <w:instrText xml:space="preserve"> DOCPROPERTY "MotionarText" *\charformat </w:instrText>
    </w:r>
    <w:r w:rsidRPr="00BF529C">
      <w:fldChar w:fldCharType="separate"/>
    </w:r>
    <w:r w:rsidRPr="00BF529C">
      <w:t>av LiseLotte Olsson m.fl. (v)</w:t>
    </w:r>
    <w:r w:rsidRPr="00BF529C">
      <w:fldChar w:fldCharType="end"/>
    </w:r>
    <w:r w:rsidRPr="00BF529C">
      <w:br/>
    </w:r>
    <w:r w:rsidRPr="00BF529C">
      <w:fldChar w:fldCharType="begin" w:fldLock="1"/>
    </w:r>
    <w:r w:rsidRPr="00BF529C">
      <w:instrText xml:space="preserve"> DOCPROPERTY "SvarFrasKort" *\charformat </w:instrText>
    </w:r>
    <w:r w:rsidRPr="00BF529C">
      <w:fldChar w:fldCharType="end"/>
    </w:r>
  </w:p>
  <w:p w:rsidR="0031181B" w:rsidRPr="00BF529C" w:rsidRDefault="0031181B">
    <w:pPr>
      <w:pStyle w:val="FSHTitel"/>
    </w:pPr>
    <w:r w:rsidRPr="00BF529C">
      <w:fldChar w:fldCharType="begin" w:fldLock="1"/>
    </w:r>
    <w:r w:rsidRPr="00BF529C">
      <w:instrText xml:space="preserve"> DOCPROPERTY</w:instrText>
    </w:r>
    <w:r w:rsidRPr="00BF529C">
      <w:rPr>
        <w:sz w:val="18"/>
      </w:rPr>
      <w:instrText xml:space="preserve"> "RubrikSvar" *\charformat </w:instrText>
    </w:r>
    <w:r w:rsidRPr="00BF529C">
      <w:fldChar w:fldCharType="separate"/>
    </w:r>
    <w:r w:rsidRPr="00BF529C">
      <w:t>Fritidsgårdar</w:t>
    </w:r>
    <w:r w:rsidRPr="00BF529C">
      <w:fldChar w:fldCharType="end"/>
    </w:r>
  </w:p>
  <w:p w:rsidR="0031181B" w:rsidRPr="00BF529C" w:rsidRDefault="0031181B">
    <w:pPr>
      <w:pStyle w:val="Normal00"/>
    </w:pPr>
  </w:p>
  <w:p w:rsidR="0031181B" w:rsidRPr="00BF529C" w:rsidRDefault="003118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520093"/>
    <w:multiLevelType w:val="multilevel"/>
    <w:tmpl w:val="D5D4DC3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48127">
    <w:abstractNumId w:val="8"/>
  </w:num>
  <w:num w:numId="2" w16cid:durableId="656540448">
    <w:abstractNumId w:val="9"/>
  </w:num>
  <w:num w:numId="3" w16cid:durableId="212429646">
    <w:abstractNumId w:val="8"/>
  </w:num>
  <w:num w:numId="4" w16cid:durableId="1252619274">
    <w:abstractNumId w:val="9"/>
  </w:num>
  <w:num w:numId="5" w16cid:durableId="2003316876">
    <w:abstractNumId w:val="13"/>
  </w:num>
  <w:num w:numId="6" w16cid:durableId="722674816">
    <w:abstractNumId w:val="10"/>
  </w:num>
  <w:num w:numId="7" w16cid:durableId="2022470900">
    <w:abstractNumId w:val="11"/>
  </w:num>
  <w:num w:numId="8" w16cid:durableId="356194939">
    <w:abstractNumId w:val="12"/>
  </w:num>
  <w:num w:numId="9" w16cid:durableId="333723436">
    <w:abstractNumId w:val="8"/>
  </w:num>
  <w:num w:numId="10" w16cid:durableId="1557203283">
    <w:abstractNumId w:val="3"/>
  </w:num>
  <w:num w:numId="11" w16cid:durableId="1533954809">
    <w:abstractNumId w:val="2"/>
  </w:num>
  <w:num w:numId="12" w16cid:durableId="159588391">
    <w:abstractNumId w:val="1"/>
  </w:num>
  <w:num w:numId="13" w16cid:durableId="1030956232">
    <w:abstractNumId w:val="0"/>
  </w:num>
  <w:num w:numId="14" w16cid:durableId="1206675982">
    <w:abstractNumId w:val="9"/>
  </w:num>
  <w:num w:numId="15" w16cid:durableId="1540624211">
    <w:abstractNumId w:val="7"/>
  </w:num>
  <w:num w:numId="16" w16cid:durableId="71391484">
    <w:abstractNumId w:val="6"/>
  </w:num>
  <w:num w:numId="17" w16cid:durableId="184947216">
    <w:abstractNumId w:val="5"/>
  </w:num>
  <w:num w:numId="18" w16cid:durableId="730809277">
    <w:abstractNumId w:val="4"/>
  </w:num>
  <w:num w:numId="19" w16cid:durableId="1898592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DB0B8A"/>
    <w:rsid w:val="0031181B"/>
    <w:rsid w:val="00BF529C"/>
    <w:rsid w:val="00DB0B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EC902D-C23E-4F3A-8874-0271D8EB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2677</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v552</vt:lpstr>
    </vt:vector>
  </TitlesOfParts>
  <Company>Riksdagen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v552</dc:title>
  <dc:subject>v552</dc:subject>
  <dc:creator>Riksdagen</dc:creator>
  <cp:keywords>Riksdagen</cp:keywords>
  <dc:description>TKG-ktrl, MSMQ4mb, PersReg-Distribution mm b-&gt;ny fplogga</dc:description>
  <cp:lastModifiedBy>Lars Brink</cp:lastModifiedBy>
  <cp:revision>2</cp:revision>
  <cp:lastPrinted>2008-11-05T09:59:00Z</cp:lastPrinted>
  <dcterms:created xsi:type="dcterms:W3CDTF">2025-12-17T17:07:00Z</dcterms:created>
  <dcterms:modified xsi:type="dcterms:W3CDTF">2025-12-17T17:07:00Z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Fritidsgårdar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Fritidsgårdar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Kr204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20082009000000000118000005520075</vt:lpwstr>
  </property>
  <property fmtid="{D5CDD505-2E9C-101B-9397-08002B2CF9AE}" pid="47" name="datum">
    <vt:lpwstr>080924</vt:lpwstr>
  </property>
  <property fmtid="{D5CDD505-2E9C-101B-9397-08002B2CF9AE}" pid="48" name="avsändar-e-post">
    <vt:lpwstr>inger.diaz@riksdagen.se</vt:lpwstr>
  </property>
  <property fmtid="{D5CDD505-2E9C-101B-9397-08002B2CF9AE}" pid="49" name="id">
    <vt:lpwstr>20082009000000000118000005520075</vt:lpwstr>
  </property>
  <property fmtid="{D5CDD505-2E9C-101B-9397-08002B2CF9AE}" pid="50" name="nummer">
    <vt:lpwstr>204</vt:lpwstr>
  </property>
  <property fmtid="{D5CDD505-2E9C-101B-9397-08002B2CF9AE}" pid="51" name="utskottsbeteckning">
    <vt:lpwstr>Kr</vt:lpwstr>
  </property>
  <property fmtid="{D5CDD505-2E9C-101B-9397-08002B2CF9AE}" pid="52" name="GlobalUID">
    <vt:lpwstr>{A8E82F18-8D0D-4685-A948-78E468D74D66}</vt:lpwstr>
  </property>
  <property fmtid="{D5CDD505-2E9C-101B-9397-08002B2CF9AE}" pid="53" name="Överföringar">
    <vt:i4>0</vt:i4>
  </property>
  <property fmtid="{D5CDD505-2E9C-101B-9397-08002B2CF9AE}" pid="54" name="Checksum">
    <vt:lpwstr>*1015640512409*</vt:lpwstr>
  </property>
  <property fmtid="{D5CDD505-2E9C-101B-9397-08002B2CF9AE}" pid="55" name="skuggnummer">
    <vt:lpwstr>137</vt:lpwstr>
  </property>
  <property fmtid="{D5CDD505-2E9C-101B-9397-08002B2CF9AE}" pid="56" name="urixVersion">
    <vt:lpwstr>3.2.0.8</vt:lpwstr>
  </property>
  <property fmtid="{D5CDD505-2E9C-101B-9397-08002B2CF9AE}" pid="57" name="urixOrigin">
    <vt:lpwstr>090401 15:12:45.595</vt:lpwstr>
  </property>
  <property fmtid="{D5CDD505-2E9C-101B-9397-08002B2CF9AE}" pid="58" name="urixGuid">
    <vt:lpwstr>{B95A967F-5055-4B8F-BB27-C796FCFC12ED}</vt:lpwstr>
  </property>
</Properties>
</file>