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C267B9">
              <w:rPr>
                <w:b/>
              </w:rPr>
              <w:t>11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C267B9">
              <w:t>10-21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C267B9">
              <w:t>10.30-</w:t>
            </w:r>
            <w:r w:rsidR="00872714">
              <w:t>11.26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C267B9" w:rsidRDefault="00C267B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EB3944" w:rsidRDefault="00EB3944" w:rsidP="00EB3944">
            <w:pPr>
              <w:outlineLvl w:val="0"/>
              <w:rPr>
                <w:b/>
              </w:rPr>
            </w:pPr>
            <w:r>
              <w:rPr>
                <w:b/>
              </w:rPr>
              <w:t>Fråga om medgivande till deltagande på distans</w:t>
            </w:r>
          </w:p>
          <w:p w:rsidR="00EB3944" w:rsidRDefault="00EB3944" w:rsidP="00EB3944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Utskottet medgav deltagande på distans för följande ordinarie ledamöter och suppleanter:</w:t>
            </w:r>
            <w:r w:rsidR="0071740B">
              <w:rPr>
                <w:szCs w:val="24"/>
              </w:rPr>
              <w:t xml:space="preserve"> Edward Riedl (M), Adnan Dibrani (S), Ulla Andersson (V), Ingela Nylund Watz (S), Björna Wiechel (S), Gulan Avci (L), Karolina Skog (MP), Joakim Sandell (S), Sofia Westergren (M), E</w:t>
            </w:r>
            <w:r w:rsidR="00872714">
              <w:rPr>
                <w:szCs w:val="24"/>
              </w:rPr>
              <w:t>va</w:t>
            </w:r>
            <w:r w:rsidR="0071740B">
              <w:rPr>
                <w:szCs w:val="24"/>
              </w:rPr>
              <w:t xml:space="preserve"> Lindh (S), Ilona Szatmari Waldau (V) och Robert Halef (KD).</w:t>
            </w:r>
          </w:p>
          <w:p w:rsidR="00E21C80" w:rsidRDefault="00E21C80" w:rsidP="00EB3944">
            <w:pPr>
              <w:outlineLvl w:val="0"/>
              <w:rPr>
                <w:szCs w:val="24"/>
              </w:rPr>
            </w:pPr>
          </w:p>
          <w:p w:rsidR="00EB3944" w:rsidRDefault="0071740B" w:rsidP="00EB3944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Sex </w:t>
            </w:r>
            <w:r w:rsidR="00091947" w:rsidRPr="00831076">
              <w:rPr>
                <w:snapToGrid w:val="0"/>
                <w:szCs w:val="24"/>
              </w:rPr>
              <w:t>tjänstemän</w:t>
            </w:r>
            <w:r w:rsidR="00091947">
              <w:rPr>
                <w:snapToGrid w:val="0"/>
                <w:szCs w:val="24"/>
              </w:rPr>
              <w:t xml:space="preserve"> från finansutskottets kansli var uppkopplade på distans.</w:t>
            </w:r>
            <w:r w:rsidR="00091947">
              <w:rPr>
                <w:szCs w:val="24"/>
              </w:rPr>
              <w:t xml:space="preserve"> </w:t>
            </w:r>
          </w:p>
          <w:p w:rsidR="0071740B" w:rsidRDefault="0071740B" w:rsidP="00EB3944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C267B9" w:rsidP="00342BB1">
            <w:pPr>
              <w:outlineLvl w:val="0"/>
              <w:rPr>
                <w:b/>
              </w:rPr>
            </w:pPr>
            <w:r>
              <w:rPr>
                <w:b/>
              </w:rPr>
              <w:t>Statens servicecenter</w:t>
            </w:r>
          </w:p>
          <w:p w:rsidR="00C267B9" w:rsidRPr="00C267B9" w:rsidRDefault="00C267B9" w:rsidP="00342BB1">
            <w:pPr>
              <w:outlineLvl w:val="0"/>
            </w:pPr>
            <w:r w:rsidRPr="00C267B9">
              <w:t>Generaldirektör Åsa Lindh informerade utskottet och svarade</w:t>
            </w:r>
            <w:r>
              <w:t xml:space="preserve"> </w:t>
            </w:r>
            <w:r w:rsidRPr="00C267B9">
              <w:t>på ledamöternas frågor.</w:t>
            </w:r>
          </w:p>
          <w:p w:rsidR="00C267B9" w:rsidRDefault="00C267B9" w:rsidP="00342BB1">
            <w:pPr>
              <w:outlineLvl w:val="0"/>
              <w:rPr>
                <w:b/>
              </w:rPr>
            </w:pPr>
          </w:p>
          <w:p w:rsidR="00C267B9" w:rsidRPr="00C267B9" w:rsidRDefault="00C267B9" w:rsidP="00342BB1">
            <w:pPr>
              <w:outlineLvl w:val="0"/>
            </w:pPr>
            <w:r w:rsidRPr="00C267B9">
              <w:t>Generaldirektören deltog på distans.</w:t>
            </w:r>
          </w:p>
          <w:p w:rsidR="00C267B9" w:rsidRDefault="00C267B9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7B7C03" w:rsidRDefault="00C267B9" w:rsidP="00C267B9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C267B9" w:rsidRDefault="00872714" w:rsidP="00C267B9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t xml:space="preserve">Utskottet beslutade att ställa in det preliminärt inplanerade sammanträdet den 26 oktober. </w:t>
            </w:r>
          </w:p>
          <w:p w:rsidR="00C267B9" w:rsidRPr="00AD47F5" w:rsidRDefault="00C267B9" w:rsidP="00C267B9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267B9" w:rsidRDefault="00C267B9" w:rsidP="00C267B9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C267B9" w:rsidRPr="00C267B9" w:rsidRDefault="00C267B9" w:rsidP="00C267B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267B9">
              <w:rPr>
                <w:color w:val="000000"/>
                <w:szCs w:val="24"/>
              </w:rPr>
              <w:t xml:space="preserve">Utskottet justerade protokoll </w:t>
            </w:r>
            <w:r>
              <w:rPr>
                <w:color w:val="000000"/>
                <w:szCs w:val="24"/>
              </w:rPr>
              <w:t>2021/22:9 och 2021/22:10.</w:t>
            </w:r>
          </w:p>
          <w:p w:rsidR="00D021DB" w:rsidRPr="00305C38" w:rsidRDefault="00D021D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C267B9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267B9">
              <w:rPr>
                <w:b/>
                <w:bCs/>
                <w:color w:val="000000"/>
                <w:szCs w:val="24"/>
              </w:rPr>
              <w:t>Regellättnader på värdepappersmarknaden och några frågor om referensvärden (FiU13)</w:t>
            </w:r>
          </w:p>
          <w:p w:rsidR="00C267B9" w:rsidRDefault="00C267B9" w:rsidP="00C267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proposition 2021/22:8.</w:t>
            </w:r>
          </w:p>
          <w:p w:rsidR="00C267B9" w:rsidRDefault="00C267B9" w:rsidP="00C267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267B9" w:rsidRDefault="00C267B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2021/</w:t>
            </w:r>
            <w:proofErr w:type="gramStart"/>
            <w:r>
              <w:rPr>
                <w:color w:val="000000"/>
                <w:szCs w:val="24"/>
              </w:rPr>
              <w:t>22:FiU</w:t>
            </w:r>
            <w:proofErr w:type="gramEnd"/>
            <w:r>
              <w:rPr>
                <w:color w:val="000000"/>
                <w:szCs w:val="24"/>
              </w:rPr>
              <w:t>13.</w:t>
            </w:r>
          </w:p>
          <w:p w:rsidR="00C267B9" w:rsidRPr="00305C38" w:rsidRDefault="00C267B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Default="00C267B9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administrationen i statliga myndigheter (FiU12)</w:t>
            </w:r>
          </w:p>
          <w:p w:rsidR="00C267B9" w:rsidRDefault="00C267B9" w:rsidP="00C267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Utskottet fortsatte beredningen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skrivelse 2020/21:218 och motioner.</w:t>
            </w:r>
          </w:p>
          <w:p w:rsidR="00C267B9" w:rsidRDefault="00C267B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267B9" w:rsidRDefault="00C267B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C267B9" w:rsidRPr="00305C38" w:rsidRDefault="00C267B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7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C267B9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  <w:r w:rsidRPr="00FD253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förslag till</w:t>
            </w: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 xml:space="preserve"> förordning om åtgärder för att förhindra att det finansiella systemet används för penningtvätt eller finansiering av terrorism </w:t>
            </w:r>
          </w:p>
          <w:p w:rsidR="00C267B9" w:rsidRDefault="00E21C80" w:rsidP="00C267B9">
            <w:pPr>
              <w:outlineLvl w:val="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>Utskottet inledde s</w:t>
            </w:r>
            <w:r w:rsidR="00C267B9" w:rsidRPr="00C267B9">
              <w:rPr>
                <w:rFonts w:eastAsiaTheme="minorHAnsi"/>
                <w:bCs/>
                <w:color w:val="000000"/>
                <w:szCs w:val="22"/>
                <w:lang w:eastAsia="en-US"/>
              </w:rPr>
              <w:t>ubsidiaritetsprövning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en av </w:t>
            </w:r>
            <w:proofErr w:type="gramStart"/>
            <w:r w:rsidRPr="00E21C80">
              <w:rPr>
                <w:rFonts w:eastAsiaTheme="minorHAnsi"/>
                <w:bCs/>
                <w:color w:val="000000"/>
                <w:szCs w:val="22"/>
                <w:lang w:eastAsia="en-US"/>
              </w:rPr>
              <w:t>COM(</w:t>
            </w:r>
            <w:proofErr w:type="gramEnd"/>
            <w:r w:rsidRPr="00E21C80">
              <w:rPr>
                <w:rFonts w:eastAsiaTheme="minorHAnsi"/>
                <w:bCs/>
                <w:color w:val="000000"/>
                <w:szCs w:val="22"/>
                <w:lang w:eastAsia="en-US"/>
              </w:rPr>
              <w:t>2021) 420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>.</w:t>
            </w:r>
          </w:p>
          <w:p w:rsidR="00E21C80" w:rsidRPr="00C267B9" w:rsidRDefault="00E21C80" w:rsidP="00C267B9">
            <w:pPr>
              <w:outlineLvl w:val="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</w:p>
          <w:p w:rsidR="00C267B9" w:rsidRDefault="00E21C80" w:rsidP="00D021DB">
            <w:pPr>
              <w:outlineLvl w:val="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  <w:r w:rsidRPr="00E21C80">
              <w:rPr>
                <w:rFonts w:eastAsiaTheme="minorHAnsi"/>
                <w:bCs/>
                <w:color w:val="000000"/>
                <w:szCs w:val="22"/>
                <w:lang w:eastAsia="en-US"/>
              </w:rPr>
              <w:t>Utskottet ansåg att förslaget inte strider mot subsidiaritetsprincipen.</w:t>
            </w:r>
          </w:p>
          <w:p w:rsidR="00872714" w:rsidRPr="00E21C80" w:rsidRDefault="00872714" w:rsidP="00D021DB">
            <w:pPr>
              <w:outlineLvl w:val="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</w:p>
          <w:p w:rsidR="00C267B9" w:rsidRPr="00D12ED4" w:rsidRDefault="00C267B9" w:rsidP="00D021DB">
            <w:pPr>
              <w:outlineLvl w:val="0"/>
              <w:rPr>
                <w:bCs/>
              </w:rPr>
            </w:pPr>
          </w:p>
        </w:tc>
      </w:tr>
      <w:tr w:rsidR="00C267B9" w:rsidTr="00D12ED4">
        <w:trPr>
          <w:trHeight w:val="707"/>
        </w:trPr>
        <w:tc>
          <w:tcPr>
            <w:tcW w:w="567" w:type="dxa"/>
          </w:tcPr>
          <w:p w:rsidR="00C267B9" w:rsidRDefault="00C267B9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655" w:type="dxa"/>
          </w:tcPr>
          <w:p w:rsidR="00C267B9" w:rsidRDefault="00C267B9" w:rsidP="00C267B9">
            <w:pPr>
              <w:outlineLvl w:val="0"/>
              <w:rPr>
                <w:b/>
                <w:bCs/>
              </w:rPr>
            </w:pPr>
            <w:r w:rsidRPr="00C267B9">
              <w:rPr>
                <w:b/>
                <w:bCs/>
              </w:rPr>
              <w:t>Kommissionens förslag till direktiv om mekanismer för att förhindra att det finansiella systemet används för penningtvätt eller finansiering av terrorism</w:t>
            </w:r>
            <w:r>
              <w:rPr>
                <w:b/>
                <w:bCs/>
              </w:rPr>
              <w:t xml:space="preserve"> </w:t>
            </w:r>
          </w:p>
          <w:p w:rsidR="00E21C80" w:rsidRDefault="00E21C80" w:rsidP="00E21C80">
            <w:pPr>
              <w:outlineLvl w:val="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>Utskottet inledde s</w:t>
            </w:r>
            <w:r w:rsidRPr="00C267B9">
              <w:rPr>
                <w:rFonts w:eastAsiaTheme="minorHAnsi"/>
                <w:bCs/>
                <w:color w:val="000000"/>
                <w:szCs w:val="22"/>
                <w:lang w:eastAsia="en-US"/>
              </w:rPr>
              <w:t>ubsidiaritetsprövning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en av </w:t>
            </w:r>
            <w:proofErr w:type="gramStart"/>
            <w:r w:rsidRPr="00E21C80">
              <w:rPr>
                <w:rFonts w:eastAsiaTheme="minorHAnsi"/>
                <w:bCs/>
                <w:color w:val="000000"/>
                <w:szCs w:val="22"/>
                <w:lang w:eastAsia="en-US"/>
              </w:rPr>
              <w:t>COM(</w:t>
            </w:r>
            <w:proofErr w:type="gramEnd"/>
            <w:r w:rsidRPr="00E21C80">
              <w:rPr>
                <w:rFonts w:eastAsiaTheme="minorHAnsi"/>
                <w:bCs/>
                <w:color w:val="000000"/>
                <w:szCs w:val="22"/>
                <w:lang w:eastAsia="en-US"/>
              </w:rPr>
              <w:t>2021) 42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>3.</w:t>
            </w:r>
          </w:p>
          <w:p w:rsidR="00E21C80" w:rsidRPr="00C267B9" w:rsidRDefault="00E21C80" w:rsidP="00E21C80">
            <w:pPr>
              <w:outlineLvl w:val="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</w:p>
          <w:p w:rsidR="00E21C80" w:rsidRPr="00E21C80" w:rsidRDefault="00E21C80" w:rsidP="00E21C80">
            <w:pPr>
              <w:outlineLvl w:val="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  <w:r w:rsidRPr="00E21C80">
              <w:rPr>
                <w:rFonts w:eastAsiaTheme="minorHAnsi"/>
                <w:bCs/>
                <w:color w:val="000000"/>
                <w:szCs w:val="22"/>
                <w:lang w:eastAsia="en-US"/>
              </w:rPr>
              <w:t>Utskottet ansåg att förslaget inte strider mot subsidiaritetsprincipen.</w:t>
            </w:r>
          </w:p>
          <w:p w:rsidR="00E21C80" w:rsidRPr="00AD47F5" w:rsidRDefault="00E21C80" w:rsidP="00D021DB">
            <w:pPr>
              <w:outlineLvl w:val="0"/>
              <w:rPr>
                <w:b/>
                <w:bCs/>
              </w:rPr>
            </w:pPr>
          </w:p>
        </w:tc>
      </w:tr>
      <w:tr w:rsidR="00C267B9" w:rsidTr="00D12ED4">
        <w:trPr>
          <w:trHeight w:val="707"/>
        </w:trPr>
        <w:tc>
          <w:tcPr>
            <w:tcW w:w="567" w:type="dxa"/>
          </w:tcPr>
          <w:p w:rsidR="00C267B9" w:rsidRDefault="00C267B9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C267B9" w:rsidRDefault="00C267B9" w:rsidP="00D021DB">
            <w:pPr>
              <w:outlineLvl w:val="0"/>
              <w:rPr>
                <w:b/>
                <w:bCs/>
              </w:rPr>
            </w:pPr>
            <w:r w:rsidRPr="00C267B9">
              <w:rPr>
                <w:b/>
                <w:bCs/>
              </w:rPr>
              <w:t>Kommissionens förslag till förordning om inrättande av en myndighet för bekämpning av penningtvätt och finansiering av terrorism</w:t>
            </w:r>
            <w:r>
              <w:rPr>
                <w:b/>
                <w:bCs/>
              </w:rPr>
              <w:t xml:space="preserve"> </w:t>
            </w:r>
          </w:p>
          <w:p w:rsidR="00E21C80" w:rsidRDefault="00E21C80" w:rsidP="00E21C80">
            <w:pPr>
              <w:outlineLvl w:val="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>Utskottet inledde s</w:t>
            </w:r>
            <w:r w:rsidRPr="00C267B9">
              <w:rPr>
                <w:rFonts w:eastAsiaTheme="minorHAnsi"/>
                <w:bCs/>
                <w:color w:val="000000"/>
                <w:szCs w:val="22"/>
                <w:lang w:eastAsia="en-US"/>
              </w:rPr>
              <w:t>ubsidiaritetsprövning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en av </w:t>
            </w:r>
            <w:proofErr w:type="gramStart"/>
            <w:r w:rsidRPr="00E21C80">
              <w:rPr>
                <w:rFonts w:eastAsiaTheme="minorHAnsi"/>
                <w:bCs/>
                <w:color w:val="000000"/>
                <w:szCs w:val="22"/>
                <w:lang w:eastAsia="en-US"/>
              </w:rPr>
              <w:t>COM(</w:t>
            </w:r>
            <w:proofErr w:type="gramEnd"/>
            <w:r w:rsidRPr="00E21C80">
              <w:rPr>
                <w:rFonts w:eastAsiaTheme="minorHAnsi"/>
                <w:bCs/>
                <w:color w:val="000000"/>
                <w:szCs w:val="22"/>
                <w:lang w:eastAsia="en-US"/>
              </w:rPr>
              <w:t>2021) 42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>1.</w:t>
            </w:r>
          </w:p>
          <w:p w:rsidR="00E21C80" w:rsidRPr="00C267B9" w:rsidRDefault="00E21C80" w:rsidP="00E21C80">
            <w:pPr>
              <w:outlineLvl w:val="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</w:p>
          <w:p w:rsidR="00E21C80" w:rsidRPr="00E21C80" w:rsidRDefault="00E21C80" w:rsidP="00E21C80">
            <w:pPr>
              <w:outlineLvl w:val="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  <w:r w:rsidRPr="00E21C80">
              <w:rPr>
                <w:rFonts w:eastAsiaTheme="minorHAnsi"/>
                <w:bCs/>
                <w:color w:val="000000"/>
                <w:szCs w:val="22"/>
                <w:lang w:eastAsia="en-US"/>
              </w:rPr>
              <w:t>Utskottet ansåg att förslaget inte strider mot subsidiaritetsprincipen.</w:t>
            </w:r>
          </w:p>
          <w:p w:rsidR="00E21C80" w:rsidRPr="00AD47F5" w:rsidRDefault="00E21C80" w:rsidP="00D021DB">
            <w:pPr>
              <w:outlineLvl w:val="0"/>
              <w:rPr>
                <w:b/>
                <w:bCs/>
              </w:rPr>
            </w:pPr>
          </w:p>
        </w:tc>
      </w:tr>
      <w:tr w:rsidR="00C267B9" w:rsidTr="00D12ED4">
        <w:trPr>
          <w:trHeight w:val="707"/>
        </w:trPr>
        <w:tc>
          <w:tcPr>
            <w:tcW w:w="567" w:type="dxa"/>
          </w:tcPr>
          <w:p w:rsidR="00C267B9" w:rsidRDefault="00C267B9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C267B9" w:rsidRDefault="00C267B9" w:rsidP="00D021DB">
            <w:pPr>
              <w:outlineLvl w:val="0"/>
              <w:rPr>
                <w:b/>
                <w:bCs/>
              </w:rPr>
            </w:pPr>
            <w:r w:rsidRPr="00C267B9">
              <w:rPr>
                <w:b/>
                <w:bCs/>
              </w:rPr>
              <w:t>Kommissionens förslag till förordning om uppgifter som ska åtfölja överföring av medel och vissa kryptotillgångar</w:t>
            </w:r>
            <w:r>
              <w:rPr>
                <w:b/>
                <w:bCs/>
              </w:rPr>
              <w:t xml:space="preserve"> </w:t>
            </w:r>
          </w:p>
          <w:p w:rsidR="00E21C80" w:rsidRDefault="00E21C80" w:rsidP="00E21C80">
            <w:pPr>
              <w:outlineLvl w:val="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>Utskottet inledde s</w:t>
            </w:r>
            <w:r w:rsidRPr="00C267B9">
              <w:rPr>
                <w:rFonts w:eastAsiaTheme="minorHAnsi"/>
                <w:bCs/>
                <w:color w:val="000000"/>
                <w:szCs w:val="22"/>
                <w:lang w:eastAsia="en-US"/>
              </w:rPr>
              <w:t>ubsidiaritetsprövning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en av </w:t>
            </w:r>
            <w:proofErr w:type="gramStart"/>
            <w:r w:rsidRPr="00E21C80">
              <w:rPr>
                <w:rFonts w:eastAsiaTheme="minorHAnsi"/>
                <w:bCs/>
                <w:color w:val="000000"/>
                <w:szCs w:val="22"/>
                <w:lang w:eastAsia="en-US"/>
              </w:rPr>
              <w:t>COM(</w:t>
            </w:r>
            <w:proofErr w:type="gramEnd"/>
            <w:r w:rsidRPr="00E21C80">
              <w:rPr>
                <w:rFonts w:eastAsiaTheme="minorHAnsi"/>
                <w:bCs/>
                <w:color w:val="000000"/>
                <w:szCs w:val="22"/>
                <w:lang w:eastAsia="en-US"/>
              </w:rPr>
              <w:t>2021) 42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>2.</w:t>
            </w:r>
          </w:p>
          <w:p w:rsidR="00E21C80" w:rsidRPr="00C267B9" w:rsidRDefault="00E21C80" w:rsidP="00E21C80">
            <w:pPr>
              <w:outlineLvl w:val="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</w:p>
          <w:p w:rsidR="00E21C80" w:rsidRPr="00E21C80" w:rsidRDefault="00E21C80" w:rsidP="00E21C80">
            <w:pPr>
              <w:outlineLvl w:val="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  <w:r w:rsidRPr="00E21C80">
              <w:rPr>
                <w:rFonts w:eastAsiaTheme="minorHAnsi"/>
                <w:bCs/>
                <w:color w:val="000000"/>
                <w:szCs w:val="22"/>
                <w:lang w:eastAsia="en-US"/>
              </w:rPr>
              <w:t>Utskottet ansåg att förslaget inte strider mot subsidiaritetsprincipen.</w:t>
            </w:r>
          </w:p>
          <w:p w:rsidR="00C267B9" w:rsidRPr="00AD47F5" w:rsidRDefault="00C267B9" w:rsidP="00D021DB">
            <w:pPr>
              <w:outlineLvl w:val="0"/>
              <w:rPr>
                <w:b/>
                <w:bCs/>
              </w:rPr>
            </w:pPr>
          </w:p>
        </w:tc>
      </w:tr>
      <w:tr w:rsidR="00C267B9" w:rsidTr="00D12ED4">
        <w:trPr>
          <w:trHeight w:val="707"/>
        </w:trPr>
        <w:tc>
          <w:tcPr>
            <w:tcW w:w="567" w:type="dxa"/>
          </w:tcPr>
          <w:p w:rsidR="00C267B9" w:rsidRDefault="00C267B9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655" w:type="dxa"/>
          </w:tcPr>
          <w:p w:rsidR="00C267B9" w:rsidRDefault="00C267B9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C0F8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Vissa propositioner om skattefrågor (FiU1)</w:t>
            </w:r>
          </w:p>
          <w:p w:rsidR="00C267B9" w:rsidRDefault="00C267B9" w:rsidP="00C267B9">
            <w:pPr>
              <w:rPr>
                <w:sz w:val="22"/>
                <w:lang w:eastAsia="en-US"/>
              </w:rPr>
            </w:pPr>
            <w:r>
              <w:rPr>
                <w:b/>
                <w:bCs/>
              </w:rPr>
              <w:t>Inhämtande av yttrande över skattefrågor</w:t>
            </w:r>
          </w:p>
          <w:p w:rsidR="00C267B9" w:rsidRDefault="00C267B9" w:rsidP="00C267B9">
            <w:pPr>
              <w:rPr>
                <w:szCs w:val="24"/>
              </w:rPr>
            </w:pPr>
            <w:r>
              <w:t>Finansutskottet besluta</w:t>
            </w:r>
            <w:r w:rsidR="00D549FB">
              <w:t>de</w:t>
            </w:r>
            <w:r>
              <w:t xml:space="preserve"> att bereda skatteutskottet tillfälle att senast torsdagen den 11 november 2021 kl. 14.00 avge yttrande</w:t>
            </w:r>
            <w:r w:rsidR="00D549FB">
              <w:t>n</w:t>
            </w:r>
            <w:r>
              <w:t xml:space="preserve"> (inkl. avvikande meningar) över proposition 2021/22:16, 20, 25, 33 och 34 </w:t>
            </w:r>
            <w:r w:rsidR="00D549FB">
              <w:t xml:space="preserve"> och eventuella</w:t>
            </w:r>
            <w:r>
              <w:t xml:space="preserve"> </w:t>
            </w:r>
            <w:r w:rsidR="00D549FB">
              <w:t>följdmotioner</w:t>
            </w:r>
            <w:r>
              <w:t xml:space="preserve"> som kan komma att väckas</w:t>
            </w:r>
            <w:r w:rsidR="00D549FB">
              <w:t xml:space="preserve"> i anslutning till dessa propositioner</w:t>
            </w:r>
            <w:r>
              <w:t>.  </w:t>
            </w:r>
          </w:p>
          <w:p w:rsidR="00C267B9" w:rsidRPr="00AD47F5" w:rsidRDefault="00C267B9" w:rsidP="00C267B9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67B9">
              <w:rPr>
                <w:b/>
                <w:snapToGrid w:val="0"/>
              </w:rPr>
              <w:t>1</w:t>
            </w:r>
            <w:r w:rsidR="00872714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267B9" w:rsidRDefault="00C267B9" w:rsidP="00C267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T</w:t>
            </w:r>
            <w:r w:rsidR="00872714">
              <w:rPr>
                <w:rFonts w:eastAsiaTheme="minorHAnsi"/>
                <w:color w:val="000000"/>
                <w:szCs w:val="24"/>
                <w:lang w:eastAsia="en-US"/>
              </w:rPr>
              <w:t>orsdag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</w:t>
            </w:r>
            <w:r w:rsidR="00872714">
              <w:rPr>
                <w:rFonts w:eastAsiaTheme="minorHAnsi"/>
                <w:color w:val="000000"/>
                <w:szCs w:val="24"/>
                <w:lang w:eastAsia="en-US"/>
              </w:rPr>
              <w:t>8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oktober kl. 10.30</w:t>
            </w:r>
          </w:p>
          <w:p w:rsidR="00C267B9" w:rsidRPr="00AD47F5" w:rsidRDefault="00C267B9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E21C80">
        <w:rPr>
          <w:sz w:val="22"/>
          <w:szCs w:val="22"/>
        </w:rPr>
        <w:t>11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E21C8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21C8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872714">
              <w:rPr>
                <w:sz w:val="22"/>
                <w:szCs w:val="22"/>
              </w:rPr>
              <w:t>12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4E3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540593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="004C6601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14E3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872714">
              <w:rPr>
                <w:snapToGrid w:val="0"/>
                <w:sz w:val="22"/>
                <w:szCs w:val="22"/>
              </w:rPr>
              <w:t>David Perez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E21C8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0" w:rsidRDefault="00E21C8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0" w:rsidRPr="000E151F" w:rsidRDefault="00E21C8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0" w:rsidRPr="000E151F" w:rsidRDefault="00E21C8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0" w:rsidRPr="000E151F" w:rsidRDefault="0087271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0" w:rsidRPr="000E151F" w:rsidRDefault="00E21C8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0" w:rsidRPr="000E151F" w:rsidRDefault="00E21C8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0" w:rsidRPr="000E151F" w:rsidRDefault="00E21C8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0" w:rsidRPr="000E151F" w:rsidRDefault="00E21C8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0" w:rsidRPr="000E151F" w:rsidRDefault="00E21C8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0" w:rsidRPr="000E151F" w:rsidRDefault="00E21C8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0" w:rsidRPr="000E151F" w:rsidRDefault="00E21C8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0" w:rsidRPr="000E151F" w:rsidRDefault="00E21C8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0" w:rsidRPr="000E151F" w:rsidRDefault="00E21C8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1947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06EF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1740B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2714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AF6DEE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267B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49FB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1C80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1C8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C0AA3-8C02-4583-809B-A0D4FC0F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585</Words>
  <Characters>4314</Characters>
  <Application>Microsoft Office Word</Application>
  <DocSecurity>0</DocSecurity>
  <Lines>1078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9</cp:revision>
  <cp:lastPrinted>2018-10-02T11:13:00Z</cp:lastPrinted>
  <dcterms:created xsi:type="dcterms:W3CDTF">2021-10-20T10:53:00Z</dcterms:created>
  <dcterms:modified xsi:type="dcterms:W3CDTF">2021-11-11T12:24:00Z</dcterms:modified>
</cp:coreProperties>
</file>