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057D" w:rsidRPr="003D057D" w:rsidRDefault="003D057D"/>
    <w:p w:rsidR="003D057D" w:rsidRPr="003D057D" w:rsidRDefault="003D057D">
      <w:pPr>
        <w:pStyle w:val="Rubrik1"/>
      </w:pPr>
      <w:r w:rsidRPr="003D057D">
        <w:t>Förslag till riksdagsbeslut</w:t>
      </w:r>
    </w:p>
    <w:p w:rsidR="003D057D" w:rsidRPr="003D057D" w:rsidRDefault="003D057D">
      <w:pPr>
        <w:pStyle w:val="Hemstlatt"/>
        <w:ind w:left="0"/>
      </w:pPr>
      <w:r w:rsidRPr="003D057D">
        <w:t>Riksdagen anvisar med följande ändringar i förhålla</w:t>
      </w:r>
      <w:r w:rsidRPr="003D057D">
        <w:t>n</w:t>
      </w:r>
      <w:r w:rsidRPr="003D057D">
        <w:t>de till regeringens förslag anslagen under utgiftsområde 7 Internationellt bistånd enligt uppställning:</w:t>
      </w:r>
    </w:p>
    <w:p w:rsidR="003D057D" w:rsidRPr="003D057D" w:rsidRDefault="003D057D"/>
    <w:tbl>
      <w:tblPr>
        <w:tblW w:w="595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098"/>
        <w:gridCol w:w="1743"/>
        <w:gridCol w:w="1413"/>
      </w:tblGrid>
      <w:tr w:rsidR="00000000" w:rsidRPr="003D057D">
        <w:trPr>
          <w:trHeight w:val="484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057D">
              <w:rPr>
                <w:b/>
                <w:bCs/>
                <w:color w:val="000000"/>
                <w:sz w:val="16"/>
                <w:szCs w:val="16"/>
              </w:rPr>
              <w:t>Anslag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057D">
              <w:rPr>
                <w:b/>
                <w:bCs/>
                <w:color w:val="000000"/>
                <w:sz w:val="16"/>
                <w:szCs w:val="16"/>
              </w:rPr>
              <w:t>Regeringens förslag (tkr)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057D">
              <w:rPr>
                <w:b/>
                <w:bCs/>
                <w:color w:val="000000"/>
                <w:sz w:val="16"/>
                <w:szCs w:val="16"/>
              </w:rPr>
              <w:t>Anslagsförän</w:t>
            </w:r>
            <w:r w:rsidRPr="003D057D">
              <w:rPr>
                <w:b/>
                <w:bCs/>
                <w:color w:val="000000"/>
                <w:sz w:val="16"/>
                <w:szCs w:val="16"/>
              </w:rPr>
              <w:t>d</w:t>
            </w:r>
            <w:r w:rsidRPr="003D057D">
              <w:rPr>
                <w:b/>
                <w:bCs/>
                <w:color w:val="000000"/>
                <w:sz w:val="16"/>
                <w:szCs w:val="16"/>
              </w:rPr>
              <w:t>ring (tkr)</w:t>
            </w:r>
          </w:p>
        </w:tc>
      </w:tr>
      <w:tr w:rsidR="00000000" w:rsidRPr="003D057D">
        <w:trPr>
          <w:trHeight w:val="36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D057D">
              <w:rPr>
                <w:color w:val="000000"/>
                <w:sz w:val="16"/>
                <w:szCs w:val="16"/>
              </w:rPr>
              <w:t>1:1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D057D">
              <w:rPr>
                <w:color w:val="000000"/>
                <w:sz w:val="16"/>
                <w:szCs w:val="16"/>
              </w:rPr>
              <w:t>Klimatbistånd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3D057D">
              <w:rPr>
                <w:color w:val="000000"/>
                <w:sz w:val="16"/>
                <w:szCs w:val="16"/>
              </w:rPr>
              <w:t>27 627 000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3D057D">
              <w:rPr>
                <w:color w:val="000000"/>
                <w:sz w:val="16"/>
                <w:szCs w:val="16"/>
              </w:rPr>
              <w:t>500 000</w:t>
            </w:r>
          </w:p>
        </w:tc>
      </w:tr>
      <w:tr w:rsidR="00000000" w:rsidRPr="003D057D">
        <w:trPr>
          <w:trHeight w:val="368"/>
        </w:trPr>
        <w:tc>
          <w:tcPr>
            <w:tcW w:w="700" w:type="dxa"/>
            <w:tcBorders>
              <w:top w:val="nil"/>
              <w:left w:val="nil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D057D">
              <w:rPr>
                <w:color w:val="000000"/>
                <w:sz w:val="16"/>
                <w:szCs w:val="16"/>
              </w:rPr>
              <w:t xml:space="preserve">1:1 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D057D">
              <w:rPr>
                <w:color w:val="000000"/>
                <w:sz w:val="16"/>
                <w:szCs w:val="16"/>
              </w:rPr>
              <w:t>Kompensation för flyktin</w:t>
            </w:r>
            <w:r w:rsidRPr="003D057D">
              <w:rPr>
                <w:color w:val="000000"/>
                <w:sz w:val="16"/>
                <w:szCs w:val="16"/>
              </w:rPr>
              <w:t>g</w:t>
            </w:r>
            <w:r w:rsidRPr="003D057D">
              <w:rPr>
                <w:color w:val="000000"/>
                <w:sz w:val="16"/>
                <w:szCs w:val="16"/>
              </w:rPr>
              <w:t>mottagande</w:t>
            </w:r>
          </w:p>
        </w:tc>
        <w:tc>
          <w:tcPr>
            <w:tcW w:w="1743" w:type="dxa"/>
            <w:tcBorders>
              <w:top w:val="nil"/>
              <w:left w:val="nil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3D057D">
              <w:rPr>
                <w:color w:val="000000"/>
                <w:sz w:val="16"/>
                <w:szCs w:val="16"/>
              </w:rPr>
              <w:t>27 627 000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3D057D">
              <w:rPr>
                <w:color w:val="000000"/>
                <w:sz w:val="16"/>
                <w:szCs w:val="16"/>
              </w:rPr>
              <w:t>994 000</w:t>
            </w:r>
          </w:p>
        </w:tc>
      </w:tr>
      <w:tr w:rsidR="00000000" w:rsidRPr="003D057D">
        <w:trPr>
          <w:trHeight w:val="368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D057D">
              <w:rPr>
                <w:b/>
                <w:sz w:val="16"/>
                <w:szCs w:val="16"/>
              </w:rPr>
              <w:t>Summa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57D" w:rsidRPr="003D057D" w:rsidRDefault="003D057D">
            <w:pPr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3D057D">
              <w:rPr>
                <w:b/>
                <w:sz w:val="16"/>
                <w:szCs w:val="16"/>
              </w:rPr>
              <w:t>1 494 000</w:t>
            </w:r>
          </w:p>
        </w:tc>
      </w:tr>
    </w:tbl>
    <w:p w:rsidR="003D057D" w:rsidRPr="003D057D" w:rsidRDefault="003D057D">
      <w:pPr>
        <w:pStyle w:val="Normaltindrag"/>
        <w:ind w:firstLine="0"/>
        <w:rPr>
          <w:b/>
          <w:sz w:val="16"/>
          <w:szCs w:val="16"/>
        </w:rPr>
      </w:pPr>
      <w:r w:rsidRPr="003D057D">
        <w:rPr>
          <w:b/>
          <w:sz w:val="16"/>
          <w:szCs w:val="16"/>
        </w:rPr>
        <w:tab/>
      </w:r>
      <w:r w:rsidRPr="003D057D">
        <w:rPr>
          <w:b/>
          <w:sz w:val="16"/>
          <w:szCs w:val="16"/>
        </w:rPr>
        <w:tab/>
      </w:r>
      <w:r w:rsidRPr="003D057D">
        <w:rPr>
          <w:b/>
          <w:sz w:val="16"/>
          <w:szCs w:val="16"/>
        </w:rPr>
        <w:tab/>
      </w:r>
    </w:p>
    <w:p w:rsidR="003D057D" w:rsidRPr="003D057D" w:rsidRDefault="003D057D"/>
    <w:p w:rsidR="003D057D" w:rsidRPr="003D057D" w:rsidRDefault="003D057D">
      <w:pPr>
        <w:pStyle w:val="Rubrik1"/>
        <w:spacing w:before="480"/>
      </w:pPr>
      <w:r w:rsidRPr="003D057D">
        <w:t>Motivering</w:t>
      </w:r>
    </w:p>
    <w:p w:rsidR="003D057D" w:rsidRPr="003D057D" w:rsidRDefault="003D057D">
      <w:r w:rsidRPr="003D057D">
        <w:t>I regeringens förslag till budget uppfylls formellt enprocentsmålet för svenskt utvecklingssamarbete. Samtidigt sker en kraftig urholkning, vilket Vänste</w:t>
      </w:r>
      <w:r w:rsidRPr="003D057D">
        <w:t>r</w:t>
      </w:r>
      <w:r w:rsidRPr="003D057D">
        <w:t>partiet är skarpt kritiskt till. 2 039 miljoner kronor avräknas från biståndsr</w:t>
      </w:r>
      <w:r w:rsidRPr="003D057D">
        <w:t>a</w:t>
      </w:r>
      <w:r w:rsidRPr="003D057D">
        <w:t xml:space="preserve">men för flyktingkostnader. Det är inte rimligt att det flyktingmottagande som sker i Sverige finansieras genom biståndsbudgeten, och det står i strid med grunderna för svensk biståndspolitik (prop. 2002/03:122 Gemensamt ansvar: Sveriges politik för global utveckling). </w:t>
      </w:r>
    </w:p>
    <w:p w:rsidR="003D057D" w:rsidRPr="003D057D" w:rsidRDefault="003D057D">
      <w:pPr>
        <w:pStyle w:val="Normaltindrag"/>
      </w:pPr>
      <w:r w:rsidRPr="003D057D">
        <w:t>Vänsterpartiet vill se en omfördelning inom biståndsramen där 994 milj</w:t>
      </w:r>
      <w:r w:rsidRPr="003D057D">
        <w:t>o</w:t>
      </w:r>
      <w:r w:rsidRPr="003D057D">
        <w:t xml:space="preserve">ner kronor av avräkningarna för flyktingmottagande inte ska avräknas från biståndsramen utan i stället belasta utgiftsområde 8. Det innebär att det reella </w:t>
      </w:r>
      <w:r w:rsidRPr="003D057D">
        <w:lastRenderedPageBreak/>
        <w:t>utvecklingssamarbetet förstärks med 994 miljoner kronor i Vänsterpartiets budget. Resterande 1 045 miljoner kronor vill vi ska användas till hum</w:t>
      </w:r>
      <w:r w:rsidRPr="003D057D">
        <w:t>a</w:t>
      </w:r>
      <w:r w:rsidRPr="003D057D">
        <w:t>nitär hjälp till de människor som lever på flykt i andra delar av världen. Ett sådant stöd får dock inte utformas på ett sådant sätt att det ersätter flyktingmottaga</w:t>
      </w:r>
      <w:r w:rsidRPr="003D057D">
        <w:t>n</w:t>
      </w:r>
      <w:r w:rsidRPr="003D057D">
        <w:t>de i Sverige eller används som förevändning f</w:t>
      </w:r>
      <w:r w:rsidRPr="003D057D">
        <w:t>ör att inskränka mö</w:t>
      </w:r>
      <w:r w:rsidRPr="003D057D">
        <w:t>j</w:t>
      </w:r>
      <w:r w:rsidRPr="003D057D">
        <w:t>ligheterna att söka asyl.</w:t>
      </w:r>
    </w:p>
    <w:p w:rsidR="003D057D" w:rsidRPr="003D057D" w:rsidRDefault="003D057D">
      <w:pPr>
        <w:pStyle w:val="Normaltindrag"/>
      </w:pPr>
      <w:r w:rsidRPr="003D057D">
        <w:t>För tredje året i rad genomförs avräkningar från biståndsramen för skul</w:t>
      </w:r>
      <w:r w:rsidRPr="003D057D">
        <w:t>d</w:t>
      </w:r>
      <w:r w:rsidRPr="003D057D">
        <w:t>avskrivningar. 2009 vill regeringen ta 77 miljoner kronor för skuldavskri</w:t>
      </w:r>
      <w:r w:rsidRPr="003D057D">
        <w:t>v</w:t>
      </w:r>
      <w:r w:rsidRPr="003D057D">
        <w:t>ningar till Togo. Vi tycker det är avgörande att det sker omfattande skulda</w:t>
      </w:r>
      <w:r w:rsidRPr="003D057D">
        <w:t>v</w:t>
      </w:r>
      <w:r w:rsidRPr="003D057D">
        <w:t>skrivningar, men anser inte att det är befolkningen i syd som ska betala för dem genom uteblivet bistånd, i synnerhet inte om skulderna är att betrakta som illegitima. De 77 miljoner kronor som avräknas för skuldavskrivningar bör därför inte belasta biståndsramen. Exportkreditnämnden (EKN) som har skuldebreven, bör i stället bära kostnaden för denna skuldavsk</w:t>
      </w:r>
      <w:r w:rsidRPr="003D057D">
        <w:t>rivning.</w:t>
      </w:r>
    </w:p>
    <w:p w:rsidR="003D057D" w:rsidRPr="003D057D" w:rsidRDefault="003D057D">
      <w:pPr>
        <w:pStyle w:val="Normaltindrag"/>
      </w:pPr>
      <w:r w:rsidRPr="003D057D">
        <w:t>Vänsterpartiet föreslår en satsning på klimatbistånd på 3 000 miljoner kr</w:t>
      </w:r>
      <w:r w:rsidRPr="003D057D">
        <w:t>o</w:t>
      </w:r>
      <w:r w:rsidRPr="003D057D">
        <w:t>nor till år 2011; dessa ska ligga utöver den föreslagna biståndsramen. Det skulle gå till att dels förebygga klimatförändringar i syd, dels motverka kl</w:t>
      </w:r>
      <w:r w:rsidRPr="003D057D">
        <w:t>i</w:t>
      </w:r>
      <w:r w:rsidRPr="003D057D">
        <w:t>matförändringarnas konsekvenser i syd, som beräknas bli oerhört omfattande.  I delar av Afrika beräknas t.ex. livsmedelsproduktionen minska med upp till 50 procent fram till 2020. Dessa medel får dock inte användas till att finansi</w:t>
      </w:r>
      <w:r w:rsidRPr="003D057D">
        <w:t>e</w:t>
      </w:r>
      <w:r w:rsidRPr="003D057D">
        <w:t>ra Sveriges egna åtaganden inom Kyotoprotokollet. Vi vill införa klimatb</w:t>
      </w:r>
      <w:r w:rsidRPr="003D057D">
        <w:t>i</w:t>
      </w:r>
      <w:r w:rsidRPr="003D057D">
        <w:t>ståndet enligt en trappmodell, där 500 miljoner kronor</w:t>
      </w:r>
      <w:r w:rsidRPr="003D057D">
        <w:t xml:space="preserve"> avsätts år 2009, 1 000 miljoner kronor 2010 och 1 500 miljoner kronor 2011. Även regeringen har gjort en ”satsning” på klimatbistånd, men till skillnad från Vänsterpartiet väljer man att omfördela medel inom biståndsramen. Regeringens klimatb</w:t>
      </w:r>
      <w:r w:rsidRPr="003D057D">
        <w:t>i</w:t>
      </w:r>
      <w:r w:rsidRPr="003D057D">
        <w:t>stånd kommer med andra ord ske på bekostnad av annat utvecklingssamarb</w:t>
      </w:r>
      <w:r w:rsidRPr="003D057D">
        <w:t>e</w:t>
      </w:r>
      <w:r w:rsidRPr="003D057D">
        <w:t>te. Det är för Vänsterpartiet en oacceptabel ordning.</w:t>
      </w:r>
    </w:p>
    <w:p w:rsidR="003D057D" w:rsidRPr="003D057D" w:rsidRDefault="003D057D">
      <w:pPr>
        <w:pStyle w:val="Normaltindrag"/>
      </w:pPr>
      <w:r w:rsidRPr="003D057D">
        <w:t>Vänsterpartiet har under åren arbetat för att enprocentsmålet för svenskt utvecklingssamarbete ska nås. När det nu formellt uppnåtts är det dag</w:t>
      </w:r>
      <w:r w:rsidRPr="003D057D">
        <w:t>s att diskutera ett enprocentsgolv. Med Vänsterpartiets föreslagna satsningar skulle det innebära att Sverige skulle ge drygt 1,044 procent av BNI, eller 35 357 miljoner kronor i utvecklingssamarbete. Dessutom skulle avräkningarna från biståndsramen bli 1 071 miljoner kronor lägre. Med andra ord skulle utvec</w:t>
      </w:r>
      <w:r w:rsidRPr="003D057D">
        <w:t>k</w:t>
      </w:r>
      <w:r w:rsidRPr="003D057D">
        <w:t>lingssamarbetet med en vänsterpartistisk biståndspolitik bli mer omfattande och mer effektivt.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057D">
        <w:trPr>
          <w:cantSplit/>
        </w:trPr>
        <w:tc>
          <w:tcPr>
            <w:tcW w:w="3046" w:type="dxa"/>
          </w:tcPr>
          <w:p w:rsidR="003D057D" w:rsidRPr="003D057D" w:rsidRDefault="003D057D">
            <w:pPr>
              <w:pStyle w:val="UnderskriftDatum"/>
              <w:spacing w:before="240"/>
            </w:pPr>
            <w:r w:rsidRPr="003D057D">
              <w:t>Stockholm den 26 september 2008</w:t>
            </w:r>
          </w:p>
        </w:tc>
        <w:tc>
          <w:tcPr>
            <w:tcW w:w="3047" w:type="dxa"/>
          </w:tcPr>
          <w:p w:rsidR="003D057D" w:rsidRPr="003D057D" w:rsidRDefault="003D057D">
            <w:pPr>
              <w:pStyle w:val="Underskrifter"/>
              <w:spacing w:before="240"/>
            </w:pPr>
          </w:p>
        </w:tc>
      </w:tr>
      <w:tr w:rsidR="00000000" w:rsidRPr="003D057D">
        <w:trPr>
          <w:cantSplit/>
        </w:trPr>
        <w:tc>
          <w:tcPr>
            <w:tcW w:w="3046" w:type="dxa"/>
          </w:tcPr>
          <w:p w:rsidR="003D057D" w:rsidRPr="003D057D" w:rsidRDefault="003D057D">
            <w:pPr>
              <w:pStyle w:val="Underskrifter"/>
            </w:pPr>
            <w:r w:rsidRPr="003D057D">
              <w:t>Lars Ohly (v)</w:t>
            </w:r>
          </w:p>
        </w:tc>
        <w:tc>
          <w:tcPr>
            <w:tcW w:w="3046" w:type="dxa"/>
          </w:tcPr>
          <w:p w:rsidR="003D057D" w:rsidRPr="003D057D" w:rsidRDefault="003D057D">
            <w:pPr>
              <w:pStyle w:val="Underskrifter"/>
            </w:pPr>
          </w:p>
        </w:tc>
      </w:tr>
      <w:tr w:rsidR="00000000" w:rsidRPr="003D057D">
        <w:trPr>
          <w:cantSplit/>
        </w:trPr>
        <w:tc>
          <w:tcPr>
            <w:tcW w:w="3046" w:type="dxa"/>
          </w:tcPr>
          <w:p w:rsidR="003D057D" w:rsidRPr="003D057D" w:rsidRDefault="003D057D">
            <w:pPr>
              <w:pStyle w:val="Underskrifter"/>
            </w:pPr>
            <w:r w:rsidRPr="003D057D">
              <w:t>Marianne Berg (v)</w:t>
            </w:r>
          </w:p>
        </w:tc>
        <w:tc>
          <w:tcPr>
            <w:tcW w:w="3046" w:type="dxa"/>
          </w:tcPr>
          <w:p w:rsidR="003D057D" w:rsidRPr="003D057D" w:rsidRDefault="003D057D">
            <w:pPr>
              <w:pStyle w:val="Underskrifter"/>
            </w:pPr>
            <w:r w:rsidRPr="003D057D">
              <w:t>Jacob Johnson (v)</w:t>
            </w:r>
          </w:p>
        </w:tc>
      </w:tr>
      <w:tr w:rsidR="00000000" w:rsidRPr="003D057D">
        <w:trPr>
          <w:cantSplit/>
        </w:trPr>
        <w:tc>
          <w:tcPr>
            <w:tcW w:w="3046" w:type="dxa"/>
          </w:tcPr>
          <w:p w:rsidR="003D057D" w:rsidRPr="003D057D" w:rsidRDefault="003D057D">
            <w:pPr>
              <w:pStyle w:val="Underskrifter"/>
            </w:pPr>
            <w:r w:rsidRPr="003D057D">
              <w:t>Elina Linna (v)</w:t>
            </w:r>
          </w:p>
        </w:tc>
        <w:tc>
          <w:tcPr>
            <w:tcW w:w="3046" w:type="dxa"/>
          </w:tcPr>
          <w:p w:rsidR="003D057D" w:rsidRPr="003D057D" w:rsidRDefault="003D057D">
            <w:pPr>
              <w:pStyle w:val="Underskrifter"/>
            </w:pPr>
            <w:r w:rsidRPr="003D057D">
              <w:t>Gunilla Wahlén (v)</w:t>
            </w:r>
          </w:p>
        </w:tc>
      </w:tr>
      <w:tr w:rsidR="00000000" w:rsidRPr="003D057D">
        <w:trPr>
          <w:cantSplit/>
        </w:trPr>
        <w:tc>
          <w:tcPr>
            <w:tcW w:w="3046" w:type="dxa"/>
          </w:tcPr>
          <w:p w:rsidR="003D057D" w:rsidRPr="003D057D" w:rsidRDefault="003D057D">
            <w:pPr>
              <w:pStyle w:val="Underskrifter"/>
            </w:pPr>
            <w:r w:rsidRPr="003D057D">
              <w:t>Alice Åström (v)</w:t>
            </w:r>
          </w:p>
        </w:tc>
        <w:tc>
          <w:tcPr>
            <w:tcW w:w="3046" w:type="dxa"/>
          </w:tcPr>
          <w:p w:rsidR="003D057D" w:rsidRPr="003D057D" w:rsidRDefault="003D057D">
            <w:pPr>
              <w:pStyle w:val="Underskrifter"/>
            </w:pPr>
            <w:r w:rsidRPr="003D057D">
              <w:t>Hans Linde (v)</w:t>
            </w:r>
          </w:p>
        </w:tc>
      </w:tr>
    </w:tbl>
    <w:p w:rsidR="003D057D" w:rsidRPr="003D057D" w:rsidRDefault="003D057D">
      <w:pPr>
        <w:pStyle w:val="Normaltindrag"/>
      </w:pPr>
    </w:p>
    <w:sectPr w:rsidR="00000000" w:rsidRPr="003D0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057D" w:rsidRPr="003D057D" w:rsidRDefault="003D057D">
      <w:r w:rsidRPr="003D057D">
        <w:separator/>
      </w:r>
    </w:p>
  </w:endnote>
  <w:endnote w:type="continuationSeparator" w:id="0">
    <w:p w:rsidR="003D057D" w:rsidRPr="003D057D" w:rsidRDefault="003D057D">
      <w:r w:rsidRPr="003D0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57D" w:rsidRPr="003D057D" w:rsidRDefault="003D057D">
    <w:pPr>
      <w:pStyle w:val="Sidfot"/>
    </w:pPr>
    <w:r w:rsidRPr="003D05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30521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57D" w:rsidRDefault="003D05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057D" w:rsidRDefault="003D05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57D" w:rsidRPr="003D057D" w:rsidRDefault="003D057D">
    <w:pPr>
      <w:pStyle w:val="Sidfot"/>
    </w:pPr>
    <w:r w:rsidRPr="003D05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64531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57D" w:rsidRDefault="003D05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057D" w:rsidRDefault="003D05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57D" w:rsidRPr="003D057D" w:rsidRDefault="003D057D">
    <w:pPr>
      <w:pStyle w:val="Sidfot"/>
    </w:pPr>
    <w:r w:rsidRPr="003D05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33968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57D" w:rsidRDefault="003D05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057D" w:rsidRDefault="003D05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057D" w:rsidRPr="003D057D" w:rsidRDefault="003D057D">
      <w:r w:rsidRPr="003D057D">
        <w:separator/>
      </w:r>
    </w:p>
  </w:footnote>
  <w:footnote w:type="continuationSeparator" w:id="0">
    <w:p w:rsidR="003D057D" w:rsidRPr="003D057D" w:rsidRDefault="003D057D">
      <w:r w:rsidRPr="003D05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57D" w:rsidRPr="003D057D" w:rsidRDefault="003D057D">
    <w:pPr>
      <w:pStyle w:val="Sidhuvud"/>
    </w:pPr>
    <w:r w:rsidRPr="003D05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47845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57D" w:rsidRDefault="003D05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057D" w:rsidRDefault="003D05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57D" w:rsidRPr="003D057D" w:rsidRDefault="003D057D">
    <w:pPr>
      <w:pStyle w:val="Sidhuvud"/>
    </w:pPr>
    <w:r w:rsidRPr="003D05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17572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57D" w:rsidRDefault="003D05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057D" w:rsidRDefault="003D05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57D" w:rsidRPr="003D057D" w:rsidRDefault="003D057D">
    <w:pPr>
      <w:pStyle w:val="FSHNormal"/>
      <w:tabs>
        <w:tab w:val="right" w:pos="5840"/>
      </w:tabs>
    </w:pPr>
    <w:r w:rsidRPr="003D057D">
      <w:br/>
    </w:r>
    <w:r w:rsidRPr="003D057D">
      <w:fldChar w:fldCharType="begin" w:fldLock="1"/>
    </w:r>
    <w:r w:rsidRPr="003D057D">
      <w:instrText xml:space="preserve"> DOCPROPERTY</w:instrText>
    </w:r>
    <w:r w:rsidRPr="003D057D">
      <w:rPr>
        <w:sz w:val="18"/>
      </w:rPr>
      <w:instrText xml:space="preserve"> "YearUser" *\charformat </w:instrText>
    </w:r>
    <w:r w:rsidRPr="003D057D">
      <w:fldChar w:fldCharType="separate"/>
    </w:r>
    <w:r w:rsidRPr="003D057D">
      <w:t>2008/09</w:t>
    </w:r>
    <w:r w:rsidRPr="003D057D">
      <w:fldChar w:fldCharType="end"/>
    </w:r>
    <w:r w:rsidRPr="003D057D">
      <w:t xml:space="preserve"> </w:t>
    </w:r>
    <w:r w:rsidRPr="003D057D">
      <w:tab/>
      <w:t xml:space="preserve">mnr: </w:t>
    </w:r>
    <w:r w:rsidRPr="003D057D">
      <w:fldChar w:fldCharType="begin" w:fldLock="1"/>
    </w:r>
    <w:r w:rsidRPr="003D057D">
      <w:instrText xml:space="preserve"> DOCPROPERTY</w:instrText>
    </w:r>
    <w:r w:rsidRPr="003D057D">
      <w:rPr>
        <w:sz w:val="18"/>
      </w:rPr>
      <w:instrText xml:space="preserve"> "Motionsnummer" *\charformat </w:instrText>
    </w:r>
    <w:r w:rsidRPr="003D057D">
      <w:fldChar w:fldCharType="separate"/>
    </w:r>
    <w:r w:rsidRPr="003D057D">
      <w:t>U285</w:t>
    </w:r>
    <w:r w:rsidRPr="003D057D">
      <w:fldChar w:fldCharType="end"/>
    </w:r>
    <w:r w:rsidRPr="003D057D">
      <w:br/>
    </w:r>
    <w:r w:rsidRPr="003D057D">
      <w:fldChar w:fldCharType="begin" w:fldLock="1"/>
    </w:r>
    <w:r w:rsidRPr="003D057D">
      <w:instrText xml:space="preserve"> DOCPROPERTY</w:instrText>
    </w:r>
    <w:r w:rsidRPr="003D057D">
      <w:rPr>
        <w:sz w:val="18"/>
      </w:rPr>
      <w:instrText xml:space="preserve"> "Samling" *\charformat </w:instrText>
    </w:r>
    <w:r w:rsidRPr="003D057D">
      <w:fldChar w:fldCharType="end"/>
    </w:r>
    <w:r w:rsidRPr="003D057D">
      <w:tab/>
      <w:t xml:space="preserve">pnr: </w:t>
    </w:r>
    <w:r w:rsidRPr="003D057D">
      <w:fldChar w:fldCharType="begin" w:fldLock="1"/>
    </w:r>
    <w:r w:rsidRPr="003D057D">
      <w:instrText xml:space="preserve"> DOCPROPERTY</w:instrText>
    </w:r>
    <w:r w:rsidRPr="003D057D">
      <w:rPr>
        <w:sz w:val="18"/>
      </w:rPr>
      <w:instrText xml:space="preserve"> "Partinummer" *\charformat </w:instrText>
    </w:r>
    <w:r w:rsidRPr="003D057D">
      <w:fldChar w:fldCharType="separate"/>
    </w:r>
    <w:r w:rsidRPr="003D057D">
      <w:t>v407</w:t>
    </w:r>
    <w:r w:rsidRPr="003D057D">
      <w:fldChar w:fldCharType="end"/>
    </w:r>
  </w:p>
  <w:p w:rsidR="003D057D" w:rsidRPr="003D057D" w:rsidRDefault="003D057D">
    <w:pPr>
      <w:pStyle w:val="FSHRub1"/>
    </w:pPr>
    <w:r w:rsidRPr="003D057D">
      <w:t>Motion till riksdagen</w:t>
    </w:r>
    <w:r w:rsidRPr="003D057D">
      <w:br/>
    </w:r>
    <w:r w:rsidRPr="003D057D">
      <w:fldChar w:fldCharType="begin" w:fldLock="1"/>
    </w:r>
    <w:r w:rsidRPr="003D057D">
      <w:instrText xml:space="preserve"> DOCPROPERTY "YearUser" *\charformat </w:instrText>
    </w:r>
    <w:r w:rsidRPr="003D057D">
      <w:fldChar w:fldCharType="separate"/>
    </w:r>
    <w:r w:rsidRPr="003D057D">
      <w:t>2008/09</w:t>
    </w:r>
    <w:r w:rsidRPr="003D057D">
      <w:fldChar w:fldCharType="end"/>
    </w:r>
    <w:r w:rsidRPr="003D057D">
      <w:t>:</w:t>
    </w:r>
    <w:r w:rsidRPr="003D057D">
      <w:fldChar w:fldCharType="begin" w:fldLock="1"/>
    </w:r>
    <w:r w:rsidRPr="003D057D">
      <w:instrText xml:space="preserve"> DOCPROPERTY "Motionsnummer" *\charformat </w:instrText>
    </w:r>
    <w:r w:rsidRPr="003D057D">
      <w:fldChar w:fldCharType="separate"/>
    </w:r>
    <w:r w:rsidRPr="003D057D">
      <w:t>U285</w:t>
    </w:r>
    <w:r w:rsidRPr="003D057D">
      <w:fldChar w:fldCharType="end"/>
    </w:r>
  </w:p>
  <w:p w:rsidR="003D057D" w:rsidRPr="003D057D" w:rsidRDefault="003D057D">
    <w:pPr>
      <w:pStyle w:val="FSHNormalS5"/>
    </w:pPr>
    <w:r w:rsidRPr="003D057D">
      <w:fldChar w:fldCharType="begin" w:fldLock="1"/>
    </w:r>
    <w:r w:rsidRPr="003D057D">
      <w:instrText xml:space="preserve"> DOCPROPERTY "MotionarText" *\charformat </w:instrText>
    </w:r>
    <w:r w:rsidRPr="003D057D">
      <w:fldChar w:fldCharType="separate"/>
    </w:r>
    <w:r w:rsidRPr="003D057D">
      <w:t>av Lars Ohly m.fl. (v)</w:t>
    </w:r>
    <w:r w:rsidRPr="003D057D">
      <w:fldChar w:fldCharType="end"/>
    </w:r>
    <w:r w:rsidRPr="003D057D">
      <w:br/>
    </w:r>
    <w:r w:rsidRPr="003D057D">
      <w:fldChar w:fldCharType="begin" w:fldLock="1"/>
    </w:r>
    <w:r w:rsidRPr="003D057D">
      <w:instrText xml:space="preserve"> DOCPROPERTY "SvarFrasKort" *\charformat </w:instrText>
    </w:r>
    <w:r w:rsidRPr="003D057D">
      <w:fldChar w:fldCharType="end"/>
    </w:r>
  </w:p>
  <w:p w:rsidR="003D057D" w:rsidRPr="003D057D" w:rsidRDefault="003D057D">
    <w:pPr>
      <w:pStyle w:val="FSHTitel"/>
    </w:pPr>
    <w:r w:rsidRPr="003D057D">
      <w:fldChar w:fldCharType="begin" w:fldLock="1"/>
    </w:r>
    <w:r w:rsidRPr="003D057D">
      <w:instrText xml:space="preserve"> DOCPROPERTY</w:instrText>
    </w:r>
    <w:r w:rsidRPr="003D057D">
      <w:rPr>
        <w:sz w:val="18"/>
      </w:rPr>
      <w:instrText xml:space="preserve"> "RubrikSvar" *\charformat </w:instrText>
    </w:r>
    <w:r w:rsidRPr="003D057D">
      <w:fldChar w:fldCharType="separate"/>
    </w:r>
    <w:r w:rsidRPr="003D057D">
      <w:t>Utgiftsområde 7 Internationellt bistånd</w:t>
    </w:r>
    <w:r w:rsidRPr="003D057D">
      <w:fldChar w:fldCharType="end"/>
    </w:r>
  </w:p>
  <w:p w:rsidR="003D057D" w:rsidRPr="003D057D" w:rsidRDefault="003D057D">
    <w:pPr>
      <w:pStyle w:val="Normal00"/>
    </w:pPr>
  </w:p>
  <w:p w:rsidR="003D057D" w:rsidRPr="003D057D" w:rsidRDefault="003D05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77F804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2D0A2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FE6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7AE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8810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606D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AE2B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221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5A4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6531041">
    <w:abstractNumId w:val="8"/>
  </w:num>
  <w:num w:numId="2" w16cid:durableId="1367869430">
    <w:abstractNumId w:val="9"/>
  </w:num>
  <w:num w:numId="3" w16cid:durableId="560756200">
    <w:abstractNumId w:val="8"/>
  </w:num>
  <w:num w:numId="4" w16cid:durableId="125314407">
    <w:abstractNumId w:val="9"/>
  </w:num>
  <w:num w:numId="5" w16cid:durableId="131405606">
    <w:abstractNumId w:val="13"/>
  </w:num>
  <w:num w:numId="6" w16cid:durableId="1122573808">
    <w:abstractNumId w:val="10"/>
  </w:num>
  <w:num w:numId="7" w16cid:durableId="1025600762">
    <w:abstractNumId w:val="11"/>
  </w:num>
  <w:num w:numId="8" w16cid:durableId="1969774418">
    <w:abstractNumId w:val="12"/>
  </w:num>
  <w:num w:numId="9" w16cid:durableId="329991598">
    <w:abstractNumId w:val="8"/>
  </w:num>
  <w:num w:numId="10" w16cid:durableId="1928690171">
    <w:abstractNumId w:val="3"/>
  </w:num>
  <w:num w:numId="11" w16cid:durableId="1888032302">
    <w:abstractNumId w:val="2"/>
  </w:num>
  <w:num w:numId="12" w16cid:durableId="547573219">
    <w:abstractNumId w:val="1"/>
  </w:num>
  <w:num w:numId="13" w16cid:durableId="883643716">
    <w:abstractNumId w:val="0"/>
  </w:num>
  <w:num w:numId="14" w16cid:durableId="1510750889">
    <w:abstractNumId w:val="9"/>
  </w:num>
  <w:num w:numId="15" w16cid:durableId="780489284">
    <w:abstractNumId w:val="7"/>
  </w:num>
  <w:num w:numId="16" w16cid:durableId="1264459424">
    <w:abstractNumId w:val="6"/>
  </w:num>
  <w:num w:numId="17" w16cid:durableId="394208487">
    <w:abstractNumId w:val="5"/>
  </w:num>
  <w:num w:numId="18" w16cid:durableId="1712800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F1A2565D-4D2F-4887-9B1D-3D7BE825DA8C},{25384487-954A-4B3D-A759-FB67661DCC6F},{70ED92E7-062B-44F5-98C0-1732E6D079B7},{8B923F15-4996-4696-A089-6A5BE8BF8E1B},{233588E7-F7BD-4F60-BEE5-22A19EE80FB2},{7E0BF71E-CD03-4DBF-9F51-3B5B798F2741},{88576935-7337-4AFA-923F-6E59D33EEBED}"/>
  </w:docVars>
  <w:rsids>
    <w:rsidRoot w:val="00CA1F80"/>
    <w:rsid w:val="003D057D"/>
    <w:rsid w:val="00CA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4"/>
    </o:shapelayout>
  </w:shapeDefaults>
  <w:decimalSymbol w:val=","/>
  <w:listSeparator w:val=";"/>
  <w15:chartTrackingRefBased/>
  <w15:docId w15:val="{2187416E-C1F5-4617-BF57-80FC0032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3233</Characters>
  <Application>Microsoft Office Word</Application>
  <DocSecurity>4</DocSecurity>
  <Lines>85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2009-02-02T11:11:00Z</cp:lastPrinted>
  <dcterms:created xsi:type="dcterms:W3CDTF">2025-12-17T18:47:00Z</dcterms:created>
  <dcterms:modified xsi:type="dcterms:W3CDTF">2025-12-17T18:47:00Z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SA</vt:lpwstr>
  </property>
  <property fmtid="{D5CDD505-2E9C-101B-9397-08002B2CF9AE}" pid="6" name="Yearstd">
    <vt:lpwstr>2007/08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Utgiftsområde 7 Internationellt bistånd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7 Internationellt bistånd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v407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(v)\Berg, Marianne (v)\Johnson, Jacob (v)\Linna, Elina (v)\Wahlén, Gunilla (v)\Åström, Alice (v)\Linde, Hans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Marianne Berg (v), Jacob Johnson (v), Elina Linna (v), Gunilla Wahlén (v), Alice Åström (v), Hans Linde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20082009000000000118000004070080</vt:lpwstr>
  </property>
  <property fmtid="{D5CDD505-2E9C-101B-9397-08002B2CF9AE}" pid="47" name="datum">
    <vt:lpwstr>080926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20082009000000000118000004070080</vt:lpwstr>
  </property>
  <property fmtid="{D5CDD505-2E9C-101B-9397-08002B2CF9AE}" pid="50" name="nummer">
    <vt:lpwstr>285</vt:lpwstr>
  </property>
  <property fmtid="{D5CDD505-2E9C-101B-9397-08002B2CF9AE}" pid="51" name="utskottsbeteckning">
    <vt:lpwstr>U</vt:lpwstr>
  </property>
  <property fmtid="{D5CDD505-2E9C-101B-9397-08002B2CF9AE}" pid="52" name="GlobalUID">
    <vt:lpwstr>{BF8F90CC-DD55-4389-B2C3-9686D06346A0}</vt:lpwstr>
  </property>
  <property fmtid="{D5CDD505-2E9C-101B-9397-08002B2CF9AE}" pid="53" name="Överföringar">
    <vt:i4>0</vt:i4>
  </property>
  <property fmtid="{D5CDD505-2E9C-101B-9397-08002B2CF9AE}" pid="54" name="Checksum">
    <vt:lpwstr>*0020150364791*</vt:lpwstr>
  </property>
  <property fmtid="{D5CDD505-2E9C-101B-9397-08002B2CF9AE}" pid="55" name="skuggnummer">
    <vt:lpwstr>2052</vt:lpwstr>
  </property>
  <property fmtid="{D5CDD505-2E9C-101B-9397-08002B2CF9AE}" pid="56" name="urixVersion">
    <vt:lpwstr>3.2.0.8</vt:lpwstr>
  </property>
  <property fmtid="{D5CDD505-2E9C-101B-9397-08002B2CF9AE}" pid="57" name="urixOrigin">
    <vt:lpwstr>090402 14:30:42.028</vt:lpwstr>
  </property>
  <property fmtid="{D5CDD505-2E9C-101B-9397-08002B2CF9AE}" pid="58" name="urixGuid">
    <vt:lpwstr>{DB202786-5FB3-48D2-962A-71653113E779}</vt:lpwstr>
  </property>
</Properties>
</file>