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AE9" w:rsidRPr="004E6293" w:rsidRDefault="00272AE9" w:rsidP="00524E85">
      <w:pPr>
        <w:pStyle w:val="Hemstlrubrik"/>
      </w:pPr>
      <w:r w:rsidRPr="004E6293">
        <w:t>Förslag till riksdagsbeslut</w:t>
      </w:r>
    </w:p>
    <w:p w:rsidR="00272AE9" w:rsidRPr="004E6293" w:rsidRDefault="00272AE9" w:rsidP="00524E85">
      <w:pPr>
        <w:pStyle w:val="Hemstlatt"/>
      </w:pPr>
      <w:r w:rsidRPr="004E6293">
        <w:t>Riksdagen tillkännager för regeringen som sin mening vad i motionen anförs om inkorporering med svensk rätt av vissa MR-konventioner.</w:t>
      </w:r>
    </w:p>
    <w:p w:rsidR="00272AE9" w:rsidRPr="004E6293" w:rsidRDefault="00272AE9" w:rsidP="00524E85">
      <w:pPr>
        <w:pStyle w:val="Hemstlatt"/>
      </w:pPr>
      <w:r w:rsidRPr="004E6293">
        <w:t xml:space="preserve">Riksdagen tillkännager för regeringen som sin mening vad i motionen anförs om att regeringen omedelbart skall underteckna tilläggsprotokoll 12 till </w:t>
      </w:r>
      <w:r w:rsidR="0034782A" w:rsidRPr="004E6293">
        <w:t xml:space="preserve">den europeiska </w:t>
      </w:r>
      <w:r w:rsidRPr="004E6293">
        <w:t xml:space="preserve">konventionen om </w:t>
      </w:r>
      <w:r w:rsidR="0034782A" w:rsidRPr="004E6293">
        <w:t xml:space="preserve">skydd för de </w:t>
      </w:r>
      <w:r w:rsidRPr="004E6293">
        <w:t>mänskliga rättigh</w:t>
      </w:r>
      <w:r w:rsidRPr="004E6293">
        <w:t>e</w:t>
      </w:r>
      <w:r w:rsidRPr="004E6293">
        <w:t>ter</w:t>
      </w:r>
      <w:r w:rsidR="0034782A" w:rsidRPr="004E6293">
        <w:t>na och grundläggande friheterna</w:t>
      </w:r>
      <w:r w:rsidRPr="004E6293">
        <w:t xml:space="preserve"> och förelägga riksdagen protokollet för ratificering.</w:t>
      </w:r>
    </w:p>
    <w:p w:rsidR="00272AE9" w:rsidRPr="004E6293" w:rsidRDefault="00272AE9" w:rsidP="00524E85">
      <w:pPr>
        <w:pStyle w:val="Hemstlatt"/>
      </w:pPr>
      <w:r w:rsidRPr="004E6293">
        <w:t>Riksdagen tillkännager för regeringen som sin mening vad i motionen anförs om att regeringen</w:t>
      </w:r>
      <w:r w:rsidR="00F80AD8" w:rsidRPr="004E6293">
        <w:t xml:space="preserve"> bör</w:t>
      </w:r>
      <w:r w:rsidRPr="004E6293">
        <w:t xml:space="preserve"> </w:t>
      </w:r>
      <w:r w:rsidR="001B77A5" w:rsidRPr="004E6293">
        <w:t>gör</w:t>
      </w:r>
      <w:r w:rsidR="00F80AD8" w:rsidRPr="004E6293">
        <w:t>a</w:t>
      </w:r>
      <w:r w:rsidR="001B77A5" w:rsidRPr="004E6293">
        <w:t xml:space="preserve"> det möjligt att </w:t>
      </w:r>
      <w:r w:rsidR="00625D77" w:rsidRPr="004E6293">
        <w:t>före 2010</w:t>
      </w:r>
      <w:r w:rsidRPr="004E6293">
        <w:t xml:space="preserve"> </w:t>
      </w:r>
      <w:r w:rsidR="0034782A" w:rsidRPr="004E6293">
        <w:t>förelägga riksd</w:t>
      </w:r>
      <w:r w:rsidR="0034782A" w:rsidRPr="004E6293">
        <w:t>a</w:t>
      </w:r>
      <w:r w:rsidR="0034782A" w:rsidRPr="004E6293">
        <w:t>gen</w:t>
      </w:r>
      <w:r w:rsidRPr="004E6293">
        <w:t xml:space="preserve"> </w:t>
      </w:r>
      <w:r w:rsidR="00BD37CA" w:rsidRPr="004E6293">
        <w:t xml:space="preserve">ILO:s </w:t>
      </w:r>
      <w:r w:rsidRPr="004E6293">
        <w:t>konvention 169 för ratificering.</w:t>
      </w:r>
    </w:p>
    <w:p w:rsidR="00272AE9" w:rsidRPr="004E6293" w:rsidRDefault="00272AE9" w:rsidP="00524E85">
      <w:pPr>
        <w:pStyle w:val="Hemstlatt"/>
      </w:pPr>
      <w:r w:rsidRPr="004E6293">
        <w:t>Riksdagen tillkännager för regeringen som sin mening vad i motionen anförs om att regeringen bör lämna skrivelser till riksdagen om hur man avser att följa upp kritik och rekommendationer från FN-kommittéerna och Europ</w:t>
      </w:r>
      <w:r w:rsidRPr="004E6293">
        <w:t>a</w:t>
      </w:r>
      <w:r w:rsidRPr="004E6293">
        <w:t>rådet samt hur man avser genomföra de lagändringar och andra konkreta åtgärder som kommittéerna och rådet rekommenderar.</w:t>
      </w:r>
    </w:p>
    <w:p w:rsidR="002975BC" w:rsidRPr="004E6293" w:rsidRDefault="002975BC" w:rsidP="00524E85">
      <w:pPr>
        <w:pStyle w:val="Hemstlatt"/>
      </w:pPr>
      <w:r w:rsidRPr="004E6293">
        <w:t>Riksdagen tillkännager för regeringen som sin mening vad i motionen anförs om att regeringen skyndsamt återkommer med förslag som regl</w:t>
      </w:r>
      <w:r w:rsidRPr="004E6293">
        <w:t>e</w:t>
      </w:r>
      <w:r w:rsidRPr="004E6293">
        <w:t>rar frågan om ett oberoende utredningsorgan vid misstanke om övervåld från polisen.</w:t>
      </w:r>
    </w:p>
    <w:p w:rsidR="00272AE9" w:rsidRPr="004E6293" w:rsidRDefault="00272AE9" w:rsidP="00524E85">
      <w:pPr>
        <w:pStyle w:val="Hemstlatt"/>
      </w:pPr>
      <w:r w:rsidRPr="004E6293">
        <w:t xml:space="preserve">Riksdagen tillkännager för regeringen som sin mening vad i motionen anförs om att regeringen aldrig </w:t>
      </w:r>
      <w:r w:rsidR="0034782A" w:rsidRPr="004E6293">
        <w:t>ska</w:t>
      </w:r>
      <w:r w:rsidR="00F80AD8" w:rsidRPr="004E6293">
        <w:t>ll</w:t>
      </w:r>
      <w:r w:rsidRPr="004E6293">
        <w:t xml:space="preserve"> använda </w:t>
      </w:r>
      <w:r w:rsidR="0034782A" w:rsidRPr="004E6293">
        <w:t>s</w:t>
      </w:r>
      <w:r w:rsidR="00F80AD8" w:rsidRPr="004E6293">
        <w:t>.</w:t>
      </w:r>
      <w:r w:rsidR="0034782A" w:rsidRPr="004E6293">
        <w:t>k</w:t>
      </w:r>
      <w:r w:rsidR="00F80AD8" w:rsidRPr="004E6293">
        <w:t>.</w:t>
      </w:r>
      <w:r w:rsidR="0034782A" w:rsidRPr="004E6293">
        <w:t xml:space="preserve"> </w:t>
      </w:r>
      <w:r w:rsidRPr="004E6293">
        <w:t>diplomatiska garantier.</w:t>
      </w:r>
    </w:p>
    <w:p w:rsidR="00272AE9" w:rsidRPr="004E6293" w:rsidRDefault="00272AE9" w:rsidP="00524E85">
      <w:pPr>
        <w:pStyle w:val="Hemstlatt"/>
      </w:pPr>
      <w:r w:rsidRPr="004E6293">
        <w:t>Riksdagen tillkännager för regeringen som sin mening vad i motionen anförs om att regeringen med hänvisning till att garantin brutits</w:t>
      </w:r>
      <w:r w:rsidR="00A43A30" w:rsidRPr="004E6293">
        <w:t xml:space="preserve"> ska</w:t>
      </w:r>
      <w:r w:rsidR="00F80AD8" w:rsidRPr="004E6293">
        <w:t>ll</w:t>
      </w:r>
      <w:r w:rsidRPr="004E6293">
        <w:t xml:space="preserve"> möjliggöra </w:t>
      </w:r>
      <w:r w:rsidR="0034782A" w:rsidRPr="004E6293">
        <w:t>för</w:t>
      </w:r>
      <w:r w:rsidRPr="004E6293">
        <w:t xml:space="preserve"> El Zary och Agiza att återvända till Sverige så att de kan få det skydd folkrätten ger dem rätt till.</w:t>
      </w:r>
    </w:p>
    <w:p w:rsidR="00272AE9" w:rsidRPr="004E6293" w:rsidRDefault="00272AE9" w:rsidP="00524E85">
      <w:pPr>
        <w:pStyle w:val="Hemstlatt"/>
      </w:pPr>
      <w:r w:rsidRPr="004E6293">
        <w:t>Riksdagen tillkännager för regeringen som sin mening vad i motionen anförs om att regeringen i Europarådet ska</w:t>
      </w:r>
      <w:r w:rsidR="00F80AD8" w:rsidRPr="004E6293">
        <w:t>ll</w:t>
      </w:r>
      <w:r w:rsidRPr="004E6293">
        <w:t xml:space="preserve"> verka för ett absolut förbud mot </w:t>
      </w:r>
      <w:r w:rsidR="0034782A" w:rsidRPr="004E6293">
        <w:t>användandet av s</w:t>
      </w:r>
      <w:r w:rsidR="00F80AD8" w:rsidRPr="004E6293">
        <w:t>.</w:t>
      </w:r>
      <w:r w:rsidR="0034782A" w:rsidRPr="004E6293">
        <w:t>k</w:t>
      </w:r>
      <w:r w:rsidR="00F80AD8" w:rsidRPr="004E6293">
        <w:t>.</w:t>
      </w:r>
      <w:r w:rsidR="0034782A" w:rsidRPr="004E6293">
        <w:t xml:space="preserve"> diplomatiska </w:t>
      </w:r>
      <w:r w:rsidRPr="004E6293">
        <w:t>garantier.</w:t>
      </w:r>
    </w:p>
    <w:p w:rsidR="00272AE9" w:rsidRPr="004E6293" w:rsidRDefault="00272AE9" w:rsidP="00524E85">
      <w:pPr>
        <w:pStyle w:val="Hemstlatt"/>
      </w:pPr>
      <w:r w:rsidRPr="004E6293">
        <w:lastRenderedPageBreak/>
        <w:t>Riksdagen tillkännager för regeringen som sin mening vad i motionen anförs om att regeringen bör gö</w:t>
      </w:r>
      <w:r w:rsidR="00A43A30" w:rsidRPr="004E6293">
        <w:t xml:space="preserve">ra en systematisk utvärdering </w:t>
      </w:r>
      <w:r w:rsidR="0034782A" w:rsidRPr="004E6293">
        <w:t>av</w:t>
      </w:r>
      <w:r w:rsidRPr="004E6293">
        <w:t xml:space="preserve"> hur de mänskliga rättigheter</w:t>
      </w:r>
      <w:r w:rsidR="00A43A30" w:rsidRPr="004E6293">
        <w:t>na</w:t>
      </w:r>
      <w:r w:rsidRPr="004E6293">
        <w:t xml:space="preserve"> påverkats i kampen mot terrorism</w:t>
      </w:r>
      <w:r w:rsidR="00A43A30" w:rsidRPr="004E6293">
        <w:t>en</w:t>
      </w:r>
      <w:r w:rsidRPr="004E6293">
        <w:t xml:space="preserve"> och </w:t>
      </w:r>
      <w:r w:rsidR="00A43A30" w:rsidRPr="004E6293">
        <w:t>föreslå åtgärder för att komma till</w:t>
      </w:r>
      <w:r w:rsidR="00F80AD8" w:rsidRPr="004E6293">
        <w:t xml:space="preserve"> </w:t>
      </w:r>
      <w:r w:rsidR="00A43A30" w:rsidRPr="004E6293">
        <w:t>rätta med missförhållandena.</w:t>
      </w:r>
    </w:p>
    <w:p w:rsidR="00272AE9" w:rsidRPr="004E6293" w:rsidRDefault="00272AE9" w:rsidP="00272AE9">
      <w:pPr>
        <w:pStyle w:val="Rubrik1"/>
      </w:pPr>
      <w:r w:rsidRPr="004E6293">
        <w:t>Inledning</w:t>
      </w:r>
    </w:p>
    <w:p w:rsidR="00272AE9" w:rsidRPr="004E6293" w:rsidRDefault="00272AE9" w:rsidP="00272AE9">
      <w:r w:rsidRPr="004E6293">
        <w:t>I regeringens skrivelse 2005/06:95 En nationell handlingsplan för de mäns</w:t>
      </w:r>
      <w:r w:rsidRPr="004E6293">
        <w:t>k</w:t>
      </w:r>
      <w:r w:rsidRPr="004E6293">
        <w:t xml:space="preserve">liga rättigheterna </w:t>
      </w:r>
      <w:r w:rsidR="00997A9A" w:rsidRPr="004E6293">
        <w:t xml:space="preserve">2006–2009 </w:t>
      </w:r>
      <w:r w:rsidRPr="004E6293">
        <w:t xml:space="preserve">anges att syftet med handlingsplanen är att ta ett samlat grepp </w:t>
      </w:r>
      <w:r w:rsidR="0034782A" w:rsidRPr="004E6293">
        <w:t xml:space="preserve">om </w:t>
      </w:r>
      <w:r w:rsidRPr="004E6293">
        <w:t>och se över frågor om skyddet för de mänskliga rättigheterna och att utifrån denna genomgång arbeta systematiskt för det långsiktiga målet att uppnå full respekt för de mänskliga rättigheterna i Sverige. Vänsterpartiet instämmer givetvis i regeringens långsiktiga mål att säkerställa full respekt för de mänskliga rättigheterna i Sverige och välkomnar därför utarbetandet av en ny nationell handlingsplan för dessa rättigheters respekterande. Den öppna processen i framtagandet av planen där ett stort antal aktörer i samhället i</w:t>
      </w:r>
      <w:r w:rsidRPr="004E6293">
        <w:t>n</w:t>
      </w:r>
      <w:r w:rsidRPr="004E6293">
        <w:t>bjudits att lämna synpunkter är något som vi varmt välkomnar. Men på några områden anser Vänsterpartiet att regeringens föreslagna åtgärder är otillräc</w:t>
      </w:r>
      <w:r w:rsidRPr="004E6293">
        <w:t>k</w:t>
      </w:r>
      <w:r w:rsidRPr="004E6293">
        <w:t>liga</w:t>
      </w:r>
      <w:r w:rsidR="00997A9A" w:rsidRPr="004E6293">
        <w:t>,</w:t>
      </w:r>
      <w:r w:rsidRPr="004E6293">
        <w:t xml:space="preserve"> och det som ter sig särskilt problematiskt är inte så mycket vad som står, utan vad som inte finns med. Vackra allmänna deklarationer i högtidliga sammanhang om vikten av respekt för de mänskliga rättigheterna förlorar nämligen allt värde om regeringen inte föreskriver åtgärd</w:t>
      </w:r>
      <w:r w:rsidR="00655B44" w:rsidRPr="004E6293">
        <w:t>er</w:t>
      </w:r>
      <w:r w:rsidRPr="004E6293">
        <w:t xml:space="preserve"> för att komma till rätta med </w:t>
      </w:r>
      <w:r w:rsidR="001B46DE" w:rsidRPr="004E6293">
        <w:t xml:space="preserve">kränkningar och </w:t>
      </w:r>
      <w:r w:rsidRPr="004E6293">
        <w:t>uppenbara missförhållanden.</w:t>
      </w:r>
    </w:p>
    <w:p w:rsidR="00272AE9" w:rsidRPr="004E6293" w:rsidRDefault="00272AE9" w:rsidP="00272AE9">
      <w:pPr>
        <w:pStyle w:val="Rubrik1"/>
      </w:pPr>
      <w:r w:rsidRPr="004E6293">
        <w:t>Sveriges internationella åtaganden om mänskliga rättigheter</w:t>
      </w:r>
    </w:p>
    <w:p w:rsidR="00272AE9" w:rsidRPr="004E6293" w:rsidRDefault="00272AE9" w:rsidP="00A43A30">
      <w:r w:rsidRPr="004E6293">
        <w:t>Regeringen poängterar att utgångspunkten för de problem, synpunkter och åtgärder som redovisas i skrivelsen utgörs av Sveriges internationella åtaga</w:t>
      </w:r>
      <w:r w:rsidRPr="004E6293">
        <w:t>n</w:t>
      </w:r>
      <w:r w:rsidRPr="004E6293">
        <w:t>den om mänskliga rättigheter. De internationella förpliktelserna blir emelle</w:t>
      </w:r>
      <w:r w:rsidRPr="004E6293">
        <w:t>r</w:t>
      </w:r>
      <w:r w:rsidRPr="004E6293">
        <w:t>tid inte omedelbart efter ratifikation del av den svenska rätten. Detta följer av att Sverige tillämpar den s.k. dualistiska principen beträffande tillämpligheten av internationella konventioner i int</w:t>
      </w:r>
      <w:r w:rsidR="0034782A" w:rsidRPr="004E6293">
        <w:t>ern svensk rättstillämpning. Den</w:t>
      </w:r>
      <w:r w:rsidRPr="004E6293">
        <w:t xml:space="preserve"> innebär att domstolar och myndigheter inte direkt tillämpar konventioner som Sverige åtagit sig att följa, utan det krävs först att de genom lagstiftning ”transform</w:t>
      </w:r>
      <w:r w:rsidRPr="004E6293">
        <w:t>e</w:t>
      </w:r>
      <w:r w:rsidRPr="004E6293">
        <w:t>ras” till svensk rätt eller att konventionen som sådan görs till svensk lag g</w:t>
      </w:r>
      <w:r w:rsidRPr="004E6293">
        <w:t>e</w:t>
      </w:r>
      <w:r w:rsidRPr="004E6293">
        <w:t xml:space="preserve">nom att lagstiftaren beslutar om ”inkorporering”. Visserligen gäller principen att domstolarna – i den mån det finns ett tolkningsutrymme som medger detta </w:t>
      </w:r>
      <w:r w:rsidR="00997A9A" w:rsidRPr="004E6293">
        <w:t>–</w:t>
      </w:r>
      <w:r w:rsidRPr="004E6293">
        <w:t xml:space="preserve"> skall tolka lagstiftningen fördragskonformt. Men många gånger är detta inte möjligt. Transformationsmetoden har ofta visat </w:t>
      </w:r>
      <w:r w:rsidR="0034782A" w:rsidRPr="004E6293">
        <w:t>sig vara</w:t>
      </w:r>
      <w:r w:rsidRPr="004E6293">
        <w:t xml:space="preserve"> ofullkomlig eftersom det många gånger är svårt för lagstiftaren att skaffa en total överblick över vilka lagar som behöver ändras och på vilket sätt för att ett konventionsåt</w:t>
      </w:r>
      <w:r w:rsidRPr="004E6293">
        <w:t>a</w:t>
      </w:r>
      <w:r w:rsidRPr="004E6293">
        <w:t>gande som Sverige gjort skall uppfyllas. Vänsterpartiet anser att den metod som ger garantier för att ett konventionsåtagande effektivt genomförs på n</w:t>
      </w:r>
      <w:r w:rsidRPr="004E6293">
        <w:t>a</w:t>
      </w:r>
      <w:r w:rsidRPr="004E6293">
        <w:t>tionell nivå är inkorporering.</w:t>
      </w:r>
    </w:p>
    <w:p w:rsidR="00272AE9" w:rsidRPr="004E6293" w:rsidRDefault="00272AE9" w:rsidP="00FD36BE">
      <w:pPr>
        <w:pStyle w:val="Normaltindrag"/>
      </w:pPr>
      <w:r w:rsidRPr="004E6293">
        <w:t>Sverige får regelmässigt allvarlig kritik från de organ som övervakar ko</w:t>
      </w:r>
      <w:r w:rsidRPr="004E6293">
        <w:t>n</w:t>
      </w:r>
      <w:r w:rsidRPr="004E6293">
        <w:t>ventionernas tillämpning för att konventionerna inte gjorts tillämpliga i svensk rätt och därmed möjliga att åberopa inför domstolar och myndigheter. Ett sådant exempel är kritiken från FN:s kommitté för mänskliga rättigheter i april 2002 i samband med granskningen av Sveriges femte rapport om ti</w:t>
      </w:r>
      <w:r w:rsidRPr="004E6293">
        <w:t>l</w:t>
      </w:r>
      <w:r w:rsidRPr="004E6293">
        <w:t>lämpningen av den internationella konventionen om medborgerliga och pol</w:t>
      </w:r>
      <w:r w:rsidRPr="004E6293">
        <w:t>i</w:t>
      </w:r>
      <w:r w:rsidRPr="004E6293">
        <w:t>tiska rättigheter. Kommittén beklagade att konventionen inte kunde åberopas inför svenska domstolar eller myndigheter och framställde kravet att Sverige ska</w:t>
      </w:r>
      <w:r w:rsidR="00997A9A" w:rsidRPr="004E6293">
        <w:t>ll</w:t>
      </w:r>
      <w:r w:rsidRPr="004E6293">
        <w:t xml:space="preserve"> se till att den nationella lagstiftningen ger en fullständig tillämplighet för de rättigheter som konventionen garanterar.</w:t>
      </w:r>
    </w:p>
    <w:p w:rsidR="00272AE9" w:rsidRPr="004E6293" w:rsidRDefault="00272AE9" w:rsidP="00FD36BE">
      <w:pPr>
        <w:pStyle w:val="Normaltindrag"/>
      </w:pPr>
      <w:r w:rsidRPr="004E6293">
        <w:t>Vänsterpartiet anser att regeringen bör lägga fram förslag till riksdagen om lagstiftning som inkorporerar följande centrala människorättskonventioner: Internationell konvention om medborgerliga och politiska rättigheter, Intern</w:t>
      </w:r>
      <w:r w:rsidRPr="004E6293">
        <w:t>a</w:t>
      </w:r>
      <w:r w:rsidRPr="004E6293">
        <w:t>tionell konvention om avskaffande av alla former av rasdiskriminering, Ko</w:t>
      </w:r>
      <w:r w:rsidRPr="004E6293">
        <w:t>n</w:t>
      </w:r>
      <w:r w:rsidRPr="004E6293">
        <w:t>vention om avskaffande av all slags diskriminering av kvinnor, Konvention mot tortyr och annan grym, omänsklig eller förnedrande behandling eller bestraffning och Konventionen om barnets rättigheter. Detta bör riksdagen som sin mening ge regeringen till känna.</w:t>
      </w:r>
    </w:p>
    <w:p w:rsidR="00272AE9" w:rsidRPr="004E6293" w:rsidRDefault="00272AE9" w:rsidP="00272AE9">
      <w:pPr>
        <w:pStyle w:val="Rubrik1"/>
      </w:pPr>
      <w:r w:rsidRPr="004E6293">
        <w:t>Protokoll 12 till Europakonventionen om generellt diskrimineringsförbud</w:t>
      </w:r>
    </w:p>
    <w:p w:rsidR="00272AE9" w:rsidRPr="004E6293" w:rsidRDefault="00272AE9" w:rsidP="00272AE9">
      <w:pPr>
        <w:rPr>
          <w:b/>
        </w:rPr>
      </w:pPr>
      <w:r w:rsidRPr="004E6293">
        <w:t>Det är anmärkningsvärt att Sverige till dags dato varken har undertecknat eller ratificerat protokoll 12 till Europakonventionen om generellt diskrimin</w:t>
      </w:r>
      <w:r w:rsidRPr="004E6293">
        <w:t>e</w:t>
      </w:r>
      <w:r w:rsidRPr="004E6293">
        <w:t>ringsförbud. Enligt skrivelsen är protokollet så allmänt hållet och har ett så brett tillämpningsområde att det är omöjligt att dra några säkra slutsatser om diskrimineringsförbudets omfång och innebörd innan det har klargjorts g</w:t>
      </w:r>
      <w:r w:rsidRPr="004E6293">
        <w:t>e</w:t>
      </w:r>
      <w:r w:rsidRPr="004E6293">
        <w:t>nom Europadomstolens praxis hur bestämmelsen i protokollet skall tolkas. Vänsterpartiet ställer sig mycket tveksam</w:t>
      </w:r>
      <w:r w:rsidR="00997A9A" w:rsidRPr="004E6293">
        <w:t>t</w:t>
      </w:r>
      <w:r w:rsidRPr="004E6293">
        <w:t xml:space="preserve"> till denna hållning. Samma arg</w:t>
      </w:r>
      <w:r w:rsidRPr="004E6293">
        <w:t>u</w:t>
      </w:r>
      <w:r w:rsidRPr="004E6293">
        <w:t>ment skulle kunna användas mot själva konventionen eftersom den är o</w:t>
      </w:r>
      <w:r w:rsidRPr="004E6293">
        <w:t>m</w:t>
      </w:r>
      <w:r w:rsidRPr="004E6293">
        <w:t>fångsrik med en praxis från domstolens sida, som ständigt utvecklas beroende på samhällsförhållandenas förändringar. Regeringens argument torde även kunna anföras mot ny nationell lagstiftning över huvud</w:t>
      </w:r>
      <w:r w:rsidR="00997A9A" w:rsidRPr="004E6293">
        <w:t xml:space="preserve"> </w:t>
      </w:r>
      <w:r w:rsidRPr="004E6293">
        <w:t>taget. Vänsterpartiet anser således att de argument som regeringen anför mot tilläggsprotokollet saknar bärkraft. Det är angeläget att regeringen omgående ratificerar prot</w:t>
      </w:r>
      <w:r w:rsidRPr="004E6293">
        <w:t>o</w:t>
      </w:r>
      <w:r w:rsidRPr="004E6293">
        <w:t>kollet och att det sedan föreläggs riksdagen för ratificering. Detta bör riksd</w:t>
      </w:r>
      <w:r w:rsidRPr="004E6293">
        <w:t>a</w:t>
      </w:r>
      <w:r w:rsidRPr="004E6293">
        <w:t>gen som sin mening ge regeringen till känna.</w:t>
      </w:r>
    </w:p>
    <w:p w:rsidR="00272AE9" w:rsidRPr="004E6293" w:rsidRDefault="00272AE9" w:rsidP="00272AE9">
      <w:pPr>
        <w:pStyle w:val="Rubrik1"/>
      </w:pPr>
      <w:r w:rsidRPr="004E6293">
        <w:t>Urfolket samerna</w:t>
      </w:r>
    </w:p>
    <w:p w:rsidR="00272AE9" w:rsidRPr="004E6293" w:rsidRDefault="00272AE9" w:rsidP="00A435CE">
      <w:r w:rsidRPr="004E6293">
        <w:t xml:space="preserve">ILO:s </w:t>
      </w:r>
      <w:r w:rsidR="001B77A5" w:rsidRPr="004E6293">
        <w:t xml:space="preserve">(International Labour Organization) </w:t>
      </w:r>
      <w:r w:rsidRPr="004E6293">
        <w:t>konvention nr 169 innehåller ett antal bestämmelser och åtaganden till skydd för ursprungsfolken. Ett grun</w:t>
      </w:r>
      <w:r w:rsidRPr="004E6293">
        <w:t>d</w:t>
      </w:r>
      <w:r w:rsidRPr="004E6293">
        <w:t>läggande krav enligt konventionen är att ursprungsfolken till fullo ska</w:t>
      </w:r>
      <w:r w:rsidR="00A12D7E" w:rsidRPr="004E6293">
        <w:t>ll</w:t>
      </w:r>
      <w:r w:rsidRPr="004E6293">
        <w:t xml:space="preserve"> åtnj</w:t>
      </w:r>
      <w:r w:rsidRPr="004E6293">
        <w:t>u</w:t>
      </w:r>
      <w:r w:rsidRPr="004E6293">
        <w:t>ta mänskliga rättigheter och grundläggande friheter. Detta innebär att man ska</w:t>
      </w:r>
      <w:r w:rsidR="00A12D7E" w:rsidRPr="004E6293">
        <w:t>ll</w:t>
      </w:r>
      <w:r w:rsidRPr="004E6293">
        <w:t xml:space="preserve"> vidta åtgärder mot diskriminering och utforma särskilda insatser som främjar de berörda folkens sociala och ekonomiska rättigheter och som sky</w:t>
      </w:r>
      <w:r w:rsidRPr="004E6293">
        <w:t>d</w:t>
      </w:r>
      <w:r w:rsidRPr="004E6293">
        <w:t>dar deras andliga och kulturella värden. Detta innebär bl.a. att åtgärder ska</w:t>
      </w:r>
      <w:r w:rsidR="00A12D7E" w:rsidRPr="004E6293">
        <w:t>ll</w:t>
      </w:r>
      <w:r w:rsidRPr="004E6293">
        <w:t xml:space="preserve"> vidtas för att skydda deras mark, kultur och miljö. I utredningen Samerna – </w:t>
      </w:r>
      <w:r w:rsidR="00997A9A" w:rsidRPr="004E6293">
        <w:t xml:space="preserve">Ett </w:t>
      </w:r>
      <w:r w:rsidRPr="004E6293">
        <w:t>ursprungsfolk i Sverige, SOU 1999:25, analyserades vad konventionen skulle innebära för svensk del</w:t>
      </w:r>
      <w:r w:rsidR="00997A9A" w:rsidRPr="004E6293">
        <w:t>,</w:t>
      </w:r>
      <w:r w:rsidRPr="004E6293">
        <w:t xml:space="preserve"> och utredaren kom fram till att den stora stöt</w:t>
      </w:r>
      <w:r w:rsidRPr="004E6293">
        <w:t>e</w:t>
      </w:r>
      <w:r w:rsidRPr="004E6293">
        <w:t xml:space="preserve">stenen rör reglerna om samernas rättigheter till mark. </w:t>
      </w:r>
      <w:r w:rsidR="00A12D7E" w:rsidRPr="004E6293">
        <w:t xml:space="preserve">År </w:t>
      </w:r>
      <w:r w:rsidRPr="004E6293">
        <w:t>2002 tillsatte rege</w:t>
      </w:r>
      <w:r w:rsidRPr="004E6293">
        <w:t>r</w:t>
      </w:r>
      <w:r w:rsidRPr="004E6293">
        <w:t xml:space="preserve">ingen därför en gränsdragningskommission som fick till uppgift att utreda omfattningen av den mark </w:t>
      </w:r>
      <w:r w:rsidR="00A12D7E" w:rsidRPr="004E6293">
        <w:t>där renskötselrätten föreligger</w:t>
      </w:r>
      <w:r w:rsidR="00997A9A" w:rsidRPr="004E6293">
        <w:t xml:space="preserve"> (se dir.</w:t>
      </w:r>
      <w:r w:rsidRPr="004E6293">
        <w:t xml:space="preserve"> 2002:7).</w:t>
      </w:r>
      <w:r w:rsidR="00A435CE" w:rsidRPr="004E6293">
        <w:t xml:space="preserve"> U</w:t>
      </w:r>
      <w:r w:rsidRPr="004E6293">
        <w:t>nder våren 2006 har kommissionen redovisat sitt arbete. Regeringens amb</w:t>
      </w:r>
      <w:r w:rsidRPr="004E6293">
        <w:t>i</w:t>
      </w:r>
      <w:r w:rsidRPr="004E6293">
        <w:t>tion är</w:t>
      </w:r>
      <w:r w:rsidR="00092552" w:rsidRPr="004E6293">
        <w:t xml:space="preserve"> </w:t>
      </w:r>
      <w:r w:rsidRPr="004E6293">
        <w:t>enligt skrivelsen att Sverige ska</w:t>
      </w:r>
      <w:r w:rsidR="00997A9A" w:rsidRPr="004E6293">
        <w:t>ll</w:t>
      </w:r>
      <w:r w:rsidRPr="004E6293">
        <w:t xml:space="preserve"> ratificera konventionen </w:t>
      </w:r>
      <w:r w:rsidR="00625D77" w:rsidRPr="004E6293">
        <w:t>”</w:t>
      </w:r>
      <w:r w:rsidRPr="004E6293">
        <w:t>så fort det låter sig göras</w:t>
      </w:r>
      <w:r w:rsidR="005A3E88" w:rsidRPr="004E6293">
        <w:t>”</w:t>
      </w:r>
      <w:r w:rsidRPr="004E6293">
        <w:t>.</w:t>
      </w:r>
    </w:p>
    <w:p w:rsidR="00272AE9" w:rsidRPr="004E6293" w:rsidRDefault="00625D77" w:rsidP="003D156D">
      <w:pPr>
        <w:pStyle w:val="Normaltindrag"/>
      </w:pPr>
      <w:r w:rsidRPr="004E6293">
        <w:t xml:space="preserve">Vänsterpartiet menar att detta åtagande bör skärpas och preciseras. </w:t>
      </w:r>
      <w:r w:rsidR="00272AE9" w:rsidRPr="004E6293">
        <w:t>Mo</w:t>
      </w:r>
      <w:r w:rsidR="00272AE9" w:rsidRPr="004E6293">
        <w:t>t</w:t>
      </w:r>
      <w:r w:rsidR="00272AE9" w:rsidRPr="004E6293">
        <w:t xml:space="preserve">sättningarna ökar mellan samerna och den bofasta befolkningen när renarna under vintern söker bete på mark som ägs av andra svenskar utan renar. </w:t>
      </w:r>
      <w:r w:rsidRPr="004E6293">
        <w:t>Det finns också problem i relationerna mellan renskötande och icke renskötande samer, där den senare gruppen utgör flertalet.</w:t>
      </w:r>
      <w:r w:rsidR="00092552" w:rsidRPr="004E6293">
        <w:t xml:space="preserve"> </w:t>
      </w:r>
      <w:r w:rsidRPr="004E6293">
        <w:t>Även</w:t>
      </w:r>
      <w:r w:rsidR="00272AE9" w:rsidRPr="004E6293">
        <w:t xml:space="preserve"> jakt- och fiskerätten i fjällen diskuteras i förhållande till samernas rättigheter som urbefolkning. Här står olika starka intressen och olika rättigheter mot varandra. Med beaktande av att rennäringen är en central del av samernas kulturutövning har FN:s ra</w:t>
      </w:r>
      <w:r w:rsidR="00272AE9" w:rsidRPr="004E6293">
        <w:t>s</w:t>
      </w:r>
      <w:r w:rsidR="00272AE9" w:rsidRPr="004E6293">
        <w:t xml:space="preserve">diskrimineringskommitté uttalat sin oro över förmodade begränsningar i den traditionella nyttjanderätten till betesmark för renskötseln. </w:t>
      </w:r>
      <w:r w:rsidR="001B46DE" w:rsidRPr="004E6293">
        <w:t xml:space="preserve">Den sammantagna situationen för samerna </w:t>
      </w:r>
      <w:r w:rsidR="00272AE9" w:rsidRPr="004E6293">
        <w:t>kräv</w:t>
      </w:r>
      <w:r w:rsidR="001B46DE" w:rsidRPr="004E6293">
        <w:t>er</w:t>
      </w:r>
      <w:r w:rsidR="00272AE9" w:rsidRPr="004E6293">
        <w:t xml:space="preserve"> att regeringen på allvar tar tag i </w:t>
      </w:r>
      <w:r w:rsidRPr="004E6293">
        <w:t>problemen för att kunna</w:t>
      </w:r>
      <w:r w:rsidR="00997A9A" w:rsidRPr="004E6293">
        <w:t xml:space="preserve"> garantera</w:t>
      </w:r>
      <w:r w:rsidR="00272AE9" w:rsidRPr="004E6293">
        <w:t xml:space="preserve"> samerna deras rättigheter</w:t>
      </w:r>
      <w:r w:rsidRPr="004E6293">
        <w:t xml:space="preserve"> som urbefolkning</w:t>
      </w:r>
      <w:r w:rsidR="00272AE9" w:rsidRPr="004E6293">
        <w:t>.</w:t>
      </w:r>
      <w:r w:rsidRPr="004E6293">
        <w:t xml:space="preserve"> Det krävs ett större engagemang från regeringens sida för att skapa det samförstånd mellan olika intressenter som är en förutsättning för en ratificering av ILO-konventionen. Utan </w:t>
      </w:r>
      <w:r w:rsidR="00081DFF" w:rsidRPr="004E6293">
        <w:t xml:space="preserve">en ratificering grundad på </w:t>
      </w:r>
      <w:r w:rsidRPr="004E6293">
        <w:t>samförstånd kommer samerna att bli ännu hårdare ansa</w:t>
      </w:r>
      <w:r w:rsidR="00095336" w:rsidRPr="004E6293">
        <w:t>tta</w:t>
      </w:r>
      <w:r w:rsidRPr="004E6293">
        <w:t xml:space="preserve"> vilket vore förödande, inte bara för samerna utan också för samhället i övrigt.</w:t>
      </w:r>
      <w:r w:rsidR="00081DFF" w:rsidRPr="004E6293">
        <w:t xml:space="preserve"> </w:t>
      </w:r>
      <w:r w:rsidR="00272AE9" w:rsidRPr="004E6293">
        <w:t>Vänsterpartiet anser därför att regeringens amb</w:t>
      </w:r>
      <w:r w:rsidR="00272AE9" w:rsidRPr="004E6293">
        <w:t>i</w:t>
      </w:r>
      <w:r w:rsidR="00272AE9" w:rsidRPr="004E6293">
        <w:t xml:space="preserve">tion bör vara att </w:t>
      </w:r>
      <w:r w:rsidRPr="004E6293">
        <w:t>göra det möjligt att före 2010</w:t>
      </w:r>
      <w:r w:rsidR="00272AE9" w:rsidRPr="004E6293">
        <w:t xml:space="preserve"> </w:t>
      </w:r>
      <w:r w:rsidR="0034782A" w:rsidRPr="004E6293">
        <w:t>förelägga riksdagen</w:t>
      </w:r>
      <w:r w:rsidR="00272AE9" w:rsidRPr="004E6293">
        <w:t xml:space="preserve"> ILO:s konvention 169 för </w:t>
      </w:r>
      <w:r w:rsidR="0034782A" w:rsidRPr="004E6293">
        <w:t>ratificering</w:t>
      </w:r>
      <w:r w:rsidR="00272AE9" w:rsidRPr="004E6293">
        <w:t>. Detta bör riksdagen som sin mening ge rege</w:t>
      </w:r>
      <w:r w:rsidR="00272AE9" w:rsidRPr="004E6293">
        <w:t>r</w:t>
      </w:r>
      <w:r w:rsidR="00272AE9" w:rsidRPr="004E6293">
        <w:t>ingen till känna.</w:t>
      </w:r>
    </w:p>
    <w:p w:rsidR="00272AE9" w:rsidRPr="004E6293" w:rsidRDefault="00272AE9" w:rsidP="00272AE9">
      <w:pPr>
        <w:pStyle w:val="Rubrik1"/>
      </w:pPr>
      <w:r w:rsidRPr="004E6293">
        <w:t>Uppföljning av synpunkter från internationella organ</w:t>
      </w:r>
    </w:p>
    <w:p w:rsidR="006F1936" w:rsidRPr="004E6293" w:rsidRDefault="00272AE9" w:rsidP="00272AE9">
      <w:r w:rsidRPr="004E6293">
        <w:t>Enligt regeringen är det angeläget att företrädare för olika delar av samhället deltar i insamlandet av material till Sveriges rapporter till internationella o</w:t>
      </w:r>
      <w:r w:rsidRPr="004E6293">
        <w:t>r</w:t>
      </w:r>
      <w:r w:rsidRPr="004E6293">
        <w:t>ganisationer och i arbetet med att följa upp de synpunkter som Sverige tar emot. Synpunkter från olika aktörer utanför Regeringskansliet kan ge ett bredare underlag och skapar bättre förutsättningar för en mer självkritisk analys. Vänsterpartiet anser att detta är vällovligt men långt ifrån tillräckligt för att komma till rätta med uppföljningen.</w:t>
      </w:r>
    </w:p>
    <w:p w:rsidR="00272AE9" w:rsidRPr="004E6293" w:rsidRDefault="00272AE9" w:rsidP="006F1936">
      <w:pPr>
        <w:pStyle w:val="Normaltindrag"/>
      </w:pPr>
      <w:r w:rsidRPr="004E6293">
        <w:t>De brister som internationella organisationer påtalar måste också rättas till genom lagstiftning eller på annat sätt. För att riksdagen skall kunna ta sin del av ansvaret för detta bör regeringen därför lämna skrivelser till riksdagen om hur man avser att följa upp kritik och rekommendationer från FN-kommittéerna och Europarådet samt hur man avser att genomföra de lagän</w:t>
      </w:r>
      <w:r w:rsidRPr="004E6293">
        <w:t>d</w:t>
      </w:r>
      <w:r w:rsidRPr="004E6293">
        <w:t>ringar och andra konkreta åtgärder som kommittéerna och rådet rekommend</w:t>
      </w:r>
      <w:r w:rsidRPr="004E6293">
        <w:t>e</w:t>
      </w:r>
      <w:r w:rsidRPr="004E6293">
        <w:t>rar. Detta bör riksdagen som sin mening ge regeringen till känna.</w:t>
      </w:r>
    </w:p>
    <w:p w:rsidR="00272AE9" w:rsidRPr="004E6293" w:rsidRDefault="00272AE9" w:rsidP="00272AE9">
      <w:pPr>
        <w:pStyle w:val="Rubrik1"/>
      </w:pPr>
      <w:r w:rsidRPr="004E6293">
        <w:t>Myndigheters anv</w:t>
      </w:r>
      <w:r w:rsidR="00FD11AD" w:rsidRPr="004E6293">
        <w:t>ändning av våld och tvångsmedel</w:t>
      </w:r>
      <w:r w:rsidRPr="004E6293">
        <w:t xml:space="preserve"> m.m.</w:t>
      </w:r>
    </w:p>
    <w:p w:rsidR="00272AE9" w:rsidRPr="004E6293" w:rsidRDefault="00272AE9" w:rsidP="00272AE9">
      <w:r w:rsidRPr="004E6293">
        <w:t>Skrivelsen tar upp frågan om oberoende utredningsorgan vid misstanke om övervåld från polisen. Efter kritik från Europarådet skall nu en särskild utr</w:t>
      </w:r>
      <w:r w:rsidRPr="004E6293">
        <w:t>e</w:t>
      </w:r>
      <w:r w:rsidRPr="004E6293">
        <w:t xml:space="preserve">dare lägga fram förslag senast </w:t>
      </w:r>
      <w:r w:rsidR="00FD11AD" w:rsidRPr="004E6293">
        <w:t>den 31 december</w:t>
      </w:r>
      <w:r w:rsidRPr="004E6293">
        <w:t xml:space="preserve"> 2006 om hur ett från polis- och åklagarväsende fristående organ för dessa utredningar skall utformas och organiseras.</w:t>
      </w:r>
      <w:r w:rsidR="00A43A30" w:rsidRPr="004E6293">
        <w:t xml:space="preserve"> </w:t>
      </w:r>
      <w:r w:rsidRPr="004E6293">
        <w:t>I skrivelsen anförs att regeringen därefter kommer att överväga utredarens förslag. Vänsterpartiet anser att regeringens mångåriga passivitet i denn</w:t>
      </w:r>
      <w:r w:rsidR="00997A9A" w:rsidRPr="004E6293">
        <w:t>a fråga är en skamfläck. Vi anser</w:t>
      </w:r>
      <w:r w:rsidRPr="004E6293">
        <w:t xml:space="preserve"> att regeringens ambition bör vara att när uppdraget redovisats skyndsamt återkomma till riksdagen med förslag som reglerar frågan om ett oberoende utredningsorgan vid misstanke om övervåld från polisen. Detta bör riksdagen som sin mening ge regeringen till känna.</w:t>
      </w:r>
    </w:p>
    <w:p w:rsidR="00272AE9" w:rsidRPr="004E6293" w:rsidRDefault="00272AE9" w:rsidP="00272AE9">
      <w:pPr>
        <w:pStyle w:val="Rubrik1"/>
      </w:pPr>
      <w:r w:rsidRPr="004E6293">
        <w:t>Respekten för de mänskliga rättigheterna i arbetet mot terrorism och annan grov brottslighet</w:t>
      </w:r>
    </w:p>
    <w:p w:rsidR="00272AE9" w:rsidRPr="004E6293" w:rsidRDefault="00272AE9" w:rsidP="00272AE9">
      <w:r w:rsidRPr="004E6293">
        <w:t>Bred enighet råder om att terrorism måste bekämpas med kraft och effektiv</w:t>
      </w:r>
      <w:r w:rsidRPr="004E6293">
        <w:t>i</w:t>
      </w:r>
      <w:r w:rsidRPr="004E6293">
        <w:t>tet, men den kampen måste ske inom ramen för normerna om de mänskliga rättigheterna. Månaderna efter</w:t>
      </w:r>
      <w:r w:rsidR="00A43A30" w:rsidRPr="004E6293">
        <w:t xml:space="preserve"> </w:t>
      </w:r>
      <w:r w:rsidRPr="004E6293">
        <w:t xml:space="preserve">den 11 september vidtogs repressiva åtgärder som drabbade personer i vårt land. Två egyptiska medborgare avvisades </w:t>
      </w:r>
      <w:r w:rsidR="0034782A" w:rsidRPr="004E6293">
        <w:t>med hjälp av amerikanska CIA</w:t>
      </w:r>
      <w:r w:rsidRPr="004E6293">
        <w:t xml:space="preserve"> </w:t>
      </w:r>
      <w:r w:rsidR="0034782A" w:rsidRPr="004E6293">
        <w:t xml:space="preserve">till </w:t>
      </w:r>
      <w:r w:rsidR="00997A9A" w:rsidRPr="004E6293">
        <w:t xml:space="preserve">egyptisk </w:t>
      </w:r>
      <w:r w:rsidR="0034782A" w:rsidRPr="004E6293">
        <w:t>säkerhetstjänst. E</w:t>
      </w:r>
      <w:r w:rsidRPr="004E6293">
        <w:t>ftersom det fanns skäl att tro att männen skulle torteras i Egypten skaffade regeringen en s</w:t>
      </w:r>
      <w:r w:rsidR="00997A9A" w:rsidRPr="004E6293">
        <w:t>.</w:t>
      </w:r>
      <w:r w:rsidRPr="004E6293">
        <w:t>k</w:t>
      </w:r>
      <w:r w:rsidR="00997A9A" w:rsidRPr="004E6293">
        <w:t>.</w:t>
      </w:r>
      <w:r w:rsidRPr="004E6293">
        <w:t xml:space="preserve"> garanti av den egyptiska regeringen om att så inte skulle ske. Garantin skulle visa sig värdelös</w:t>
      </w:r>
      <w:r w:rsidR="00997A9A" w:rsidRPr="004E6293">
        <w:t>,</w:t>
      </w:r>
      <w:r w:rsidRPr="004E6293">
        <w:t xml:space="preserve"> och </w:t>
      </w:r>
      <w:r w:rsidR="0034782A" w:rsidRPr="004E6293">
        <w:t>regeringens ager</w:t>
      </w:r>
      <w:r w:rsidR="00997A9A" w:rsidRPr="004E6293">
        <w:t>a</w:t>
      </w:r>
      <w:r w:rsidR="0034782A" w:rsidRPr="004E6293">
        <w:t>nde</w:t>
      </w:r>
      <w:r w:rsidRPr="004E6293">
        <w:t xml:space="preserve"> har kritiserats av FN:s kommitté mot tortyr</w:t>
      </w:r>
      <w:r w:rsidR="0034782A" w:rsidRPr="004E6293">
        <w:t xml:space="preserve"> och av riksdagens </w:t>
      </w:r>
      <w:r w:rsidR="00997A9A" w:rsidRPr="004E6293">
        <w:t>konstitutionsutskott</w:t>
      </w:r>
      <w:r w:rsidRPr="004E6293">
        <w:t>. Andra internationella organ som FN:s kommitté för mänskliga rättigheter, FN:s kommitté mot rasdiskr</w:t>
      </w:r>
      <w:r w:rsidRPr="004E6293">
        <w:t>i</w:t>
      </w:r>
      <w:r w:rsidRPr="004E6293">
        <w:t>minering, Europarådets kommissionärer</w:t>
      </w:r>
      <w:r w:rsidR="0034782A" w:rsidRPr="004E6293">
        <w:t xml:space="preserve"> för de mänskliga rättigheterna och</w:t>
      </w:r>
      <w:r w:rsidRPr="004E6293">
        <w:t xml:space="preserve"> Internationella </w:t>
      </w:r>
      <w:r w:rsidR="00997A9A" w:rsidRPr="004E6293">
        <w:t>juristkommissionen</w:t>
      </w:r>
      <w:r w:rsidRPr="004E6293">
        <w:t xml:space="preserve">, men även </w:t>
      </w:r>
      <w:r w:rsidR="0034782A" w:rsidRPr="004E6293">
        <w:t xml:space="preserve">den svenska </w:t>
      </w:r>
      <w:r w:rsidRPr="004E6293">
        <w:t>Justitieombud</w:t>
      </w:r>
      <w:r w:rsidRPr="004E6293">
        <w:t>s</w:t>
      </w:r>
      <w:r w:rsidRPr="004E6293">
        <w:t>mannen har riktat synnerligen allvarlig kritik mot de åtgärder som vidtogs vid avvisningen. Kritiken redovisas i skrivelsen</w:t>
      </w:r>
      <w:r w:rsidR="00997A9A" w:rsidRPr="004E6293">
        <w:t>,</w:t>
      </w:r>
      <w:r w:rsidRPr="004E6293">
        <w:t xml:space="preserve"> och regeringen anför att rege</w:t>
      </w:r>
      <w:r w:rsidRPr="004E6293">
        <w:t>r</w:t>
      </w:r>
      <w:r w:rsidRPr="004E6293">
        <w:t>ingen kommer att dra slutsatser av det beslut som fattades av FN:s kommitté mot tortyr för det fall det skulle bli aktuellt att överväga diplomatiska garant</w:t>
      </w:r>
      <w:r w:rsidRPr="004E6293">
        <w:t>i</w:t>
      </w:r>
      <w:r w:rsidRPr="004E6293">
        <w:t>er i något framtida ärende. Det får anses klarlagt att de två egyptiska medbo</w:t>
      </w:r>
      <w:r w:rsidRPr="004E6293">
        <w:t>r</w:t>
      </w:r>
      <w:r w:rsidRPr="004E6293">
        <w:t xml:space="preserve">garna har torterats i Egypten, att de inte fått rättvisa rättegångar och att de har utsatts för kränkande och förnedrande behandling. Vänsterpartiet anser att den slutsats som regeringen borde dra av det inträffade är att sådana diplomatiska garantier aldrig </w:t>
      </w:r>
      <w:r w:rsidR="0034782A" w:rsidRPr="004E6293">
        <w:t>ska</w:t>
      </w:r>
      <w:r w:rsidR="009709D9" w:rsidRPr="004E6293">
        <w:t>ll</w:t>
      </w:r>
      <w:r w:rsidRPr="004E6293">
        <w:t xml:space="preserve"> användas. Detta bör riksdagen som sin mening ge rege</w:t>
      </w:r>
      <w:r w:rsidRPr="004E6293">
        <w:t>r</w:t>
      </w:r>
      <w:r w:rsidRPr="004E6293">
        <w:t>ingen till känna.</w:t>
      </w:r>
    </w:p>
    <w:p w:rsidR="00272AE9" w:rsidRPr="004E6293" w:rsidRDefault="0034782A" w:rsidP="00745448">
      <w:pPr>
        <w:pStyle w:val="Normaltindrag"/>
      </w:pPr>
      <w:r w:rsidRPr="004E6293">
        <w:t>Vänsterpartiet är medvetet</w:t>
      </w:r>
      <w:r w:rsidR="00272AE9" w:rsidRPr="004E6293">
        <w:t xml:space="preserve"> om att klockan inte kan vridas tillbaka och kränkningar göras ogjorda, men vi kräver att den svenska regeringen upprä</w:t>
      </w:r>
      <w:r w:rsidR="00272AE9" w:rsidRPr="004E6293">
        <w:t>t</w:t>
      </w:r>
      <w:r w:rsidR="00272AE9" w:rsidRPr="004E6293">
        <w:t xml:space="preserve">tar sitt anseende genom att ta ansvar och medge de kränkningar man orsakat. I skrivelsen anförs att regeringen har begärt en oberoende internationell granskning av behandlingen av de två männen i Egypten. Detta räcker inte. Sverige bör dessutom med hänvisning till att garantin brutits möjliggöra </w:t>
      </w:r>
      <w:r w:rsidR="009709D9" w:rsidRPr="004E6293">
        <w:t xml:space="preserve">för </w:t>
      </w:r>
      <w:r w:rsidR="00272AE9" w:rsidRPr="004E6293">
        <w:t>El Zary och Agiza att återvända till Sverige så att de kan få det skydd folkrä</w:t>
      </w:r>
      <w:r w:rsidR="00272AE9" w:rsidRPr="004E6293">
        <w:t>t</w:t>
      </w:r>
      <w:r w:rsidR="00272AE9" w:rsidRPr="004E6293">
        <w:t>ten ger dem rätt till. Detta bör ges regeringen till</w:t>
      </w:r>
      <w:r w:rsidR="00997A9A" w:rsidRPr="004E6293">
        <w:t xml:space="preserve"> </w:t>
      </w:r>
      <w:r w:rsidR="00272AE9" w:rsidRPr="004E6293">
        <w:t>känna.</w:t>
      </w:r>
    </w:p>
    <w:p w:rsidR="00655B44" w:rsidRPr="004E6293" w:rsidRDefault="00272AE9" w:rsidP="00A3708A">
      <w:pPr>
        <w:pStyle w:val="Normaltindrag"/>
      </w:pPr>
      <w:r w:rsidRPr="004E6293">
        <w:t>Sverige verkar just nu i Europarådet för utarbetandet av en rekommend</w:t>
      </w:r>
      <w:r w:rsidRPr="004E6293">
        <w:t>a</w:t>
      </w:r>
      <w:r w:rsidRPr="004E6293">
        <w:t>tion för hur s.k. diplomatiska garantier mot tortyr ska</w:t>
      </w:r>
      <w:r w:rsidR="00997A9A" w:rsidRPr="004E6293">
        <w:t>ll</w:t>
      </w:r>
      <w:r w:rsidRPr="004E6293">
        <w:t xml:space="preserve"> utformas. Det är sy</w:t>
      </w:r>
      <w:r w:rsidRPr="004E6293">
        <w:t>n</w:t>
      </w:r>
      <w:r w:rsidRPr="004E6293">
        <w:t xml:space="preserve">nerligen anmärkningsvärt att Sverige nu aktivt bidrar till att undergräva </w:t>
      </w:r>
      <w:r w:rsidR="0034782A" w:rsidRPr="004E6293">
        <w:t>fö</w:t>
      </w:r>
      <w:r w:rsidR="0034782A" w:rsidRPr="004E6293">
        <w:t>r</w:t>
      </w:r>
      <w:r w:rsidR="0034782A" w:rsidRPr="004E6293">
        <w:t>budet mot att utvisa någon till ett land där han eller hon riskerar tortyr</w:t>
      </w:r>
      <w:r w:rsidRPr="004E6293">
        <w:t>. Rege</w:t>
      </w:r>
      <w:r w:rsidRPr="004E6293">
        <w:t>r</w:t>
      </w:r>
      <w:r w:rsidRPr="004E6293">
        <w:t xml:space="preserve">ingen borde alltså ta sitt ansvar och i Europarådet verka för ett absolut förbud mot </w:t>
      </w:r>
      <w:r w:rsidR="0034782A" w:rsidRPr="004E6293">
        <w:t>användandet av s</w:t>
      </w:r>
      <w:r w:rsidR="00997A9A" w:rsidRPr="004E6293">
        <w:t>.</w:t>
      </w:r>
      <w:r w:rsidR="0034782A" w:rsidRPr="004E6293">
        <w:t>k</w:t>
      </w:r>
      <w:r w:rsidR="00997A9A" w:rsidRPr="004E6293">
        <w:t>.</w:t>
      </w:r>
      <w:r w:rsidR="0034782A" w:rsidRPr="004E6293">
        <w:t xml:space="preserve"> diplomatiska </w:t>
      </w:r>
      <w:r w:rsidRPr="004E6293">
        <w:t>garantier. Detta bör riksdagen som sin mening ge regeringen till känna.</w:t>
      </w:r>
    </w:p>
    <w:p w:rsidR="005142BF" w:rsidRPr="004E6293" w:rsidRDefault="00272AE9" w:rsidP="00A3708A">
      <w:pPr>
        <w:pStyle w:val="Normaltindrag"/>
      </w:pPr>
      <w:r w:rsidRPr="004E6293">
        <w:t>Envar som är anklagad för brott skall ha rätt till en opartisk och offentligt rättegång för att få anklagelserna prövade. Denna rättighet garanteras både i den internationella konventionen om medborgerliga och politiska rättigheter och i den europeiska konventionen om mänskliga rättigheter. Tre svenska medborgare av somaliskt ursprung har fått erfara vad det i praktiken kan i</w:t>
      </w:r>
      <w:r w:rsidRPr="004E6293">
        <w:t>n</w:t>
      </w:r>
      <w:r w:rsidRPr="004E6293">
        <w:t>nebära att få denna rättighet kränkt. I skrivelsen anges att de senaste årens rättsliga utveckling i samband med bekämpandet av terrorism väcker frågor om rättssäkerhetsgarantier på såväl den internationella som den nationella nivån. I planen finns ingen seriös probleminventering och behovsanalys, inte heller ges utrymme för de kränktas och drabbades perspektiv.</w:t>
      </w:r>
    </w:p>
    <w:p w:rsidR="00A43A30" w:rsidRPr="004E6293" w:rsidRDefault="00272AE9" w:rsidP="00A3708A">
      <w:pPr>
        <w:pStyle w:val="Normaltindrag"/>
      </w:pPr>
      <w:r w:rsidRPr="004E6293">
        <w:t>Vänsterpartiet anser att regeringen har ett ansvar för att skapa de lagar och det system som behövs för att garantera människor tillgång till sina rättigh</w:t>
      </w:r>
      <w:r w:rsidRPr="004E6293">
        <w:t>e</w:t>
      </w:r>
      <w:r w:rsidRPr="004E6293">
        <w:t>ter</w:t>
      </w:r>
      <w:r w:rsidR="00997A9A" w:rsidRPr="004E6293">
        <w:t>.</w:t>
      </w:r>
      <w:r w:rsidRPr="004E6293">
        <w:t xml:space="preserve"> </w:t>
      </w:r>
      <w:r w:rsidR="00997A9A" w:rsidRPr="004E6293">
        <w:t xml:space="preserve">En </w:t>
      </w:r>
      <w:r w:rsidRPr="004E6293">
        <w:t>av de största utmaningarna i</w:t>
      </w:r>
      <w:r w:rsidR="00997A9A" w:rsidRPr="004E6293">
        <w:t xml:space="preserve"> </w:t>
      </w:r>
      <w:r w:rsidRPr="004E6293">
        <w:t xml:space="preserve">dag är att hitta vägar att kontrollera om åtgärderna för att bekämpa terrorism överensstämmer med de mänskliga rättigheterna. En begränsning av rättssäkerheten genom inskränkningar i rättigheterna för terroristmisstänkta riskerar att urholka det förtroende och den trygghet i samhället som kommer av ett starkt och oberoende rättsväsende med en tydlig demokratisk roll. Det kan inte vara omöjligt att hitta vägar att bekämpa terrorism och värna nationell säkerhet inom ramen för de mänskliga rättigheterna och det skydd mot godtycke som de erbjuder. Vänsterpartiet anser att regeringen bör göra en systematisk utvärdering </w:t>
      </w:r>
      <w:r w:rsidR="0034782A" w:rsidRPr="004E6293">
        <w:t>av</w:t>
      </w:r>
      <w:r w:rsidR="00A43A30" w:rsidRPr="004E6293">
        <w:t xml:space="preserve"> hur de mänskliga rättigheterna påverkats i kampen mot terrorismen och föreslå åtgärder för att komma till</w:t>
      </w:r>
      <w:r w:rsidR="00997A9A" w:rsidRPr="004E6293">
        <w:t xml:space="preserve"> </w:t>
      </w:r>
      <w:r w:rsidR="00A43A30" w:rsidRPr="004E6293">
        <w:t>rätta med missförhållandena.</w:t>
      </w:r>
      <w:r w:rsidR="00655B44" w:rsidRPr="004E6293">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7A9A" w:rsidRPr="004E6293">
        <w:tblPrEx>
          <w:tblCellMar>
            <w:top w:w="0" w:type="dxa"/>
            <w:bottom w:w="0" w:type="dxa"/>
          </w:tblCellMar>
        </w:tblPrEx>
        <w:trPr>
          <w:cantSplit/>
        </w:trPr>
        <w:tc>
          <w:tcPr>
            <w:tcW w:w="3046" w:type="dxa"/>
          </w:tcPr>
          <w:p w:rsidR="00997A9A" w:rsidRPr="004E6293" w:rsidRDefault="00997A9A" w:rsidP="00997A9A">
            <w:pPr>
              <w:pStyle w:val="UnderskriftDatum"/>
              <w:spacing w:before="240"/>
            </w:pPr>
            <w:r w:rsidRPr="004E6293">
              <w:t>Stockholm den 28 mars 2006</w:t>
            </w:r>
          </w:p>
        </w:tc>
        <w:tc>
          <w:tcPr>
            <w:tcW w:w="3047" w:type="dxa"/>
          </w:tcPr>
          <w:p w:rsidR="00997A9A" w:rsidRPr="004E6293" w:rsidRDefault="00997A9A" w:rsidP="00997A9A">
            <w:pPr>
              <w:pStyle w:val="Underskrifter"/>
              <w:spacing w:before="240"/>
            </w:pPr>
          </w:p>
        </w:tc>
      </w:tr>
      <w:tr w:rsidR="00997A9A" w:rsidRPr="004E6293">
        <w:tblPrEx>
          <w:tblCellMar>
            <w:top w:w="0" w:type="dxa"/>
            <w:bottom w:w="0" w:type="dxa"/>
          </w:tblCellMar>
        </w:tblPrEx>
        <w:trPr>
          <w:cantSplit/>
        </w:trPr>
        <w:tc>
          <w:tcPr>
            <w:tcW w:w="3046" w:type="dxa"/>
          </w:tcPr>
          <w:p w:rsidR="00997A9A" w:rsidRPr="004E6293" w:rsidRDefault="00997A9A" w:rsidP="00997A9A">
            <w:pPr>
              <w:pStyle w:val="Underskrifter"/>
            </w:pPr>
            <w:r w:rsidRPr="004E6293">
              <w:t>Mats Einarsson (v)</w:t>
            </w:r>
          </w:p>
        </w:tc>
        <w:tc>
          <w:tcPr>
            <w:tcW w:w="3047" w:type="dxa"/>
          </w:tcPr>
          <w:p w:rsidR="00997A9A" w:rsidRPr="004E6293" w:rsidRDefault="00997A9A" w:rsidP="00997A9A">
            <w:pPr>
              <w:pStyle w:val="Underskrifter"/>
            </w:pPr>
          </w:p>
        </w:tc>
      </w:tr>
      <w:tr w:rsidR="00997A9A" w:rsidRPr="004E6293">
        <w:tblPrEx>
          <w:tblCellMar>
            <w:top w:w="0" w:type="dxa"/>
            <w:bottom w:w="0" w:type="dxa"/>
          </w:tblCellMar>
        </w:tblPrEx>
        <w:trPr>
          <w:cantSplit/>
        </w:trPr>
        <w:tc>
          <w:tcPr>
            <w:tcW w:w="3046" w:type="dxa"/>
          </w:tcPr>
          <w:p w:rsidR="00997A9A" w:rsidRPr="004E6293" w:rsidRDefault="00997A9A" w:rsidP="00997A9A">
            <w:pPr>
              <w:pStyle w:val="Underskrifter"/>
            </w:pPr>
            <w:r w:rsidRPr="004E6293">
              <w:t>Rossana Dinamarca (v)</w:t>
            </w:r>
          </w:p>
        </w:tc>
        <w:tc>
          <w:tcPr>
            <w:tcW w:w="3047" w:type="dxa"/>
          </w:tcPr>
          <w:p w:rsidR="00997A9A" w:rsidRPr="004E6293" w:rsidRDefault="00997A9A" w:rsidP="00997A9A">
            <w:pPr>
              <w:pStyle w:val="Underskrifter"/>
            </w:pPr>
            <w:r w:rsidRPr="004E6293">
              <w:t>Siv Holma (v)</w:t>
            </w:r>
          </w:p>
        </w:tc>
      </w:tr>
      <w:tr w:rsidR="00997A9A" w:rsidRPr="004E6293">
        <w:tblPrEx>
          <w:tblCellMar>
            <w:top w:w="0" w:type="dxa"/>
            <w:bottom w:w="0" w:type="dxa"/>
          </w:tblCellMar>
        </w:tblPrEx>
        <w:trPr>
          <w:cantSplit/>
        </w:trPr>
        <w:tc>
          <w:tcPr>
            <w:tcW w:w="3046" w:type="dxa"/>
          </w:tcPr>
          <w:p w:rsidR="00997A9A" w:rsidRPr="004E6293" w:rsidRDefault="00997A9A" w:rsidP="00997A9A">
            <w:pPr>
              <w:pStyle w:val="Underskrifter"/>
            </w:pPr>
            <w:r w:rsidRPr="004E6293">
              <w:t>Rolf Olsson (v)</w:t>
            </w:r>
          </w:p>
        </w:tc>
        <w:tc>
          <w:tcPr>
            <w:tcW w:w="3047" w:type="dxa"/>
          </w:tcPr>
          <w:p w:rsidR="00997A9A" w:rsidRPr="004E6293" w:rsidRDefault="00997A9A" w:rsidP="00997A9A">
            <w:pPr>
              <w:pStyle w:val="Underskrifter"/>
            </w:pPr>
            <w:r w:rsidRPr="004E6293">
              <w:t>Per Rosengren (v)</w:t>
            </w:r>
          </w:p>
        </w:tc>
      </w:tr>
      <w:tr w:rsidR="00997A9A" w:rsidRPr="004E6293">
        <w:tblPrEx>
          <w:tblCellMar>
            <w:top w:w="0" w:type="dxa"/>
            <w:bottom w:w="0" w:type="dxa"/>
          </w:tblCellMar>
        </w:tblPrEx>
        <w:trPr>
          <w:cantSplit/>
        </w:trPr>
        <w:tc>
          <w:tcPr>
            <w:tcW w:w="3046" w:type="dxa"/>
          </w:tcPr>
          <w:p w:rsidR="00997A9A" w:rsidRPr="004E6293" w:rsidRDefault="00997A9A" w:rsidP="00997A9A">
            <w:pPr>
              <w:pStyle w:val="Underskrifter"/>
            </w:pPr>
            <w:r w:rsidRPr="004E6293">
              <w:t>Tasso Stafilidis (v)</w:t>
            </w:r>
          </w:p>
        </w:tc>
        <w:tc>
          <w:tcPr>
            <w:tcW w:w="3047" w:type="dxa"/>
          </w:tcPr>
          <w:p w:rsidR="00997A9A" w:rsidRPr="004E6293" w:rsidRDefault="00997A9A" w:rsidP="00997A9A">
            <w:pPr>
              <w:pStyle w:val="Underskrifter"/>
            </w:pPr>
            <w:r w:rsidRPr="004E6293">
              <w:t>Alice Åström (v)</w:t>
            </w:r>
          </w:p>
        </w:tc>
      </w:tr>
    </w:tbl>
    <w:p w:rsidR="00272AE9" w:rsidRPr="004E6293" w:rsidRDefault="00272AE9" w:rsidP="00997A9A">
      <w:pPr>
        <w:pStyle w:val="Normaltindrag"/>
      </w:pPr>
    </w:p>
    <w:sectPr w:rsidR="00272AE9" w:rsidRPr="004E6293" w:rsidSect="00997A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E50" w:rsidRPr="004E6293" w:rsidRDefault="00CB1E50">
      <w:r w:rsidRPr="004E6293">
        <w:separator/>
      </w:r>
    </w:p>
  </w:endnote>
  <w:endnote w:type="continuationSeparator" w:id="0">
    <w:p w:rsidR="00CB1E50" w:rsidRPr="004E6293" w:rsidRDefault="00CB1E50">
      <w:r w:rsidRPr="004E6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8" w:rsidRPr="004E6293" w:rsidRDefault="004E6293" w:rsidP="00997A9A">
    <w:pPr>
      <w:pStyle w:val="Sidfot"/>
    </w:pPr>
    <w:r w:rsidRPr="004E6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951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9A" w:rsidRDefault="00997A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A9A" w:rsidRDefault="00997A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A5" w:rsidRPr="004E6293" w:rsidRDefault="004E6293" w:rsidP="00997A9A">
    <w:pPr>
      <w:pStyle w:val="Sidfot"/>
    </w:pPr>
    <w:r w:rsidRPr="004E6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323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9A" w:rsidRDefault="00997A9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A9A" w:rsidRDefault="00997A9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A5" w:rsidRPr="004E6293" w:rsidRDefault="004E6293" w:rsidP="00997A9A">
    <w:pPr>
      <w:pStyle w:val="Sidfot"/>
    </w:pPr>
    <w:r w:rsidRPr="004E6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646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9A" w:rsidRDefault="00997A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A9A" w:rsidRDefault="00997A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E50" w:rsidRPr="004E6293" w:rsidRDefault="00CB1E50">
      <w:r w:rsidRPr="004E6293">
        <w:separator/>
      </w:r>
    </w:p>
  </w:footnote>
  <w:footnote w:type="continuationSeparator" w:id="0">
    <w:p w:rsidR="00CB1E50" w:rsidRPr="004E6293" w:rsidRDefault="00CB1E50">
      <w:r w:rsidRPr="004E62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8" w:rsidRPr="004E6293" w:rsidRDefault="004E6293" w:rsidP="00997A9A">
    <w:pPr>
      <w:pStyle w:val="Sidhuvud"/>
    </w:pPr>
    <w:r w:rsidRPr="004E6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94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9A" w:rsidRDefault="00997A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A9A" w:rsidRDefault="00997A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A5" w:rsidRPr="004E6293" w:rsidRDefault="004E6293" w:rsidP="00997A9A">
    <w:pPr>
      <w:pStyle w:val="Sidhuvud"/>
    </w:pPr>
    <w:r w:rsidRPr="004E6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158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9A" w:rsidRDefault="00997A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A9A" w:rsidRDefault="00997A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A9A" w:rsidRPr="004E6293" w:rsidRDefault="00997A9A">
    <w:pPr>
      <w:pStyle w:val="FSHNormal"/>
      <w:tabs>
        <w:tab w:val="right" w:pos="5840"/>
      </w:tabs>
    </w:pPr>
    <w:r w:rsidRPr="004E6293">
      <w:br/>
    </w:r>
    <w:r w:rsidRPr="004E6293">
      <w:fldChar w:fldCharType="begin" w:fldLock="1"/>
    </w:r>
    <w:r w:rsidRPr="004E6293">
      <w:instrText xml:space="preserve"> DOCPROPERTY</w:instrText>
    </w:r>
    <w:r w:rsidRPr="004E6293">
      <w:rPr>
        <w:sz w:val="18"/>
      </w:rPr>
      <w:instrText xml:space="preserve"> "YearUser" *\charformat </w:instrText>
    </w:r>
    <w:r w:rsidRPr="004E6293">
      <w:fldChar w:fldCharType="separate"/>
    </w:r>
    <w:r w:rsidRPr="004E6293">
      <w:t>2005/06</w:t>
    </w:r>
    <w:r w:rsidRPr="004E6293">
      <w:fldChar w:fldCharType="end"/>
    </w:r>
    <w:r w:rsidRPr="004E6293">
      <w:t xml:space="preserve"> </w:t>
    </w:r>
    <w:r w:rsidRPr="004E6293">
      <w:tab/>
      <w:t xml:space="preserve">mnr: </w:t>
    </w:r>
    <w:r w:rsidRPr="004E6293">
      <w:fldChar w:fldCharType="begin" w:fldLock="1"/>
    </w:r>
    <w:r w:rsidRPr="004E6293">
      <w:instrText xml:space="preserve"> DOCPROPERTY</w:instrText>
    </w:r>
    <w:r w:rsidRPr="004E6293">
      <w:rPr>
        <w:sz w:val="18"/>
      </w:rPr>
      <w:instrText xml:space="preserve"> "Motionsnummer" *\charformat </w:instrText>
    </w:r>
    <w:r w:rsidRPr="004E6293">
      <w:fldChar w:fldCharType="separate"/>
    </w:r>
    <w:r w:rsidRPr="004E6293">
      <w:t>K18</w:t>
    </w:r>
    <w:r w:rsidRPr="004E6293">
      <w:fldChar w:fldCharType="end"/>
    </w:r>
    <w:r w:rsidRPr="004E6293">
      <w:br/>
    </w:r>
    <w:r w:rsidRPr="004E6293">
      <w:fldChar w:fldCharType="begin" w:fldLock="1"/>
    </w:r>
    <w:r w:rsidRPr="004E6293">
      <w:instrText xml:space="preserve"> DOCPROPERTY</w:instrText>
    </w:r>
    <w:r w:rsidRPr="004E6293">
      <w:rPr>
        <w:sz w:val="18"/>
      </w:rPr>
      <w:instrText xml:space="preserve"> "Samling" *\charformat </w:instrText>
    </w:r>
    <w:r w:rsidRPr="004E6293">
      <w:fldChar w:fldCharType="end"/>
    </w:r>
    <w:r w:rsidRPr="004E6293">
      <w:tab/>
      <w:t xml:space="preserve">pnr: </w:t>
    </w:r>
    <w:r w:rsidRPr="004E6293">
      <w:fldChar w:fldCharType="begin" w:fldLock="1"/>
    </w:r>
    <w:r w:rsidRPr="004E6293">
      <w:instrText xml:space="preserve"> DOCPROPERTY</w:instrText>
    </w:r>
    <w:r w:rsidRPr="004E6293">
      <w:rPr>
        <w:sz w:val="18"/>
      </w:rPr>
      <w:instrText xml:space="preserve"> "Partinummer" *\charformat </w:instrText>
    </w:r>
    <w:r w:rsidRPr="004E6293">
      <w:fldChar w:fldCharType="separate"/>
    </w:r>
    <w:r w:rsidRPr="004E6293">
      <w:t>v017</w:t>
    </w:r>
    <w:r w:rsidRPr="004E6293">
      <w:fldChar w:fldCharType="end"/>
    </w:r>
  </w:p>
  <w:p w:rsidR="00997A9A" w:rsidRPr="004E6293" w:rsidRDefault="00997A9A">
    <w:pPr>
      <w:pStyle w:val="FSHRub1"/>
    </w:pPr>
    <w:r w:rsidRPr="004E6293">
      <w:t>Motion till riksdagen</w:t>
    </w:r>
    <w:r w:rsidRPr="004E6293">
      <w:br/>
    </w:r>
    <w:r w:rsidRPr="004E6293">
      <w:fldChar w:fldCharType="begin" w:fldLock="1"/>
    </w:r>
    <w:r w:rsidRPr="004E6293">
      <w:instrText xml:space="preserve"> DOCPROPERTY "YearUser" *\charformat </w:instrText>
    </w:r>
    <w:r w:rsidRPr="004E6293">
      <w:fldChar w:fldCharType="separate"/>
    </w:r>
    <w:r w:rsidRPr="004E6293">
      <w:t>2005/06</w:t>
    </w:r>
    <w:r w:rsidRPr="004E6293">
      <w:fldChar w:fldCharType="end"/>
    </w:r>
    <w:r w:rsidRPr="004E6293">
      <w:t>:</w:t>
    </w:r>
    <w:r w:rsidRPr="004E6293">
      <w:fldChar w:fldCharType="begin" w:fldLock="1"/>
    </w:r>
    <w:r w:rsidRPr="004E6293">
      <w:instrText xml:space="preserve"> DOCPROPERTY "Motionsnummer" *\charformat </w:instrText>
    </w:r>
    <w:r w:rsidRPr="004E6293">
      <w:fldChar w:fldCharType="separate"/>
    </w:r>
    <w:r w:rsidRPr="004E6293">
      <w:t>K18</w:t>
    </w:r>
    <w:r w:rsidRPr="004E6293">
      <w:fldChar w:fldCharType="end"/>
    </w:r>
  </w:p>
  <w:p w:rsidR="00997A9A" w:rsidRPr="004E6293" w:rsidRDefault="00997A9A">
    <w:pPr>
      <w:pStyle w:val="FSHNormalS5"/>
    </w:pPr>
    <w:r w:rsidRPr="004E6293">
      <w:fldChar w:fldCharType="begin" w:fldLock="1"/>
    </w:r>
    <w:r w:rsidRPr="004E6293">
      <w:instrText xml:space="preserve"> DOCPROPERTY "MotionarText" *\charformat </w:instrText>
    </w:r>
    <w:r w:rsidRPr="004E6293">
      <w:fldChar w:fldCharType="separate"/>
    </w:r>
    <w:r w:rsidRPr="004E6293">
      <w:t>av Mats Einarsson m.fl. (v)</w:t>
    </w:r>
    <w:r w:rsidRPr="004E6293">
      <w:fldChar w:fldCharType="end"/>
    </w:r>
    <w:r w:rsidRPr="004E6293">
      <w:br/>
    </w:r>
    <w:r w:rsidRPr="004E6293">
      <w:fldChar w:fldCharType="begin" w:fldLock="1"/>
    </w:r>
    <w:r w:rsidRPr="004E6293">
      <w:instrText xml:space="preserve"> DOCPROPERTY "SvarFrasKort" *\charformat </w:instrText>
    </w:r>
    <w:r w:rsidRPr="004E6293">
      <w:fldChar w:fldCharType="separate"/>
    </w:r>
    <w:r w:rsidRPr="004E6293">
      <w:t>med anledning av skr. 2005/06:95</w:t>
    </w:r>
    <w:r w:rsidRPr="004E6293">
      <w:fldChar w:fldCharType="end"/>
    </w:r>
  </w:p>
  <w:p w:rsidR="00997A9A" w:rsidRPr="004E6293" w:rsidRDefault="00997A9A">
    <w:pPr>
      <w:pStyle w:val="FSHTitel"/>
    </w:pPr>
    <w:r w:rsidRPr="004E6293">
      <w:fldChar w:fldCharType="begin" w:fldLock="1"/>
    </w:r>
    <w:r w:rsidRPr="004E6293">
      <w:instrText xml:space="preserve"> DOCPROPERTY</w:instrText>
    </w:r>
    <w:r w:rsidRPr="004E6293">
      <w:rPr>
        <w:sz w:val="18"/>
      </w:rPr>
      <w:instrText xml:space="preserve"> "RubrikSvar" *\charformat </w:instrText>
    </w:r>
    <w:r w:rsidRPr="004E6293">
      <w:fldChar w:fldCharType="separate"/>
    </w:r>
    <w:r w:rsidRPr="004E6293">
      <w:t>En nationell handlingsplan för de mänskliga rättigheterna 2006–2009</w:t>
    </w:r>
    <w:r w:rsidRPr="004E6293">
      <w:fldChar w:fldCharType="end"/>
    </w:r>
  </w:p>
  <w:p w:rsidR="00997A9A" w:rsidRPr="004E6293" w:rsidRDefault="00997A9A" w:rsidP="00997A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B34E1"/>
    <w:multiLevelType w:val="hybridMultilevel"/>
    <w:tmpl w:val="3CD293E6"/>
    <w:lvl w:ilvl="0" w:tplc="A544C6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5266422">
    <w:abstractNumId w:val="14"/>
  </w:num>
  <w:num w:numId="2" w16cid:durableId="1280918649">
    <w:abstractNumId w:val="10"/>
  </w:num>
  <w:num w:numId="3" w16cid:durableId="352192646">
    <w:abstractNumId w:val="12"/>
  </w:num>
  <w:num w:numId="4" w16cid:durableId="469060924">
    <w:abstractNumId w:val="13"/>
  </w:num>
  <w:num w:numId="5" w16cid:durableId="1167017542">
    <w:abstractNumId w:val="8"/>
  </w:num>
  <w:num w:numId="6" w16cid:durableId="684601937">
    <w:abstractNumId w:val="3"/>
  </w:num>
  <w:num w:numId="7" w16cid:durableId="160779140">
    <w:abstractNumId w:val="2"/>
  </w:num>
  <w:num w:numId="8" w16cid:durableId="1376545328">
    <w:abstractNumId w:val="1"/>
  </w:num>
  <w:num w:numId="9" w16cid:durableId="746546">
    <w:abstractNumId w:val="0"/>
  </w:num>
  <w:num w:numId="10" w16cid:durableId="363678685">
    <w:abstractNumId w:val="9"/>
  </w:num>
  <w:num w:numId="11" w16cid:durableId="504327388">
    <w:abstractNumId w:val="7"/>
  </w:num>
  <w:num w:numId="12" w16cid:durableId="97911365">
    <w:abstractNumId w:val="6"/>
  </w:num>
  <w:num w:numId="13" w16cid:durableId="938027665">
    <w:abstractNumId w:val="5"/>
  </w:num>
  <w:num w:numId="14" w16cid:durableId="767577515">
    <w:abstractNumId w:val="4"/>
  </w:num>
  <w:num w:numId="15" w16cid:durableId="1877499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1B46DE"/>
    <w:rsid w:val="00040D14"/>
    <w:rsid w:val="0004381F"/>
    <w:rsid w:val="00064BC3"/>
    <w:rsid w:val="000665E6"/>
    <w:rsid w:val="00066775"/>
    <w:rsid w:val="00072FB9"/>
    <w:rsid w:val="00081DFF"/>
    <w:rsid w:val="00092552"/>
    <w:rsid w:val="00095336"/>
    <w:rsid w:val="000E48DA"/>
    <w:rsid w:val="000F5ADD"/>
    <w:rsid w:val="00100531"/>
    <w:rsid w:val="0010382E"/>
    <w:rsid w:val="001B46DE"/>
    <w:rsid w:val="001B77A5"/>
    <w:rsid w:val="001E0043"/>
    <w:rsid w:val="00201DFB"/>
    <w:rsid w:val="00204A63"/>
    <w:rsid w:val="00212FF1"/>
    <w:rsid w:val="00230193"/>
    <w:rsid w:val="0025068A"/>
    <w:rsid w:val="00272AE9"/>
    <w:rsid w:val="002818D3"/>
    <w:rsid w:val="002943C8"/>
    <w:rsid w:val="00295E6D"/>
    <w:rsid w:val="002975BC"/>
    <w:rsid w:val="002C2373"/>
    <w:rsid w:val="002D11A8"/>
    <w:rsid w:val="003033CC"/>
    <w:rsid w:val="0034782A"/>
    <w:rsid w:val="003866EC"/>
    <w:rsid w:val="003D156D"/>
    <w:rsid w:val="003D599A"/>
    <w:rsid w:val="003E576F"/>
    <w:rsid w:val="003F100A"/>
    <w:rsid w:val="004165EC"/>
    <w:rsid w:val="00445271"/>
    <w:rsid w:val="00447A04"/>
    <w:rsid w:val="004A0504"/>
    <w:rsid w:val="004E38D9"/>
    <w:rsid w:val="004E6293"/>
    <w:rsid w:val="005142BF"/>
    <w:rsid w:val="00524E85"/>
    <w:rsid w:val="005A3E88"/>
    <w:rsid w:val="005B145B"/>
    <w:rsid w:val="00625D77"/>
    <w:rsid w:val="00655B44"/>
    <w:rsid w:val="006F1936"/>
    <w:rsid w:val="00703A9E"/>
    <w:rsid w:val="00740D6D"/>
    <w:rsid w:val="00743F76"/>
    <w:rsid w:val="00745448"/>
    <w:rsid w:val="00794149"/>
    <w:rsid w:val="007B67A7"/>
    <w:rsid w:val="007C6092"/>
    <w:rsid w:val="00833C20"/>
    <w:rsid w:val="00846903"/>
    <w:rsid w:val="009709D9"/>
    <w:rsid w:val="00997A9A"/>
    <w:rsid w:val="00A053C6"/>
    <w:rsid w:val="00A12D7E"/>
    <w:rsid w:val="00A262FF"/>
    <w:rsid w:val="00A3708A"/>
    <w:rsid w:val="00A435CE"/>
    <w:rsid w:val="00A43A30"/>
    <w:rsid w:val="00A71A1A"/>
    <w:rsid w:val="00AB5000"/>
    <w:rsid w:val="00B13BF0"/>
    <w:rsid w:val="00B33C81"/>
    <w:rsid w:val="00B67E5B"/>
    <w:rsid w:val="00BA6BE0"/>
    <w:rsid w:val="00BB6D75"/>
    <w:rsid w:val="00BD37CA"/>
    <w:rsid w:val="00C1285C"/>
    <w:rsid w:val="00C1684B"/>
    <w:rsid w:val="00C27B7D"/>
    <w:rsid w:val="00CB1E50"/>
    <w:rsid w:val="00CE3037"/>
    <w:rsid w:val="00CF7A43"/>
    <w:rsid w:val="00D01775"/>
    <w:rsid w:val="00D1174F"/>
    <w:rsid w:val="00D53D04"/>
    <w:rsid w:val="00DC6C70"/>
    <w:rsid w:val="00E22893"/>
    <w:rsid w:val="00E349C2"/>
    <w:rsid w:val="00E360DE"/>
    <w:rsid w:val="00E521CB"/>
    <w:rsid w:val="00E75D28"/>
    <w:rsid w:val="00E84F25"/>
    <w:rsid w:val="00EE12EF"/>
    <w:rsid w:val="00F21B30"/>
    <w:rsid w:val="00F73E9E"/>
    <w:rsid w:val="00F80AD8"/>
    <w:rsid w:val="00FA3374"/>
    <w:rsid w:val="00FC7E79"/>
    <w:rsid w:val="00FD11AD"/>
    <w:rsid w:val="00FD36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5C8A5-F82C-48FE-9B69-842C586C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97A9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2325</Words>
  <Characters>14068</Characters>
  <Application>Microsoft Office Word</Application>
  <DocSecurity>4</DocSecurity>
  <Lines>246</Lines>
  <Paragraphs>46</Paragraphs>
  <ScaleCrop>false</ScaleCrop>
  <HeadingPairs>
    <vt:vector size="2" baseType="variant">
      <vt:variant>
        <vt:lpstr>Rubrik</vt:lpstr>
      </vt:variant>
      <vt:variant>
        <vt:i4>1</vt:i4>
      </vt:variant>
    </vt:vector>
  </HeadingPairs>
  <TitlesOfParts>
    <vt:vector size="1" baseType="lpstr">
      <vt:lpstr>K18</vt:lpstr>
    </vt:vector>
  </TitlesOfParts>
  <Company>Riksdagen</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K18</dc:title>
  <dc:subject>K18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2006-04-03T07:45:00Z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hp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Mats Einarsson m.fl. (v)</vt:lpwstr>
  </property>
  <property fmtid="{D5CDD505-2E9C-101B-9397-08002B2CF9AE}" pid="26" name="MotionarLista">
    <vt:lpwstr>Einarsson, Mats (v)\Dinamarca, Rossana (v)\Holma, Siv (v)\Olsson, Rolf (v)\Rosengren, Per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Einarsson (v), Rossana Dinamarca (v), Siv Holma (v), Rolf Olsson (v), Per Rosengren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20052006000000000118000000170075</vt:lpwstr>
  </property>
  <property fmtid="{D5CDD505-2E9C-101B-9397-08002B2CF9AE}" pid="47" name="datum">
    <vt:lpwstr>060328</vt:lpwstr>
  </property>
  <property fmtid="{D5CDD505-2E9C-101B-9397-08002B2CF9AE}" pid="48" name="avsändar-e-post">
    <vt:lpwstr/>
  </property>
  <property fmtid="{D5CDD505-2E9C-101B-9397-08002B2CF9AE}" pid="49" name="id">
    <vt:lpwstr>20052006000000000118000000170075</vt:lpwstr>
  </property>
  <property fmtid="{D5CDD505-2E9C-101B-9397-08002B2CF9AE}" pid="50" name="nummer">
    <vt:lpwstr>18</vt:lpwstr>
  </property>
  <property fmtid="{D5CDD505-2E9C-101B-9397-08002B2CF9AE}" pid="51" name="utskottsbeteckning">
    <vt:lpwstr>K</vt:lpwstr>
  </property>
  <property fmtid="{D5CDD505-2E9C-101B-9397-08002B2CF9AE}" pid="52" name="GlobalUID">
    <vt:lpwstr>{68898754-1C38-4F2B-B9EC-9A4BBEA4A1D9}</vt:lpwstr>
  </property>
  <property fmtid="{D5CDD505-2E9C-101B-9397-08002B2CF9AE}" pid="53" name="Överföringar">
    <vt:i4>0</vt:i4>
  </property>
</Properties>
</file>