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79D" w:rsidRPr="00EE74FF" w:rsidRDefault="0075379D" w:rsidP="008C0AF9">
      <w:pPr>
        <w:pStyle w:val="RubrikSammanf"/>
      </w:pPr>
      <w:bookmarkStart w:id="0" w:name="_Toc115610285"/>
      <w:bookmarkStart w:id="1" w:name="_Toc115610298"/>
      <w:bookmarkStart w:id="2" w:name="_Toc115619595"/>
      <w:bookmarkStart w:id="3" w:name="_Toc115620134"/>
      <w:bookmarkStart w:id="4" w:name="_Toc115623196"/>
      <w:bookmarkStart w:id="5" w:name="_Toc115670956"/>
      <w:bookmarkStart w:id="6" w:name="_Toc115671114"/>
      <w:bookmarkStart w:id="7" w:name="_Toc115678451"/>
      <w:bookmarkStart w:id="8" w:name="_Toc115852361"/>
      <w:r w:rsidRPr="00EE74FF">
        <w:t>Sammanfattning</w:t>
      </w:r>
      <w:bookmarkEnd w:id="5"/>
      <w:bookmarkEnd w:id="6"/>
      <w:bookmarkEnd w:id="7"/>
      <w:bookmarkEnd w:id="8"/>
    </w:p>
    <w:p w:rsidR="0075379D" w:rsidRPr="00EE74FF" w:rsidRDefault="0075379D" w:rsidP="008C0AF9">
      <w:r w:rsidRPr="00EE74FF">
        <w:t>Kristdemokraterna beklagar att regeringen inte presenterat någon skarp pr</w:t>
      </w:r>
      <w:r w:rsidRPr="00EE74FF">
        <w:t>o</w:t>
      </w:r>
      <w:r w:rsidRPr="00EE74FF">
        <w:t>position med konkreta åtgärder för att fö</w:t>
      </w:r>
      <w:r w:rsidRPr="00EE74FF">
        <w:t>r</w:t>
      </w:r>
      <w:r w:rsidRPr="00EE74FF">
        <w:t xml:space="preserve">bättra havsmiljön. Denna skrivelse är inte tillräcklig. </w:t>
      </w:r>
    </w:p>
    <w:p w:rsidR="005201EF" w:rsidRPr="00EE74FF" w:rsidRDefault="0075379D" w:rsidP="008C0AF9">
      <w:pPr>
        <w:pStyle w:val="Normaltindrag"/>
      </w:pPr>
      <w:r w:rsidRPr="00EE74FF">
        <w:t>Skrivelsen har ett för stort fokus på myndigheter när det gäller analys och problemformulering. Brukarperspektivet och behovet av näringarnas medve</w:t>
      </w:r>
      <w:r w:rsidRPr="00EE74FF">
        <w:t>r</w:t>
      </w:r>
      <w:r w:rsidRPr="00EE74FF">
        <w:t>kan i såväl problemanalys och problemformulering som förvaltning och b</w:t>
      </w:r>
      <w:r w:rsidRPr="00EE74FF">
        <w:t>e</w:t>
      </w:r>
      <w:r w:rsidRPr="00EE74FF">
        <w:t>slutsfattande saknas. Samtidigt behandlas EU:s vat</w:t>
      </w:r>
      <w:r w:rsidR="005201EF" w:rsidRPr="00EE74FF">
        <w:t>tendirektiv alltför knap</w:t>
      </w:r>
      <w:r w:rsidR="005201EF" w:rsidRPr="00EE74FF">
        <w:t>p</w:t>
      </w:r>
      <w:r w:rsidR="005201EF" w:rsidRPr="00EE74FF">
        <w:t>händigt i skrivelsen. Vattendirektivets roll i regeringens strategi för havet är oklar, trots att dess regler kommer att få stor betydelse för det svenska hav</w:t>
      </w:r>
      <w:r w:rsidR="005201EF" w:rsidRPr="00EE74FF">
        <w:t>s</w:t>
      </w:r>
      <w:r w:rsidR="005201EF" w:rsidRPr="00EE74FF">
        <w:t>miljöarbetet.</w:t>
      </w:r>
    </w:p>
    <w:p w:rsidR="004E0474" w:rsidRPr="00EE74FF" w:rsidRDefault="004E0474" w:rsidP="008C0AF9">
      <w:pPr>
        <w:pStyle w:val="Normaltindrag"/>
      </w:pPr>
      <w:r w:rsidRPr="00EE74FF">
        <w:t>Kristdemokraterna anser att det internationella samarbetet bör ha en inrik</w:t>
      </w:r>
      <w:r w:rsidRPr="00EE74FF">
        <w:t>t</w:t>
      </w:r>
      <w:r w:rsidRPr="00EE74FF">
        <w:t>ning mot Östersjöregionen och syfta till bindande regler om utsläpp, fartyg</w:t>
      </w:r>
      <w:r w:rsidRPr="00EE74FF">
        <w:t>s</w:t>
      </w:r>
      <w:r w:rsidR="009B4FD2" w:rsidRPr="00EE74FF">
        <w:t>trafik</w:t>
      </w:r>
      <w:r w:rsidRPr="00EE74FF">
        <w:t xml:space="preserve"> m.m. EU-samarbetet kring katastrofberedskap och </w:t>
      </w:r>
      <w:r w:rsidR="009B4FD2" w:rsidRPr="00EE74FF">
        <w:t xml:space="preserve">Inspireinitiativet </w:t>
      </w:r>
      <w:r w:rsidRPr="00EE74FF">
        <w:t>bör utvecklas och implementeras i Sverige. Forskning om de komplicerade sa</w:t>
      </w:r>
      <w:r w:rsidRPr="00EE74FF">
        <w:t>m</w:t>
      </w:r>
      <w:r w:rsidRPr="00EE74FF">
        <w:t>banden inom havets ekosystem bör utvecklas genom gemensamma europ</w:t>
      </w:r>
      <w:r w:rsidR="002257AE" w:rsidRPr="00EE74FF">
        <w:t>e</w:t>
      </w:r>
      <w:r w:rsidRPr="00EE74FF">
        <w:t>i</w:t>
      </w:r>
      <w:r w:rsidRPr="00EE74FF">
        <w:t>s</w:t>
      </w:r>
      <w:r w:rsidRPr="00EE74FF">
        <w:t xml:space="preserve">ka forskningsprojekt. </w:t>
      </w:r>
    </w:p>
    <w:p w:rsidR="004E0474" w:rsidRPr="00EE74FF" w:rsidRDefault="004E0474" w:rsidP="008C0AF9">
      <w:pPr>
        <w:pStyle w:val="Normaltindrag"/>
      </w:pPr>
      <w:r w:rsidRPr="00EE74FF">
        <w:t>Potentialen i vågenergin bör tillvaratas och lämpliga områden för vågkraf</w:t>
      </w:r>
      <w:r w:rsidRPr="00EE74FF">
        <w:t>t</w:t>
      </w:r>
      <w:r w:rsidRPr="00EE74FF">
        <w:t>anläg</w:t>
      </w:r>
      <w:r w:rsidRPr="00EE74FF">
        <w:t>g</w:t>
      </w:r>
      <w:r w:rsidRPr="00EE74FF">
        <w:t xml:space="preserve">ningar i svenska vatten bör kartläggas.  </w:t>
      </w:r>
    </w:p>
    <w:p w:rsidR="0075379D" w:rsidRPr="00EE74FF" w:rsidRDefault="0075379D" w:rsidP="008C0AF9">
      <w:pPr>
        <w:pStyle w:val="Normaltindrag"/>
      </w:pPr>
      <w:r w:rsidRPr="00EE74FF">
        <w:t>När det gäller övriga konkreta åtgärdsförslag vill vi hänvisa till Kristd</w:t>
      </w:r>
      <w:r w:rsidRPr="00EE74FF">
        <w:t>e</w:t>
      </w:r>
      <w:r w:rsidRPr="00EE74FF">
        <w:t>mokraternas m</w:t>
      </w:r>
      <w:r w:rsidRPr="00EE74FF">
        <w:t>o</w:t>
      </w:r>
      <w:r w:rsidRPr="00EE74FF">
        <w:t xml:space="preserve">tion </w:t>
      </w:r>
      <w:r w:rsidRPr="00EE74FF">
        <w:rPr>
          <w:i/>
        </w:rPr>
        <w:t>Liv och fiske i Östersjön och Västerhavet</w:t>
      </w:r>
      <w:r w:rsidRPr="00EE74FF">
        <w:t xml:space="preserve">, som kommer </w:t>
      </w:r>
      <w:r w:rsidR="009B4FD2" w:rsidRPr="00EE74FF">
        <w:t xml:space="preserve">att </w:t>
      </w:r>
      <w:r w:rsidRPr="00EE74FF">
        <w:t>väckas</w:t>
      </w:r>
      <w:r w:rsidR="00C34811" w:rsidRPr="00EE74FF">
        <w:t xml:space="preserve"> </w:t>
      </w:r>
      <w:r w:rsidRPr="00EE74FF">
        <w:t>under allmänna m</w:t>
      </w:r>
      <w:r w:rsidRPr="00EE74FF">
        <w:t>o</w:t>
      </w:r>
      <w:r w:rsidRPr="00EE74FF">
        <w:t>tionstiden.</w:t>
      </w:r>
    </w:p>
    <w:p w:rsidR="00C91894" w:rsidRPr="00EE74FF" w:rsidRDefault="008C0AF9" w:rsidP="0022105C">
      <w:pPr>
        <w:pStyle w:val="Rubrik1"/>
        <w:spacing w:before="0"/>
      </w:pPr>
      <w:r w:rsidRPr="00EE74FF">
        <w:br w:type="page"/>
      </w:r>
      <w:bookmarkStart w:id="9" w:name="_Toc115670957"/>
      <w:bookmarkStart w:id="10" w:name="_Toc115671115"/>
      <w:bookmarkStart w:id="11" w:name="_Toc115678452"/>
      <w:bookmarkStart w:id="12" w:name="_Toc115852362"/>
      <w:r w:rsidR="00C91894" w:rsidRPr="00EE74FF">
        <w:lastRenderedPageBreak/>
        <w:t>Innehållsförteckning</w:t>
      </w:r>
      <w:bookmarkEnd w:id="0"/>
      <w:bookmarkEnd w:id="1"/>
      <w:bookmarkEnd w:id="2"/>
      <w:bookmarkEnd w:id="3"/>
      <w:bookmarkEnd w:id="4"/>
      <w:bookmarkEnd w:id="9"/>
      <w:bookmarkEnd w:id="10"/>
      <w:bookmarkEnd w:id="11"/>
      <w:bookmarkEnd w:id="12"/>
    </w:p>
    <w:bookmarkStart w:id="13" w:name="_Toc115610286"/>
    <w:bookmarkStart w:id="14" w:name="_Toc115610299"/>
    <w:bookmarkStart w:id="15" w:name="_Toc115619596"/>
    <w:bookmarkStart w:id="16" w:name="_Toc115620135"/>
    <w:bookmarkStart w:id="17" w:name="_Toc115623197"/>
    <w:bookmarkStart w:id="18" w:name="_Toc115670958"/>
    <w:bookmarkStart w:id="19" w:name="_Toc115671116"/>
    <w:bookmarkStart w:id="20" w:name="_Toc115678453"/>
    <w:p w:rsidR="008C0AF9" w:rsidRPr="00EE74FF" w:rsidRDefault="00AF7FA5" w:rsidP="008C0AF9">
      <w:pPr>
        <w:pStyle w:val="Innehll1"/>
        <w:tabs>
          <w:tab w:val="left" w:pos="380"/>
        </w:tabs>
        <w:rPr>
          <w:sz w:val="24"/>
          <w:szCs w:val="24"/>
        </w:rPr>
      </w:pPr>
      <w:r w:rsidRPr="00EE74FF">
        <w:fldChar w:fldCharType="begin" w:fldLock="1"/>
      </w:r>
      <w:r w:rsidRPr="00EE74FF">
        <w:instrText xml:space="preserve"> TOC \o "1-3" \t "HEMSTL_RUBRIK" </w:instrText>
      </w:r>
      <w:r w:rsidRPr="00EE74FF">
        <w:fldChar w:fldCharType="separate"/>
      </w:r>
      <w:r w:rsidR="008C0AF9" w:rsidRPr="00EE74FF">
        <w:t>1</w:t>
      </w:r>
      <w:r w:rsidR="008C0AF9" w:rsidRPr="00EE74FF">
        <w:rPr>
          <w:sz w:val="24"/>
          <w:szCs w:val="24"/>
        </w:rPr>
        <w:tab/>
      </w:r>
      <w:r w:rsidR="008C0AF9" w:rsidRPr="00EE74FF">
        <w:t>Sammanfattning</w:t>
      </w:r>
      <w:r w:rsidR="008C0AF9" w:rsidRPr="00EE74FF">
        <w:tab/>
      </w:r>
      <w:r w:rsidR="008C0AF9" w:rsidRPr="00EE74FF">
        <w:fldChar w:fldCharType="begin" w:fldLock="1"/>
      </w:r>
      <w:r w:rsidR="008C0AF9" w:rsidRPr="00EE74FF">
        <w:instrText xml:space="preserve"> PAGEREF _Toc115852361 \h </w:instrText>
      </w:r>
      <w:r w:rsidR="008C0AF9" w:rsidRPr="00EE74FF">
        <w:fldChar w:fldCharType="separate"/>
      </w:r>
      <w:r w:rsidR="00076271" w:rsidRPr="00EE74FF">
        <w:t>1</w:t>
      </w:r>
      <w:r w:rsidR="008C0AF9" w:rsidRPr="00EE74FF">
        <w:fldChar w:fldCharType="end"/>
      </w:r>
    </w:p>
    <w:p w:rsidR="008C0AF9" w:rsidRPr="00EE74FF" w:rsidRDefault="008C0AF9" w:rsidP="008C0AF9">
      <w:pPr>
        <w:pStyle w:val="Innehll1"/>
        <w:tabs>
          <w:tab w:val="left" w:pos="380"/>
        </w:tabs>
      </w:pPr>
      <w:r w:rsidRPr="00EE74FF">
        <w:t>2</w:t>
      </w:r>
      <w:r w:rsidRPr="00EE74FF">
        <w:rPr>
          <w:sz w:val="24"/>
          <w:szCs w:val="24"/>
        </w:rPr>
        <w:tab/>
      </w:r>
      <w:r w:rsidRPr="00EE74FF">
        <w:t>Innehållsförteckning</w:t>
      </w:r>
      <w:r w:rsidRPr="00EE74FF">
        <w:tab/>
      </w:r>
      <w:r w:rsidRPr="00EE74FF">
        <w:fldChar w:fldCharType="begin" w:fldLock="1"/>
      </w:r>
      <w:r w:rsidRPr="00EE74FF">
        <w:instrText xml:space="preserve"> PAGEREF _Toc115852362 \h </w:instrText>
      </w:r>
      <w:r w:rsidRPr="00EE74FF">
        <w:fldChar w:fldCharType="separate"/>
      </w:r>
      <w:r w:rsidR="00076271" w:rsidRPr="00EE74FF">
        <w:t>2</w:t>
      </w:r>
      <w:r w:rsidRPr="00EE74FF">
        <w:fldChar w:fldCharType="end"/>
      </w:r>
    </w:p>
    <w:p w:rsidR="008C0AF9" w:rsidRPr="00EE74FF" w:rsidRDefault="008C0AF9" w:rsidP="008C0AF9">
      <w:pPr>
        <w:pStyle w:val="Innehll1"/>
        <w:tabs>
          <w:tab w:val="left" w:pos="380"/>
        </w:tabs>
      </w:pPr>
      <w:r w:rsidRPr="00EE74FF">
        <w:t>3</w:t>
      </w:r>
      <w:r w:rsidRPr="00EE74FF">
        <w:tab/>
        <w:t>Förslag till riksdagsbeslut</w:t>
      </w:r>
      <w:r w:rsidRPr="00EE74FF">
        <w:tab/>
      </w:r>
      <w:r w:rsidRPr="00EE74FF">
        <w:fldChar w:fldCharType="begin" w:fldLock="1"/>
      </w:r>
      <w:r w:rsidRPr="00EE74FF">
        <w:instrText xml:space="preserve"> PAGEREF _Toc115852363 \h </w:instrText>
      </w:r>
      <w:r w:rsidRPr="00EE74FF">
        <w:fldChar w:fldCharType="separate"/>
      </w:r>
      <w:r w:rsidR="00076271" w:rsidRPr="00EE74FF">
        <w:t>3</w:t>
      </w:r>
      <w:r w:rsidRPr="00EE74FF">
        <w:fldChar w:fldCharType="end"/>
      </w:r>
    </w:p>
    <w:p w:rsidR="008C0AF9" w:rsidRPr="00EE74FF" w:rsidRDefault="008C0AF9" w:rsidP="008C0AF9">
      <w:pPr>
        <w:pStyle w:val="Innehll1"/>
        <w:tabs>
          <w:tab w:val="left" w:pos="380"/>
        </w:tabs>
      </w:pPr>
      <w:r w:rsidRPr="00EE74FF">
        <w:t>4</w:t>
      </w:r>
      <w:r w:rsidRPr="00EE74FF">
        <w:tab/>
        <w:t>Nog med utredningar – nu krävs handling</w:t>
      </w:r>
      <w:r w:rsidRPr="00EE74FF">
        <w:tab/>
      </w:r>
      <w:r w:rsidRPr="00EE74FF">
        <w:fldChar w:fldCharType="begin" w:fldLock="1"/>
      </w:r>
      <w:r w:rsidRPr="00EE74FF">
        <w:instrText xml:space="preserve"> PAGEREF _Toc115852364 \h </w:instrText>
      </w:r>
      <w:r w:rsidRPr="00EE74FF">
        <w:fldChar w:fldCharType="separate"/>
      </w:r>
      <w:r w:rsidR="00076271" w:rsidRPr="00EE74FF">
        <w:t>4</w:t>
      </w:r>
      <w:r w:rsidRPr="00EE74FF">
        <w:fldChar w:fldCharType="end"/>
      </w:r>
    </w:p>
    <w:p w:rsidR="008C0AF9" w:rsidRPr="00EE74FF" w:rsidRDefault="008C0AF9" w:rsidP="008C0AF9">
      <w:pPr>
        <w:pStyle w:val="Innehll1"/>
        <w:tabs>
          <w:tab w:val="left" w:pos="380"/>
        </w:tabs>
      </w:pPr>
      <w:r w:rsidRPr="00EE74FF">
        <w:t>5</w:t>
      </w:r>
      <w:r w:rsidRPr="00EE74FF">
        <w:tab/>
        <w:t>Ett hav i balans</w:t>
      </w:r>
      <w:r w:rsidRPr="00EE74FF">
        <w:tab/>
      </w:r>
      <w:r w:rsidRPr="00EE74FF">
        <w:fldChar w:fldCharType="begin" w:fldLock="1"/>
      </w:r>
      <w:r w:rsidRPr="00EE74FF">
        <w:instrText xml:space="preserve"> PAGEREF _Toc115852365 \h </w:instrText>
      </w:r>
      <w:r w:rsidRPr="00EE74FF">
        <w:fldChar w:fldCharType="separate"/>
      </w:r>
      <w:r w:rsidR="00076271" w:rsidRPr="00EE74FF">
        <w:t>4</w:t>
      </w:r>
      <w:r w:rsidRPr="00EE74FF">
        <w:fldChar w:fldCharType="end"/>
      </w:r>
    </w:p>
    <w:p w:rsidR="008C0AF9" w:rsidRPr="00EE74FF" w:rsidRDefault="008C0AF9" w:rsidP="008C0AF9">
      <w:pPr>
        <w:pStyle w:val="Innehll1"/>
        <w:tabs>
          <w:tab w:val="left" w:pos="380"/>
        </w:tabs>
      </w:pPr>
      <w:r w:rsidRPr="00EE74FF">
        <w:t>6</w:t>
      </w:r>
      <w:r w:rsidRPr="00EE74FF">
        <w:tab/>
        <w:t>Deltagande och ansvarstagande</w:t>
      </w:r>
      <w:r w:rsidRPr="00EE74FF">
        <w:tab/>
      </w:r>
      <w:r w:rsidRPr="00EE74FF">
        <w:fldChar w:fldCharType="begin" w:fldLock="1"/>
      </w:r>
      <w:r w:rsidRPr="00EE74FF">
        <w:instrText xml:space="preserve"> PAGEREF _Toc115852366 \h </w:instrText>
      </w:r>
      <w:r w:rsidRPr="00EE74FF">
        <w:fldChar w:fldCharType="separate"/>
      </w:r>
      <w:r w:rsidR="00076271" w:rsidRPr="00EE74FF">
        <w:t>5</w:t>
      </w:r>
      <w:r w:rsidRPr="00EE74FF">
        <w:fldChar w:fldCharType="end"/>
      </w:r>
    </w:p>
    <w:p w:rsidR="008C0AF9" w:rsidRPr="00EE74FF" w:rsidRDefault="008C0AF9" w:rsidP="008C0AF9">
      <w:pPr>
        <w:pStyle w:val="Innehll1"/>
        <w:tabs>
          <w:tab w:val="left" w:pos="380"/>
        </w:tabs>
      </w:pPr>
      <w:r w:rsidRPr="00EE74FF">
        <w:t>7</w:t>
      </w:r>
      <w:r w:rsidRPr="00EE74FF">
        <w:tab/>
        <w:t>EU och internationell samverkan</w:t>
      </w:r>
      <w:r w:rsidRPr="00EE74FF">
        <w:tab/>
      </w:r>
      <w:r w:rsidRPr="00EE74FF">
        <w:fldChar w:fldCharType="begin" w:fldLock="1"/>
      </w:r>
      <w:r w:rsidRPr="00EE74FF">
        <w:instrText xml:space="preserve"> PAGEREF _Toc115852367 \h </w:instrText>
      </w:r>
      <w:r w:rsidRPr="00EE74FF">
        <w:fldChar w:fldCharType="separate"/>
      </w:r>
      <w:r w:rsidR="00076271" w:rsidRPr="00EE74FF">
        <w:t>5</w:t>
      </w:r>
      <w:r w:rsidRPr="00EE74FF">
        <w:fldChar w:fldCharType="end"/>
      </w:r>
    </w:p>
    <w:p w:rsidR="008C0AF9" w:rsidRPr="00EE74FF" w:rsidRDefault="008C0AF9" w:rsidP="008C0AF9">
      <w:pPr>
        <w:pStyle w:val="Innehll1"/>
        <w:tabs>
          <w:tab w:val="left" w:pos="380"/>
        </w:tabs>
        <w:rPr>
          <w:sz w:val="24"/>
          <w:szCs w:val="24"/>
        </w:rPr>
      </w:pPr>
      <w:r w:rsidRPr="00EE74FF">
        <w:t>8</w:t>
      </w:r>
      <w:r w:rsidRPr="00EE74FF">
        <w:tab/>
        <w:t>Effektivare myndighetssamordning och förvaltning</w:t>
      </w:r>
      <w:r w:rsidRPr="00EE74FF">
        <w:tab/>
      </w:r>
      <w:r w:rsidRPr="00EE74FF">
        <w:fldChar w:fldCharType="begin" w:fldLock="1"/>
      </w:r>
      <w:r w:rsidRPr="00EE74FF">
        <w:instrText xml:space="preserve"> PAGEREF _Toc115852368 \h </w:instrText>
      </w:r>
      <w:r w:rsidRPr="00EE74FF">
        <w:fldChar w:fldCharType="separate"/>
      </w:r>
      <w:r w:rsidR="00076271" w:rsidRPr="00EE74FF">
        <w:t>6</w:t>
      </w:r>
      <w:r w:rsidRPr="00EE74FF">
        <w:fldChar w:fldCharType="end"/>
      </w:r>
    </w:p>
    <w:p w:rsidR="008C0AF9" w:rsidRPr="00EE74FF" w:rsidRDefault="008C0AF9" w:rsidP="008C0AF9">
      <w:pPr>
        <w:pStyle w:val="Innehll2"/>
        <w:tabs>
          <w:tab w:val="left" w:pos="665"/>
        </w:tabs>
        <w:ind w:hanging="94"/>
        <w:rPr>
          <w:sz w:val="24"/>
          <w:szCs w:val="24"/>
        </w:rPr>
      </w:pPr>
      <w:r w:rsidRPr="00EE74FF">
        <w:t>8.1</w:t>
      </w:r>
      <w:r w:rsidRPr="00EE74FF">
        <w:rPr>
          <w:sz w:val="24"/>
          <w:szCs w:val="24"/>
        </w:rPr>
        <w:tab/>
      </w:r>
      <w:r w:rsidRPr="00EE74FF">
        <w:t>EU:s vattendirektiv</w:t>
      </w:r>
      <w:r w:rsidRPr="00EE74FF">
        <w:tab/>
      </w:r>
      <w:r w:rsidRPr="00EE74FF">
        <w:fldChar w:fldCharType="begin" w:fldLock="1"/>
      </w:r>
      <w:r w:rsidRPr="00EE74FF">
        <w:instrText xml:space="preserve"> PAGEREF _Toc115852369 \h </w:instrText>
      </w:r>
      <w:r w:rsidRPr="00EE74FF">
        <w:fldChar w:fldCharType="separate"/>
      </w:r>
      <w:r w:rsidR="00076271" w:rsidRPr="00EE74FF">
        <w:t>6</w:t>
      </w:r>
      <w:r w:rsidRPr="00EE74FF">
        <w:fldChar w:fldCharType="end"/>
      </w:r>
    </w:p>
    <w:p w:rsidR="008C0AF9" w:rsidRPr="00EE74FF" w:rsidRDefault="008C0AF9" w:rsidP="008C0AF9">
      <w:pPr>
        <w:pStyle w:val="Innehll2"/>
        <w:tabs>
          <w:tab w:val="left" w:pos="665"/>
        </w:tabs>
        <w:ind w:hanging="94"/>
        <w:rPr>
          <w:sz w:val="24"/>
          <w:szCs w:val="24"/>
        </w:rPr>
      </w:pPr>
      <w:r w:rsidRPr="00EE74FF">
        <w:t>8.2</w:t>
      </w:r>
      <w:r w:rsidRPr="00EE74FF">
        <w:rPr>
          <w:sz w:val="24"/>
          <w:szCs w:val="24"/>
        </w:rPr>
        <w:tab/>
      </w:r>
      <w:r w:rsidRPr="00EE74FF">
        <w:t>Senkommen insikt</w:t>
      </w:r>
      <w:r w:rsidRPr="00EE74FF">
        <w:tab/>
      </w:r>
      <w:r w:rsidRPr="00EE74FF">
        <w:fldChar w:fldCharType="begin" w:fldLock="1"/>
      </w:r>
      <w:r w:rsidRPr="00EE74FF">
        <w:instrText xml:space="preserve"> PAGEREF _Toc115852370 \h </w:instrText>
      </w:r>
      <w:r w:rsidRPr="00EE74FF">
        <w:fldChar w:fldCharType="separate"/>
      </w:r>
      <w:r w:rsidR="00076271" w:rsidRPr="00EE74FF">
        <w:t>7</w:t>
      </w:r>
      <w:r w:rsidRPr="00EE74FF">
        <w:fldChar w:fldCharType="end"/>
      </w:r>
    </w:p>
    <w:p w:rsidR="008C0AF9" w:rsidRPr="00EE74FF" w:rsidRDefault="008C0AF9" w:rsidP="008C0AF9">
      <w:pPr>
        <w:pStyle w:val="Innehll1"/>
        <w:tabs>
          <w:tab w:val="left" w:pos="380"/>
        </w:tabs>
      </w:pPr>
      <w:r w:rsidRPr="00EE74FF">
        <w:t>9</w:t>
      </w:r>
      <w:r w:rsidRPr="00EE74FF">
        <w:rPr>
          <w:sz w:val="24"/>
          <w:szCs w:val="24"/>
        </w:rPr>
        <w:tab/>
      </w:r>
      <w:r w:rsidRPr="00EE74FF">
        <w:t>Kunskapsuppbyggnad</w:t>
      </w:r>
      <w:r w:rsidRPr="00EE74FF">
        <w:tab/>
      </w:r>
      <w:r w:rsidRPr="00EE74FF">
        <w:fldChar w:fldCharType="begin" w:fldLock="1"/>
      </w:r>
      <w:r w:rsidRPr="00EE74FF">
        <w:instrText xml:space="preserve"> PAGEREF _Toc115852371 \h </w:instrText>
      </w:r>
      <w:r w:rsidRPr="00EE74FF">
        <w:fldChar w:fldCharType="separate"/>
      </w:r>
      <w:r w:rsidR="00076271" w:rsidRPr="00EE74FF">
        <w:t>7</w:t>
      </w:r>
      <w:r w:rsidRPr="00EE74FF">
        <w:fldChar w:fldCharType="end"/>
      </w:r>
    </w:p>
    <w:p w:rsidR="008C0AF9" w:rsidRPr="00EE74FF" w:rsidRDefault="008C0AF9" w:rsidP="008C0AF9">
      <w:pPr>
        <w:pStyle w:val="Innehll2"/>
        <w:tabs>
          <w:tab w:val="left" w:pos="665"/>
        </w:tabs>
        <w:ind w:hanging="94"/>
        <w:rPr>
          <w:sz w:val="24"/>
          <w:szCs w:val="24"/>
        </w:rPr>
      </w:pPr>
      <w:r w:rsidRPr="00EE74FF">
        <w:t>9.1</w:t>
      </w:r>
      <w:r w:rsidRPr="00EE74FF">
        <w:tab/>
        <w:t>Tillförlitlig kunskap om populationer</w:t>
      </w:r>
      <w:r w:rsidRPr="00EE74FF">
        <w:tab/>
      </w:r>
      <w:r w:rsidRPr="00EE74FF">
        <w:fldChar w:fldCharType="begin" w:fldLock="1"/>
      </w:r>
      <w:r w:rsidRPr="00EE74FF">
        <w:instrText xml:space="preserve"> PAGEREF _Toc115852372 \h </w:instrText>
      </w:r>
      <w:r w:rsidRPr="00EE74FF">
        <w:fldChar w:fldCharType="separate"/>
      </w:r>
      <w:r w:rsidR="00076271" w:rsidRPr="00EE74FF">
        <w:t>7</w:t>
      </w:r>
      <w:r w:rsidRPr="00EE74FF">
        <w:fldChar w:fldCharType="end"/>
      </w:r>
    </w:p>
    <w:p w:rsidR="008C0AF9" w:rsidRPr="00EE74FF" w:rsidRDefault="008C0AF9" w:rsidP="008C0AF9">
      <w:pPr>
        <w:pStyle w:val="Innehll2"/>
        <w:tabs>
          <w:tab w:val="left" w:pos="665"/>
        </w:tabs>
        <w:ind w:hanging="94"/>
        <w:rPr>
          <w:sz w:val="24"/>
          <w:szCs w:val="24"/>
        </w:rPr>
      </w:pPr>
      <w:r w:rsidRPr="00EE74FF">
        <w:t>9.2</w:t>
      </w:r>
      <w:r w:rsidRPr="00EE74FF">
        <w:rPr>
          <w:sz w:val="24"/>
          <w:szCs w:val="24"/>
        </w:rPr>
        <w:tab/>
      </w:r>
      <w:r w:rsidRPr="00EE74FF">
        <w:t>Inspire</w:t>
      </w:r>
      <w:r w:rsidRPr="00EE74FF">
        <w:tab/>
      </w:r>
      <w:r w:rsidRPr="00EE74FF">
        <w:fldChar w:fldCharType="begin" w:fldLock="1"/>
      </w:r>
      <w:r w:rsidRPr="00EE74FF">
        <w:instrText xml:space="preserve"> PAGEREF _Toc115852373 \h </w:instrText>
      </w:r>
      <w:r w:rsidRPr="00EE74FF">
        <w:fldChar w:fldCharType="separate"/>
      </w:r>
      <w:r w:rsidR="00076271" w:rsidRPr="00EE74FF">
        <w:t>7</w:t>
      </w:r>
      <w:r w:rsidRPr="00EE74FF">
        <w:fldChar w:fldCharType="end"/>
      </w:r>
    </w:p>
    <w:p w:rsidR="008C0AF9" w:rsidRPr="00EE74FF" w:rsidRDefault="008C0AF9" w:rsidP="008C0AF9">
      <w:pPr>
        <w:pStyle w:val="Innehll2"/>
        <w:tabs>
          <w:tab w:val="left" w:pos="665"/>
        </w:tabs>
        <w:ind w:hanging="94"/>
        <w:rPr>
          <w:sz w:val="24"/>
          <w:szCs w:val="24"/>
        </w:rPr>
      </w:pPr>
      <w:r w:rsidRPr="00EE74FF">
        <w:t>9.3</w:t>
      </w:r>
      <w:r w:rsidRPr="00EE74FF">
        <w:rPr>
          <w:sz w:val="24"/>
          <w:szCs w:val="24"/>
        </w:rPr>
        <w:tab/>
      </w:r>
      <w:r w:rsidRPr="00EE74FF">
        <w:t>Forskning</w:t>
      </w:r>
      <w:r w:rsidRPr="00EE74FF">
        <w:tab/>
      </w:r>
      <w:r w:rsidRPr="00EE74FF">
        <w:fldChar w:fldCharType="begin" w:fldLock="1"/>
      </w:r>
      <w:r w:rsidRPr="00EE74FF">
        <w:instrText xml:space="preserve"> PAGEREF _Toc115852374 \h </w:instrText>
      </w:r>
      <w:r w:rsidRPr="00EE74FF">
        <w:fldChar w:fldCharType="separate"/>
      </w:r>
      <w:r w:rsidR="00076271" w:rsidRPr="00EE74FF">
        <w:t>7</w:t>
      </w:r>
      <w:r w:rsidRPr="00EE74FF">
        <w:fldChar w:fldCharType="end"/>
      </w:r>
    </w:p>
    <w:p w:rsidR="008C0AF9" w:rsidRPr="00EE74FF" w:rsidRDefault="008C0AF9" w:rsidP="008C0AF9">
      <w:pPr>
        <w:pStyle w:val="Innehll1"/>
        <w:tabs>
          <w:tab w:val="left" w:pos="380"/>
        </w:tabs>
        <w:rPr>
          <w:sz w:val="24"/>
          <w:szCs w:val="24"/>
        </w:rPr>
      </w:pPr>
      <w:r w:rsidRPr="00EE74FF">
        <w:t>10</w:t>
      </w:r>
      <w:r w:rsidRPr="00EE74FF">
        <w:rPr>
          <w:sz w:val="24"/>
          <w:szCs w:val="24"/>
        </w:rPr>
        <w:tab/>
      </w:r>
      <w:r w:rsidRPr="00EE74FF">
        <w:t>Bevarande och hållbart nyttjande</w:t>
      </w:r>
      <w:r w:rsidRPr="00EE74FF">
        <w:tab/>
      </w:r>
      <w:r w:rsidRPr="00EE74FF">
        <w:fldChar w:fldCharType="begin" w:fldLock="1"/>
      </w:r>
      <w:r w:rsidRPr="00EE74FF">
        <w:instrText xml:space="preserve"> PAGEREF _Toc115852375 \h </w:instrText>
      </w:r>
      <w:r w:rsidRPr="00EE74FF">
        <w:fldChar w:fldCharType="separate"/>
      </w:r>
      <w:r w:rsidR="00076271" w:rsidRPr="00EE74FF">
        <w:t>8</w:t>
      </w:r>
      <w:r w:rsidRPr="00EE74FF">
        <w:fldChar w:fldCharType="end"/>
      </w:r>
    </w:p>
    <w:p w:rsidR="008C0AF9" w:rsidRPr="00EE74FF" w:rsidRDefault="008C0AF9" w:rsidP="008C0AF9">
      <w:pPr>
        <w:pStyle w:val="Innehll2"/>
        <w:tabs>
          <w:tab w:val="left" w:pos="665"/>
        </w:tabs>
        <w:ind w:hanging="94"/>
        <w:rPr>
          <w:sz w:val="24"/>
          <w:szCs w:val="24"/>
        </w:rPr>
      </w:pPr>
      <w:r w:rsidRPr="00EE74FF">
        <w:t>10.1</w:t>
      </w:r>
      <w:r w:rsidRPr="00EE74FF">
        <w:rPr>
          <w:sz w:val="24"/>
          <w:szCs w:val="24"/>
        </w:rPr>
        <w:tab/>
      </w:r>
      <w:r w:rsidRPr="00EE74FF">
        <w:t>Hållbart fiske</w:t>
      </w:r>
      <w:r w:rsidRPr="00EE74FF">
        <w:tab/>
      </w:r>
      <w:r w:rsidRPr="00EE74FF">
        <w:fldChar w:fldCharType="begin" w:fldLock="1"/>
      </w:r>
      <w:r w:rsidRPr="00EE74FF">
        <w:instrText xml:space="preserve"> PAGEREF _Toc115852376 \h </w:instrText>
      </w:r>
      <w:r w:rsidRPr="00EE74FF">
        <w:fldChar w:fldCharType="separate"/>
      </w:r>
      <w:r w:rsidR="00076271" w:rsidRPr="00EE74FF">
        <w:t>8</w:t>
      </w:r>
      <w:r w:rsidRPr="00EE74FF">
        <w:fldChar w:fldCharType="end"/>
      </w:r>
    </w:p>
    <w:p w:rsidR="008C0AF9" w:rsidRPr="00EE74FF" w:rsidRDefault="008C0AF9" w:rsidP="008C0AF9">
      <w:pPr>
        <w:pStyle w:val="Innehll3"/>
        <w:tabs>
          <w:tab w:val="left" w:pos="950"/>
        </w:tabs>
        <w:ind w:hanging="187"/>
        <w:rPr>
          <w:sz w:val="24"/>
          <w:szCs w:val="24"/>
        </w:rPr>
      </w:pPr>
      <w:r w:rsidRPr="00EE74FF">
        <w:t>10.1.1</w:t>
      </w:r>
      <w:r w:rsidRPr="00EE74FF">
        <w:rPr>
          <w:sz w:val="24"/>
          <w:szCs w:val="24"/>
        </w:rPr>
        <w:tab/>
      </w:r>
      <w:r w:rsidRPr="00EE74FF">
        <w:t>Kompletterande arbetsuppgifter för yrkesfiskare</w:t>
      </w:r>
      <w:r w:rsidRPr="00EE74FF">
        <w:tab/>
      </w:r>
      <w:r w:rsidRPr="00EE74FF">
        <w:fldChar w:fldCharType="begin" w:fldLock="1"/>
      </w:r>
      <w:r w:rsidRPr="00EE74FF">
        <w:instrText xml:space="preserve"> PAGEREF _Toc115852377 \h </w:instrText>
      </w:r>
      <w:r w:rsidRPr="00EE74FF">
        <w:fldChar w:fldCharType="separate"/>
      </w:r>
      <w:r w:rsidR="00076271" w:rsidRPr="00EE74FF">
        <w:t>9</w:t>
      </w:r>
      <w:r w:rsidRPr="00EE74FF">
        <w:fldChar w:fldCharType="end"/>
      </w:r>
    </w:p>
    <w:p w:rsidR="008C0AF9" w:rsidRPr="00EE74FF" w:rsidRDefault="008C0AF9" w:rsidP="008C0AF9">
      <w:pPr>
        <w:pStyle w:val="Innehll2"/>
        <w:tabs>
          <w:tab w:val="left" w:pos="665"/>
        </w:tabs>
        <w:ind w:hanging="94"/>
        <w:rPr>
          <w:sz w:val="24"/>
          <w:szCs w:val="24"/>
        </w:rPr>
      </w:pPr>
      <w:r w:rsidRPr="00EE74FF">
        <w:t>10.2</w:t>
      </w:r>
      <w:r w:rsidRPr="00EE74FF">
        <w:rPr>
          <w:sz w:val="24"/>
          <w:szCs w:val="24"/>
        </w:rPr>
        <w:tab/>
      </w:r>
      <w:r w:rsidRPr="00EE74FF">
        <w:t>Hållbar sjöfart</w:t>
      </w:r>
      <w:r w:rsidRPr="00EE74FF">
        <w:tab/>
      </w:r>
      <w:r w:rsidRPr="00EE74FF">
        <w:fldChar w:fldCharType="begin" w:fldLock="1"/>
      </w:r>
      <w:r w:rsidRPr="00EE74FF">
        <w:instrText xml:space="preserve"> PAGEREF _Toc115852378 \h </w:instrText>
      </w:r>
      <w:r w:rsidRPr="00EE74FF">
        <w:fldChar w:fldCharType="separate"/>
      </w:r>
      <w:r w:rsidR="00076271" w:rsidRPr="00EE74FF">
        <w:t>9</w:t>
      </w:r>
      <w:r w:rsidRPr="00EE74FF">
        <w:fldChar w:fldCharType="end"/>
      </w:r>
    </w:p>
    <w:p w:rsidR="008C0AF9" w:rsidRPr="00EE74FF" w:rsidRDefault="008C0AF9" w:rsidP="008C0AF9">
      <w:pPr>
        <w:pStyle w:val="Innehll2"/>
        <w:tabs>
          <w:tab w:val="left" w:pos="665"/>
        </w:tabs>
        <w:ind w:hanging="94"/>
        <w:rPr>
          <w:sz w:val="24"/>
          <w:szCs w:val="24"/>
        </w:rPr>
      </w:pPr>
      <w:r w:rsidRPr="00EE74FF">
        <w:t>10.3</w:t>
      </w:r>
      <w:r w:rsidRPr="00EE74FF">
        <w:rPr>
          <w:sz w:val="24"/>
          <w:szCs w:val="24"/>
        </w:rPr>
        <w:tab/>
      </w:r>
      <w:r w:rsidRPr="00EE74FF">
        <w:t>Utfasning av miljöfarliga motorer</w:t>
      </w:r>
      <w:r w:rsidRPr="00EE74FF">
        <w:tab/>
      </w:r>
      <w:r w:rsidRPr="00EE74FF">
        <w:fldChar w:fldCharType="begin" w:fldLock="1"/>
      </w:r>
      <w:r w:rsidRPr="00EE74FF">
        <w:instrText xml:space="preserve"> PAGEREF _Toc115852379 \h </w:instrText>
      </w:r>
      <w:r w:rsidRPr="00EE74FF">
        <w:fldChar w:fldCharType="separate"/>
      </w:r>
      <w:r w:rsidR="00076271" w:rsidRPr="00EE74FF">
        <w:t>10</w:t>
      </w:r>
      <w:r w:rsidRPr="00EE74FF">
        <w:fldChar w:fldCharType="end"/>
      </w:r>
    </w:p>
    <w:p w:rsidR="008C0AF9" w:rsidRPr="00EE74FF" w:rsidRDefault="008C0AF9" w:rsidP="008C0AF9">
      <w:pPr>
        <w:pStyle w:val="Innehll1"/>
        <w:tabs>
          <w:tab w:val="left" w:pos="380"/>
        </w:tabs>
        <w:rPr>
          <w:sz w:val="24"/>
          <w:szCs w:val="24"/>
        </w:rPr>
      </w:pPr>
      <w:r w:rsidRPr="00EE74FF">
        <w:t>11</w:t>
      </w:r>
      <w:r w:rsidRPr="00EE74FF">
        <w:rPr>
          <w:sz w:val="24"/>
          <w:szCs w:val="24"/>
        </w:rPr>
        <w:tab/>
      </w:r>
      <w:r w:rsidRPr="00EE74FF">
        <w:t>Havsbaserad energiproduktion</w:t>
      </w:r>
      <w:r w:rsidRPr="00EE74FF">
        <w:tab/>
      </w:r>
      <w:r w:rsidRPr="00EE74FF">
        <w:fldChar w:fldCharType="begin" w:fldLock="1"/>
      </w:r>
      <w:r w:rsidRPr="00EE74FF">
        <w:instrText xml:space="preserve"> PAGEREF _Toc115852380 \h </w:instrText>
      </w:r>
      <w:r w:rsidRPr="00EE74FF">
        <w:fldChar w:fldCharType="separate"/>
      </w:r>
      <w:r w:rsidR="00076271" w:rsidRPr="00EE74FF">
        <w:t>11</w:t>
      </w:r>
      <w:r w:rsidRPr="00EE74FF">
        <w:fldChar w:fldCharType="end"/>
      </w:r>
    </w:p>
    <w:p w:rsidR="008C0AF9" w:rsidRPr="00EE74FF" w:rsidRDefault="008C0AF9" w:rsidP="008C0AF9">
      <w:pPr>
        <w:pStyle w:val="Innehll2"/>
        <w:tabs>
          <w:tab w:val="left" w:pos="665"/>
        </w:tabs>
        <w:ind w:hanging="94"/>
        <w:rPr>
          <w:sz w:val="24"/>
          <w:szCs w:val="24"/>
        </w:rPr>
      </w:pPr>
      <w:r w:rsidRPr="00EE74FF">
        <w:t>11.1</w:t>
      </w:r>
      <w:r w:rsidRPr="00EE74FF">
        <w:rPr>
          <w:sz w:val="24"/>
          <w:szCs w:val="24"/>
        </w:rPr>
        <w:tab/>
      </w:r>
      <w:r w:rsidRPr="00EE74FF">
        <w:t>Vindkraft</w:t>
      </w:r>
      <w:r w:rsidRPr="00EE74FF">
        <w:tab/>
      </w:r>
      <w:r w:rsidRPr="00EE74FF">
        <w:fldChar w:fldCharType="begin" w:fldLock="1"/>
      </w:r>
      <w:r w:rsidRPr="00EE74FF">
        <w:instrText xml:space="preserve"> PAGEREF _Toc115852381 \h </w:instrText>
      </w:r>
      <w:r w:rsidRPr="00EE74FF">
        <w:fldChar w:fldCharType="separate"/>
      </w:r>
      <w:r w:rsidR="00076271" w:rsidRPr="00EE74FF">
        <w:t>11</w:t>
      </w:r>
      <w:r w:rsidRPr="00EE74FF">
        <w:fldChar w:fldCharType="end"/>
      </w:r>
    </w:p>
    <w:p w:rsidR="008C0AF9" w:rsidRPr="00EE74FF" w:rsidRDefault="008C0AF9" w:rsidP="008C0AF9">
      <w:pPr>
        <w:pStyle w:val="Innehll2"/>
        <w:tabs>
          <w:tab w:val="left" w:pos="665"/>
        </w:tabs>
        <w:ind w:hanging="94"/>
        <w:rPr>
          <w:sz w:val="24"/>
          <w:szCs w:val="24"/>
        </w:rPr>
      </w:pPr>
      <w:r w:rsidRPr="00EE74FF">
        <w:t>11.2</w:t>
      </w:r>
      <w:r w:rsidRPr="00EE74FF">
        <w:rPr>
          <w:sz w:val="24"/>
          <w:szCs w:val="24"/>
        </w:rPr>
        <w:tab/>
      </w:r>
      <w:r w:rsidRPr="00EE74FF">
        <w:t>Vågkraft</w:t>
      </w:r>
      <w:r w:rsidRPr="00EE74FF">
        <w:tab/>
      </w:r>
      <w:r w:rsidRPr="00EE74FF">
        <w:fldChar w:fldCharType="begin" w:fldLock="1"/>
      </w:r>
      <w:r w:rsidRPr="00EE74FF">
        <w:instrText xml:space="preserve"> PAGEREF _Toc115852382 \h </w:instrText>
      </w:r>
      <w:r w:rsidRPr="00EE74FF">
        <w:fldChar w:fldCharType="separate"/>
      </w:r>
      <w:r w:rsidR="00076271" w:rsidRPr="00EE74FF">
        <w:t>11</w:t>
      </w:r>
      <w:r w:rsidRPr="00EE74FF">
        <w:fldChar w:fldCharType="end"/>
      </w:r>
    </w:p>
    <w:p w:rsidR="008C0AF9" w:rsidRPr="00EE74FF" w:rsidRDefault="008C0AF9" w:rsidP="008C0AF9">
      <w:pPr>
        <w:pStyle w:val="Innehll1"/>
        <w:tabs>
          <w:tab w:val="left" w:pos="380"/>
        </w:tabs>
      </w:pPr>
      <w:r w:rsidRPr="00EE74FF">
        <w:t>12</w:t>
      </w:r>
      <w:r w:rsidRPr="00EE74FF">
        <w:rPr>
          <w:sz w:val="24"/>
          <w:szCs w:val="24"/>
        </w:rPr>
        <w:tab/>
      </w:r>
      <w:r w:rsidRPr="00EE74FF">
        <w:t>Ingen övergödning</w:t>
      </w:r>
      <w:r w:rsidRPr="00EE74FF">
        <w:tab/>
      </w:r>
      <w:r w:rsidRPr="00EE74FF">
        <w:fldChar w:fldCharType="begin" w:fldLock="1"/>
      </w:r>
      <w:r w:rsidRPr="00EE74FF">
        <w:instrText xml:space="preserve"> PAGEREF _Toc115852383 \h </w:instrText>
      </w:r>
      <w:r w:rsidRPr="00EE74FF">
        <w:fldChar w:fldCharType="separate"/>
      </w:r>
      <w:r w:rsidR="00076271" w:rsidRPr="00EE74FF">
        <w:t>11</w:t>
      </w:r>
      <w:r w:rsidRPr="00EE74FF">
        <w:fldChar w:fldCharType="end"/>
      </w:r>
    </w:p>
    <w:p w:rsidR="008C0AF9" w:rsidRPr="00EE74FF" w:rsidRDefault="008C0AF9" w:rsidP="008C0AF9">
      <w:pPr>
        <w:pStyle w:val="Innehll1"/>
        <w:tabs>
          <w:tab w:val="left" w:pos="380"/>
        </w:tabs>
        <w:rPr>
          <w:sz w:val="24"/>
          <w:szCs w:val="24"/>
        </w:rPr>
      </w:pPr>
      <w:r w:rsidRPr="00EE74FF">
        <w:t>13</w:t>
      </w:r>
      <w:r w:rsidRPr="00EE74FF">
        <w:tab/>
        <w:t>Hav utan gifter</w:t>
      </w:r>
      <w:r w:rsidRPr="00EE74FF">
        <w:tab/>
      </w:r>
      <w:r w:rsidRPr="00EE74FF">
        <w:fldChar w:fldCharType="begin" w:fldLock="1"/>
      </w:r>
      <w:r w:rsidRPr="00EE74FF">
        <w:instrText xml:space="preserve"> PAGEREF _Toc115852384 \h </w:instrText>
      </w:r>
      <w:r w:rsidRPr="00EE74FF">
        <w:fldChar w:fldCharType="separate"/>
      </w:r>
      <w:r w:rsidR="00076271" w:rsidRPr="00EE74FF">
        <w:t>12</w:t>
      </w:r>
      <w:r w:rsidRPr="00EE74FF">
        <w:fldChar w:fldCharType="end"/>
      </w:r>
    </w:p>
    <w:p w:rsidR="008C0AF9" w:rsidRPr="00EE74FF" w:rsidRDefault="008C0AF9" w:rsidP="008C0AF9">
      <w:pPr>
        <w:pStyle w:val="Innehll2"/>
        <w:tabs>
          <w:tab w:val="left" w:pos="665"/>
        </w:tabs>
        <w:ind w:hanging="94"/>
        <w:rPr>
          <w:sz w:val="24"/>
          <w:szCs w:val="24"/>
        </w:rPr>
      </w:pPr>
      <w:r w:rsidRPr="00EE74FF">
        <w:t>13.1</w:t>
      </w:r>
      <w:r w:rsidRPr="00EE74FF">
        <w:rPr>
          <w:sz w:val="24"/>
          <w:szCs w:val="24"/>
        </w:rPr>
        <w:tab/>
      </w:r>
      <w:r w:rsidRPr="00EE74FF">
        <w:t>Läkemedel</w:t>
      </w:r>
      <w:r w:rsidRPr="00EE74FF">
        <w:tab/>
      </w:r>
      <w:r w:rsidRPr="00EE74FF">
        <w:fldChar w:fldCharType="begin" w:fldLock="1"/>
      </w:r>
      <w:r w:rsidRPr="00EE74FF">
        <w:instrText xml:space="preserve"> PAGEREF _Toc115852385 \h </w:instrText>
      </w:r>
      <w:r w:rsidRPr="00EE74FF">
        <w:fldChar w:fldCharType="separate"/>
      </w:r>
      <w:r w:rsidR="00076271" w:rsidRPr="00EE74FF">
        <w:t>12</w:t>
      </w:r>
      <w:r w:rsidRPr="00EE74FF">
        <w:fldChar w:fldCharType="end"/>
      </w:r>
    </w:p>
    <w:p w:rsidR="008C0AF9" w:rsidRPr="00EE74FF" w:rsidRDefault="008C0AF9" w:rsidP="008C0AF9">
      <w:pPr>
        <w:pStyle w:val="Innehll2"/>
        <w:tabs>
          <w:tab w:val="left" w:pos="665"/>
        </w:tabs>
        <w:ind w:hanging="94"/>
      </w:pPr>
      <w:r w:rsidRPr="00EE74FF">
        <w:t>13.2</w:t>
      </w:r>
      <w:r w:rsidRPr="00EE74FF">
        <w:rPr>
          <w:sz w:val="24"/>
          <w:szCs w:val="24"/>
        </w:rPr>
        <w:tab/>
      </w:r>
      <w:r w:rsidRPr="00EE74FF">
        <w:t>Reach</w:t>
      </w:r>
      <w:r w:rsidRPr="00EE74FF">
        <w:tab/>
      </w:r>
      <w:r w:rsidRPr="00EE74FF">
        <w:fldChar w:fldCharType="begin" w:fldLock="1"/>
      </w:r>
      <w:r w:rsidRPr="00EE74FF">
        <w:instrText xml:space="preserve"> PAGEREF _Toc115852386 \h </w:instrText>
      </w:r>
      <w:r w:rsidRPr="00EE74FF">
        <w:fldChar w:fldCharType="separate"/>
      </w:r>
      <w:r w:rsidR="00076271" w:rsidRPr="00EE74FF">
        <w:t>13</w:t>
      </w:r>
      <w:r w:rsidRPr="00EE74FF">
        <w:fldChar w:fldCharType="end"/>
      </w:r>
    </w:p>
    <w:p w:rsidR="008C0AF9" w:rsidRPr="00EE74FF" w:rsidRDefault="008C0AF9" w:rsidP="008C0AF9">
      <w:pPr>
        <w:pStyle w:val="Innehll3"/>
      </w:pPr>
    </w:p>
    <w:p w:rsidR="008C0AF9" w:rsidRPr="00EE74FF" w:rsidRDefault="008C0AF9" w:rsidP="008C0AF9">
      <w:pPr>
        <w:pStyle w:val="Innehll4"/>
      </w:pPr>
    </w:p>
    <w:p w:rsidR="00B91DAC" w:rsidRPr="00EE74FF" w:rsidRDefault="008C0AF9" w:rsidP="0022105C">
      <w:pPr>
        <w:pStyle w:val="Rubrik1"/>
        <w:spacing w:before="0"/>
      </w:pPr>
      <w:r w:rsidRPr="00EE74FF">
        <w:br w:type="page"/>
      </w:r>
      <w:r w:rsidR="00AF7FA5" w:rsidRPr="00EE74FF">
        <w:fldChar w:fldCharType="end"/>
      </w:r>
      <w:bookmarkStart w:id="21" w:name="_Toc115852363"/>
      <w:r w:rsidR="00B91DAC" w:rsidRPr="00EE74FF">
        <w:t>Förslag till riksdagsbeslut</w:t>
      </w:r>
      <w:bookmarkEnd w:id="16"/>
      <w:bookmarkEnd w:id="17"/>
      <w:bookmarkEnd w:id="18"/>
      <w:bookmarkEnd w:id="19"/>
      <w:bookmarkEnd w:id="20"/>
      <w:bookmarkEnd w:id="21"/>
    </w:p>
    <w:p w:rsidR="00B91DAC" w:rsidRPr="00EE74FF" w:rsidRDefault="00C37C9F" w:rsidP="008C0AF9">
      <w:pPr>
        <w:pStyle w:val="Hemstlatt"/>
      </w:pPr>
      <w:r w:rsidRPr="00EE74FF">
        <w:t>Riksdagen tillkännager för regeringen som sin mening</w:t>
      </w:r>
      <w:r w:rsidR="00B91DAC" w:rsidRPr="00EE74FF">
        <w:t xml:space="preserve"> </w:t>
      </w:r>
      <w:r w:rsidR="00954862" w:rsidRPr="00EE74FF">
        <w:t xml:space="preserve">vad i motionen anförs om </w:t>
      </w:r>
      <w:r w:rsidR="00B91DAC" w:rsidRPr="00EE74FF">
        <w:t xml:space="preserve">att regeringen </w:t>
      </w:r>
      <w:r w:rsidRPr="00EE74FF">
        <w:t>bör lägga</w:t>
      </w:r>
      <w:r w:rsidR="00B91DAC" w:rsidRPr="00EE74FF">
        <w:t xml:space="preserve"> fram en proposition med tydliga fö</w:t>
      </w:r>
      <w:r w:rsidR="00B91DAC" w:rsidRPr="00EE74FF">
        <w:t>r</w:t>
      </w:r>
      <w:r w:rsidR="00B91DAC" w:rsidRPr="00EE74FF">
        <w:t>slag på konkreta åtgärder för havsmiljön.</w:t>
      </w:r>
    </w:p>
    <w:p w:rsidR="00B91DAC" w:rsidRPr="00EE74FF" w:rsidRDefault="00B91DAC" w:rsidP="008C0AF9">
      <w:pPr>
        <w:pStyle w:val="Hemstlatt"/>
      </w:pPr>
      <w:r w:rsidRPr="00EE74FF">
        <w:t>Riksdagen tillkännager för regeringen som sin mening vad i motionen anförs om beh</w:t>
      </w:r>
      <w:r w:rsidRPr="00EE74FF">
        <w:t>o</w:t>
      </w:r>
      <w:r w:rsidRPr="00EE74FF">
        <w:t>vet av</w:t>
      </w:r>
      <w:r w:rsidR="00877C13" w:rsidRPr="00EE74FF">
        <w:t xml:space="preserve"> att</w:t>
      </w:r>
      <w:r w:rsidRPr="00EE74FF">
        <w:t xml:space="preserve"> brukar</w:t>
      </w:r>
      <w:r w:rsidR="00877C13" w:rsidRPr="00EE74FF">
        <w:t xml:space="preserve">e och andra intressenter kommer in tidigt i förvaltningsarbetet och deltar </w:t>
      </w:r>
      <w:r w:rsidR="00C34811" w:rsidRPr="00EE74FF">
        <w:t xml:space="preserve">såväl </w:t>
      </w:r>
      <w:r w:rsidR="00877C13" w:rsidRPr="00EE74FF">
        <w:t>i analyser och problemformulerin</w:t>
      </w:r>
      <w:r w:rsidR="00877C13" w:rsidRPr="00EE74FF">
        <w:t>g</w:t>
      </w:r>
      <w:r w:rsidR="00877C13" w:rsidRPr="00EE74FF">
        <w:t>ar som i beslutsprocesser och genomförand</w:t>
      </w:r>
      <w:r w:rsidR="00877C13" w:rsidRPr="00EE74FF">
        <w:t>e</w:t>
      </w:r>
      <w:r w:rsidR="00877C13" w:rsidRPr="00EE74FF">
        <w:t>processer.</w:t>
      </w:r>
    </w:p>
    <w:p w:rsidR="00146062" w:rsidRPr="00EE74FF" w:rsidRDefault="00146062" w:rsidP="008C0AF9">
      <w:pPr>
        <w:pStyle w:val="Hemstlatt"/>
      </w:pPr>
      <w:r w:rsidRPr="00EE74FF">
        <w:t xml:space="preserve">Riksdagen tillkännager för regeringen som sin mening vad i motionen anförs om att </w:t>
      </w:r>
      <w:r w:rsidR="00162BDC" w:rsidRPr="00EE74FF">
        <w:t>Sverige bör initiera en revidering av</w:t>
      </w:r>
      <w:r w:rsidRPr="00EE74FF">
        <w:t xml:space="preserve"> Helsingforskommi</w:t>
      </w:r>
      <w:r w:rsidRPr="00EE74FF">
        <w:t>s</w:t>
      </w:r>
      <w:r w:rsidRPr="00EE74FF">
        <w:t>sionen i syfte att tillskapa en gemensam myndighet för Ö</w:t>
      </w:r>
      <w:r w:rsidRPr="00EE74FF">
        <w:t>s</w:t>
      </w:r>
      <w:r w:rsidRPr="00EE74FF">
        <w:t>tersjöregionen.</w:t>
      </w:r>
    </w:p>
    <w:p w:rsidR="00C6340D" w:rsidRPr="00EE74FF" w:rsidRDefault="00C6340D" w:rsidP="008C0AF9">
      <w:pPr>
        <w:pStyle w:val="Hemstlatt"/>
      </w:pPr>
      <w:r w:rsidRPr="00EE74FF">
        <w:t xml:space="preserve">Riksdagen </w:t>
      </w:r>
      <w:r w:rsidR="00C34811" w:rsidRPr="00EE74FF">
        <w:t>begä</w:t>
      </w:r>
      <w:r w:rsidRPr="00EE74FF">
        <w:t>r att regeringen snarast återkomm</w:t>
      </w:r>
      <w:r w:rsidR="00C34811" w:rsidRPr="00EE74FF">
        <w:t>er</w:t>
      </w:r>
      <w:r w:rsidRPr="00EE74FF">
        <w:t xml:space="preserve"> till riksdagen med förslag om hur det fortsatta arbetet med vattendirektivet skall ges en til</w:t>
      </w:r>
      <w:r w:rsidRPr="00EE74FF">
        <w:t>l</w:t>
      </w:r>
      <w:r w:rsidRPr="00EE74FF">
        <w:t>fredsställande finansi</w:t>
      </w:r>
      <w:r w:rsidRPr="00EE74FF">
        <w:t>e</w:t>
      </w:r>
      <w:r w:rsidRPr="00EE74FF">
        <w:t xml:space="preserve">ring.  </w:t>
      </w:r>
    </w:p>
    <w:p w:rsidR="00146062" w:rsidRPr="00EE74FF" w:rsidRDefault="00146062" w:rsidP="008C0AF9">
      <w:pPr>
        <w:pStyle w:val="Hemstlatt"/>
      </w:pPr>
      <w:r w:rsidRPr="00EE74FF">
        <w:t>Riksdagen tillkännager för regeringen som sin mening vad i moti</w:t>
      </w:r>
      <w:r w:rsidRPr="00EE74FF">
        <w:t>o</w:t>
      </w:r>
      <w:r w:rsidRPr="00EE74FF">
        <w:t>nen anförs om att det är angeläget att vattenmyndigheterna och länsstyrelse</w:t>
      </w:r>
      <w:r w:rsidRPr="00EE74FF">
        <w:t>r</w:t>
      </w:r>
      <w:r w:rsidRPr="00EE74FF">
        <w:t>na finns med i myndigheternas samlade havsmiljöarbete.</w:t>
      </w:r>
    </w:p>
    <w:p w:rsidR="00494AB6" w:rsidRPr="00EE74FF" w:rsidRDefault="00494AB6" w:rsidP="008C0AF9">
      <w:pPr>
        <w:pStyle w:val="Hemstlatt"/>
      </w:pPr>
      <w:r w:rsidRPr="00EE74FF">
        <w:t xml:space="preserve">Riksdagen tillkännager för regeringen som sin mening vad i motionen anförs om </w:t>
      </w:r>
      <w:r w:rsidR="0022105C" w:rsidRPr="00EE74FF">
        <w:t>Insp</w:t>
      </w:r>
      <w:r w:rsidR="0022105C" w:rsidRPr="00EE74FF">
        <w:t>i</w:t>
      </w:r>
      <w:r w:rsidR="0022105C" w:rsidRPr="00EE74FF">
        <w:t>re</w:t>
      </w:r>
      <w:r w:rsidRPr="00EE74FF">
        <w:t>.</w:t>
      </w:r>
    </w:p>
    <w:p w:rsidR="00B71B0A" w:rsidRPr="00EE74FF" w:rsidRDefault="00B71B0A" w:rsidP="008C0AF9">
      <w:pPr>
        <w:pStyle w:val="Hemstlatt"/>
      </w:pPr>
      <w:r w:rsidRPr="00EE74FF">
        <w:t>Riksdagen tillkännager för regeringen som sin mening vad i motionen anförs om samordning av fors</w:t>
      </w:r>
      <w:r w:rsidRPr="00EE74FF">
        <w:t>k</w:t>
      </w:r>
      <w:r w:rsidRPr="00EE74FF">
        <w:t>ningsresurser inom EU.</w:t>
      </w:r>
    </w:p>
    <w:p w:rsidR="00146062" w:rsidRPr="00EE74FF" w:rsidRDefault="00146062" w:rsidP="008C0AF9">
      <w:pPr>
        <w:pStyle w:val="Hemstlatt"/>
      </w:pPr>
      <w:r w:rsidRPr="00EE74FF">
        <w:t>Riksdagen tillkännager för regeringen som sin mening vad i motionen anförs om att reg</w:t>
      </w:r>
      <w:r w:rsidR="00954862" w:rsidRPr="00EE74FF">
        <w:t>eringen aktivt bör medverka</w:t>
      </w:r>
      <w:r w:rsidRPr="00EE74FF">
        <w:t xml:space="preserve"> till att ett fungerande mi</w:t>
      </w:r>
      <w:r w:rsidRPr="00EE74FF">
        <w:t>l</w:t>
      </w:r>
      <w:r w:rsidRPr="00EE74FF">
        <w:t>jömärkningssystem för fisk et</w:t>
      </w:r>
      <w:r w:rsidRPr="00EE74FF">
        <w:t>a</w:t>
      </w:r>
      <w:r w:rsidRPr="00EE74FF">
        <w:t>bleras.</w:t>
      </w:r>
    </w:p>
    <w:p w:rsidR="00CF4760" w:rsidRPr="00EE74FF" w:rsidRDefault="00CF4760" w:rsidP="008C0AF9">
      <w:pPr>
        <w:pStyle w:val="Hemstlatt"/>
      </w:pPr>
      <w:r w:rsidRPr="00EE74FF">
        <w:t xml:space="preserve">Riksdagen tillkännager för regeringen som sin mening </w:t>
      </w:r>
      <w:r w:rsidR="007D3F7A" w:rsidRPr="00EE74FF">
        <w:t>vad i moti</w:t>
      </w:r>
      <w:r w:rsidR="007D3F7A" w:rsidRPr="00EE74FF">
        <w:t>o</w:t>
      </w:r>
      <w:r w:rsidR="007D3F7A" w:rsidRPr="00EE74FF">
        <w:t xml:space="preserve">nen anförs om </w:t>
      </w:r>
      <w:r w:rsidRPr="00EE74FF">
        <w:t>att lämpliga nödhamnar längs Sveriges kuster skall anges i e</w:t>
      </w:r>
      <w:r w:rsidRPr="00EE74FF">
        <w:t>n</w:t>
      </w:r>
      <w:r w:rsidRPr="00EE74FF">
        <w:t xml:space="preserve">lighet med vad man kommit överens om inom EU.  </w:t>
      </w:r>
    </w:p>
    <w:p w:rsidR="004C0C36" w:rsidRPr="00EE74FF" w:rsidRDefault="00F045E4" w:rsidP="008C0AF9">
      <w:pPr>
        <w:pStyle w:val="Hemstlatt"/>
      </w:pPr>
      <w:r w:rsidRPr="00EE74FF">
        <w:t xml:space="preserve">Riksdagen tillkännager för regeringen som sin mening vad i motionen anförs om att Sverige inom </w:t>
      </w:r>
      <w:r w:rsidR="00C34811" w:rsidRPr="00EE74FF">
        <w:t xml:space="preserve">Helcom </w:t>
      </w:r>
      <w:r w:rsidRPr="00EE74FF">
        <w:t>och EU bör driva frågor om geme</w:t>
      </w:r>
      <w:r w:rsidRPr="00EE74FF">
        <w:t>n</w:t>
      </w:r>
      <w:r w:rsidRPr="00EE74FF">
        <w:t>sam katastrofberedskap vid fa</w:t>
      </w:r>
      <w:r w:rsidRPr="00EE74FF">
        <w:t>r</w:t>
      </w:r>
      <w:r w:rsidRPr="00EE74FF">
        <w:t>tygsolyckor.</w:t>
      </w:r>
    </w:p>
    <w:p w:rsidR="004C0C36" w:rsidRPr="00EE74FF" w:rsidRDefault="004C0C36" w:rsidP="008C0AF9">
      <w:pPr>
        <w:pStyle w:val="Hemstlatt"/>
      </w:pPr>
      <w:r w:rsidRPr="00EE74FF">
        <w:t>Riksdagen tillkännager för regeringen som sin mening vad i moti</w:t>
      </w:r>
      <w:r w:rsidRPr="00EE74FF">
        <w:t>o</w:t>
      </w:r>
      <w:r w:rsidRPr="00EE74FF">
        <w:t>nen anförs om att ka</w:t>
      </w:r>
      <w:r w:rsidR="00C34811" w:rsidRPr="00EE74FF">
        <w:t>rtlägga områden av riksintresse</w:t>
      </w:r>
      <w:r w:rsidRPr="00EE74FF">
        <w:t xml:space="preserve"> för vågkraft.</w:t>
      </w:r>
    </w:p>
    <w:p w:rsidR="004C0C36" w:rsidRPr="00EE74FF" w:rsidRDefault="004C0C36" w:rsidP="008C0AF9">
      <w:pPr>
        <w:pStyle w:val="Hemstlatt"/>
      </w:pPr>
      <w:r w:rsidRPr="00EE74FF">
        <w:t xml:space="preserve">Riksdagen tillkännager för regeringen som sin mening vad i motionen anförs om att </w:t>
      </w:r>
      <w:r w:rsidR="00165F4C" w:rsidRPr="00EE74FF">
        <w:t>r</w:t>
      </w:r>
      <w:r w:rsidRPr="00EE74FF">
        <w:t>egeringen bör återkomma med en konkret strategi för att ta hand om läkemedelsre</w:t>
      </w:r>
      <w:r w:rsidRPr="00EE74FF">
        <w:t>s</w:t>
      </w:r>
      <w:r w:rsidRPr="00EE74FF">
        <w:t>ter.</w:t>
      </w:r>
    </w:p>
    <w:p w:rsidR="00E84F25" w:rsidRPr="00EE74FF" w:rsidRDefault="008C0AF9" w:rsidP="0022105C">
      <w:pPr>
        <w:pStyle w:val="Rubrik1"/>
        <w:spacing w:before="0"/>
      </w:pPr>
      <w:r w:rsidRPr="00EE74FF">
        <w:br w:type="page"/>
      </w:r>
      <w:bookmarkStart w:id="22" w:name="_Toc115620136"/>
      <w:bookmarkStart w:id="23" w:name="_Toc115623198"/>
      <w:bookmarkStart w:id="24" w:name="_Toc115670959"/>
      <w:bookmarkStart w:id="25" w:name="_Toc115671117"/>
      <w:bookmarkStart w:id="26" w:name="_Toc115678454"/>
      <w:bookmarkStart w:id="27" w:name="_Toc115852364"/>
      <w:r w:rsidR="00BD6C20" w:rsidRPr="00EE74FF">
        <w:t>Nog med utredningar</w:t>
      </w:r>
      <w:bookmarkEnd w:id="13"/>
      <w:bookmarkEnd w:id="14"/>
      <w:r w:rsidR="000B5CC4" w:rsidRPr="00EE74FF">
        <w:t xml:space="preserve"> – nu krävs handling</w:t>
      </w:r>
      <w:bookmarkEnd w:id="15"/>
      <w:bookmarkEnd w:id="22"/>
      <w:bookmarkEnd w:id="23"/>
      <w:bookmarkEnd w:id="24"/>
      <w:bookmarkEnd w:id="25"/>
      <w:bookmarkEnd w:id="26"/>
      <w:bookmarkEnd w:id="27"/>
    </w:p>
    <w:p w:rsidR="000B5CC4" w:rsidRPr="00EE74FF" w:rsidRDefault="000B5CC4" w:rsidP="008C0AF9">
      <w:r w:rsidRPr="00EE74FF">
        <w:t>Kristdemokraterna är mycket kritiska mot att regeringen inte presenterat n</w:t>
      </w:r>
      <w:r w:rsidRPr="00EE74FF">
        <w:t>å</w:t>
      </w:r>
      <w:r w:rsidRPr="00EE74FF">
        <w:t>gon skarp proposition för att bl.a. genomföra de åtgärder som föreslås av Havsmiljökommissionen (SOU 2003:72). I stället presenteras en skr</w:t>
      </w:r>
      <w:r w:rsidRPr="00EE74FF">
        <w:t>i</w:t>
      </w:r>
      <w:r w:rsidRPr="00EE74FF">
        <w:t>velse som visserligen innehåller många bra tankar, men inga förslag till riksdagsb</w:t>
      </w:r>
      <w:r w:rsidRPr="00EE74FF">
        <w:t>e</w:t>
      </w:r>
      <w:r w:rsidRPr="00EE74FF">
        <w:t>slut. Det är nu hög</w:t>
      </w:r>
      <w:r w:rsidR="00C34811" w:rsidRPr="00EE74FF">
        <w:t xml:space="preserve"> </w:t>
      </w:r>
      <w:r w:rsidRPr="00EE74FF">
        <w:t>tid att regeringen börjar genomföra de nödvändiga hav</w:t>
      </w:r>
      <w:r w:rsidRPr="00EE74FF">
        <w:t>s</w:t>
      </w:r>
      <w:r w:rsidRPr="00EE74FF">
        <w:t>miljöåtgärderna, inte bara prata om dem.</w:t>
      </w:r>
    </w:p>
    <w:p w:rsidR="00414667" w:rsidRPr="00EE74FF" w:rsidRDefault="00954862" w:rsidP="008C0AF9">
      <w:pPr>
        <w:pStyle w:val="Normaltindrag"/>
      </w:pPr>
      <w:r w:rsidRPr="00EE74FF">
        <w:t xml:space="preserve">Skrivelsen annonserar inte mindre än 99 olika uppdrag till myndigheter och </w:t>
      </w:r>
      <w:r w:rsidR="00C34811" w:rsidRPr="00EE74FF">
        <w:t>tio</w:t>
      </w:r>
      <w:r w:rsidRPr="00EE74FF">
        <w:t xml:space="preserve"> utredningar. På ett tiotal områden avser man att återkomma till riksd</w:t>
      </w:r>
      <w:r w:rsidRPr="00EE74FF">
        <w:t>a</w:t>
      </w:r>
      <w:r w:rsidRPr="00EE74FF">
        <w:t>gen. På många områden</w:t>
      </w:r>
      <w:r w:rsidR="00414667" w:rsidRPr="00EE74FF">
        <w:t xml:space="preserve"> finns</w:t>
      </w:r>
      <w:r w:rsidRPr="00EE74FF">
        <w:t xml:space="preserve"> det</w:t>
      </w:r>
      <w:r w:rsidR="00414667" w:rsidRPr="00EE74FF">
        <w:t xml:space="preserve"> emellertid tillräckligt med tillgänglig ku</w:t>
      </w:r>
      <w:r w:rsidR="00414667" w:rsidRPr="00EE74FF">
        <w:t>n</w:t>
      </w:r>
      <w:r w:rsidR="00414667" w:rsidRPr="00EE74FF">
        <w:t>skap för att formulera en skarp pr</w:t>
      </w:r>
      <w:r w:rsidR="00414667" w:rsidRPr="00EE74FF">
        <w:t>o</w:t>
      </w:r>
      <w:r w:rsidR="00414667" w:rsidRPr="00EE74FF">
        <w:t>position med konkreta åtgärdsförslag. Regeringen bör återkomma med en proposition med tydliga förslag på ko</w:t>
      </w:r>
      <w:r w:rsidR="00414667" w:rsidRPr="00EE74FF">
        <w:t>n</w:t>
      </w:r>
      <w:r w:rsidR="00414667" w:rsidRPr="00EE74FF">
        <w:t>kreta åtgärder för havsmiljön.</w:t>
      </w:r>
    </w:p>
    <w:p w:rsidR="00BD6C20" w:rsidRPr="00EE74FF" w:rsidRDefault="00BD6C20" w:rsidP="008C0AF9">
      <w:pPr>
        <w:pStyle w:val="Normaltindrag"/>
      </w:pPr>
      <w:r w:rsidRPr="00EE74FF">
        <w:t>Kris</w:t>
      </w:r>
      <w:r w:rsidR="006F5A0D" w:rsidRPr="00EE74FF">
        <w:t>tdemokraterna stöder uppfattning</w:t>
      </w:r>
      <w:r w:rsidRPr="00EE74FF">
        <w:t>en a</w:t>
      </w:r>
      <w:r w:rsidR="006F5A0D" w:rsidRPr="00EE74FF">
        <w:t>tt havsmiljöarbetet bör ske u</w:t>
      </w:r>
      <w:r w:rsidR="006F5A0D" w:rsidRPr="00EE74FF">
        <w:t>t</w:t>
      </w:r>
      <w:r w:rsidR="006F5A0D" w:rsidRPr="00EE74FF">
        <w:t>i</w:t>
      </w:r>
      <w:r w:rsidRPr="00EE74FF">
        <w:t>f</w:t>
      </w:r>
      <w:r w:rsidR="006F5A0D" w:rsidRPr="00EE74FF">
        <w:t>r</w:t>
      </w:r>
      <w:r w:rsidRPr="00EE74FF">
        <w:t>ån en ekos</w:t>
      </w:r>
      <w:r w:rsidRPr="00EE74FF">
        <w:t>y</w:t>
      </w:r>
      <w:r w:rsidRPr="00EE74FF">
        <w:t>stemansats. Det är dock viktigt att påpeka att införande</w:t>
      </w:r>
      <w:r w:rsidR="00C34811" w:rsidRPr="00EE74FF">
        <w:t>t</w:t>
      </w:r>
      <w:r w:rsidRPr="00EE74FF">
        <w:t xml:space="preserve"> av ett nytt begrepp inte får me</w:t>
      </w:r>
      <w:r w:rsidRPr="00EE74FF">
        <w:t>d</w:t>
      </w:r>
      <w:r w:rsidRPr="00EE74FF">
        <w:t xml:space="preserve">föra att </w:t>
      </w:r>
      <w:r w:rsidR="00C34811" w:rsidRPr="00EE74FF">
        <w:t>havsmiljöarbetet börja</w:t>
      </w:r>
      <w:r w:rsidR="00422369" w:rsidRPr="00EE74FF">
        <w:t>r</w:t>
      </w:r>
      <w:r w:rsidR="00FC6EBC" w:rsidRPr="00EE74FF">
        <w:t xml:space="preserve"> om från noll.</w:t>
      </w:r>
      <w:r w:rsidRPr="00EE74FF">
        <w:t xml:space="preserve"> </w:t>
      </w:r>
      <w:r w:rsidR="00943154" w:rsidRPr="00EE74FF">
        <w:t>Nu gäller det också att bygga vidare på de insatser som görs och fungerar.</w:t>
      </w:r>
    </w:p>
    <w:p w:rsidR="000B5CC4" w:rsidRPr="00EE74FF" w:rsidRDefault="000B5CC4" w:rsidP="008C0AF9">
      <w:pPr>
        <w:pStyle w:val="Rubrik1"/>
      </w:pPr>
      <w:bookmarkStart w:id="28" w:name="_Toc115619597"/>
      <w:bookmarkStart w:id="29" w:name="_Toc115620137"/>
      <w:bookmarkStart w:id="30" w:name="_Toc115623199"/>
      <w:bookmarkStart w:id="31" w:name="_Toc115670960"/>
      <w:bookmarkStart w:id="32" w:name="_Toc115671118"/>
      <w:bookmarkStart w:id="33" w:name="_Toc115678455"/>
      <w:bookmarkStart w:id="34" w:name="_Toc115852365"/>
      <w:r w:rsidRPr="00EE74FF">
        <w:t>Ett hav i balans</w:t>
      </w:r>
      <w:bookmarkEnd w:id="28"/>
      <w:bookmarkEnd w:id="29"/>
      <w:bookmarkEnd w:id="30"/>
      <w:bookmarkEnd w:id="31"/>
      <w:bookmarkEnd w:id="32"/>
      <w:bookmarkEnd w:id="33"/>
      <w:bookmarkEnd w:id="34"/>
    </w:p>
    <w:p w:rsidR="00414667" w:rsidRPr="00EE74FF" w:rsidRDefault="000B5CC4" w:rsidP="008C0AF9">
      <w:r w:rsidRPr="00EE74FF">
        <w:t>Kristdemokraterna kan instämma i mycket av det som regeringen nämner som strategi</w:t>
      </w:r>
      <w:r w:rsidRPr="00EE74FF">
        <w:t>s</w:t>
      </w:r>
      <w:r w:rsidRPr="00EE74FF">
        <w:t>ka insatser för att uppnå målet om hav i balans. Man kan dock önska en högre grad av konkretisering när det gäller vilket ”nytt samlat grepp” som skall tas om myndigheternas havsmiljöarbete samt hur planeringen och fö</w:t>
      </w:r>
      <w:r w:rsidRPr="00EE74FF">
        <w:t>r</w:t>
      </w:r>
      <w:r w:rsidRPr="00EE74FF">
        <w:t>valtningen av havet skall förstärkas och samordnas. Det bör betonas att alltför vaga målsättningar blir meni</w:t>
      </w:r>
      <w:r w:rsidR="00954862" w:rsidRPr="00EE74FF">
        <w:t>n</w:t>
      </w:r>
      <w:r w:rsidR="00694345" w:rsidRPr="00EE74FF">
        <w:t>gslösa som utgångspunkt</w:t>
      </w:r>
      <w:r w:rsidRPr="00EE74FF">
        <w:t xml:space="preserve"> för styrning av åtgä</w:t>
      </w:r>
      <w:r w:rsidRPr="00EE74FF">
        <w:t>r</w:t>
      </w:r>
      <w:r w:rsidRPr="00EE74FF">
        <w:t>der. Ett exempel är att regeringen anser att varken människors hälsa, ekosy</w:t>
      </w:r>
      <w:r w:rsidR="0022105C" w:rsidRPr="00EE74FF">
        <w:softHyphen/>
      </w:r>
      <w:r w:rsidRPr="00EE74FF">
        <w:t>stemen eller nyttjandet av havet skall påverkas negativt eller utsättas för ri</w:t>
      </w:r>
      <w:r w:rsidRPr="00EE74FF">
        <w:t>s</w:t>
      </w:r>
      <w:r w:rsidRPr="00EE74FF">
        <w:t>ker. Förvisso ansluter vi oss till för</w:t>
      </w:r>
      <w:r w:rsidR="001A72CF" w:rsidRPr="00EE74FF">
        <w:t>siktighetsprinc</w:t>
      </w:r>
      <w:r w:rsidR="001A72CF" w:rsidRPr="00EE74FF">
        <w:t>i</w:t>
      </w:r>
      <w:r w:rsidR="001A72CF" w:rsidRPr="00EE74FF">
        <w:t>pen, men det är ändå värt att påminna om att a</w:t>
      </w:r>
      <w:r w:rsidR="00694345" w:rsidRPr="00EE74FF">
        <w:t>llt nyttjande av havet (och all</w:t>
      </w:r>
      <w:r w:rsidR="001A72CF" w:rsidRPr="00EE74FF">
        <w:t xml:space="preserve"> annan verksamhet för den delen) innebär risker. Strategin blir således både innehållslös och allomfatta</w:t>
      </w:r>
      <w:r w:rsidR="001A72CF" w:rsidRPr="00EE74FF">
        <w:t>n</w:t>
      </w:r>
      <w:r w:rsidR="001A72CF" w:rsidRPr="00EE74FF">
        <w:t>de.</w:t>
      </w:r>
    </w:p>
    <w:p w:rsidR="00812083" w:rsidRPr="00EE74FF" w:rsidRDefault="00954862" w:rsidP="008C0AF9">
      <w:pPr>
        <w:pStyle w:val="Normaltindrag"/>
      </w:pPr>
      <w:r w:rsidRPr="00EE74FF">
        <w:t>Vad som är otillräckligt</w:t>
      </w:r>
      <w:r w:rsidR="00E92B51" w:rsidRPr="00EE74FF">
        <w:t xml:space="preserve"> i regeringens strategideklaration är brukarperspe</w:t>
      </w:r>
      <w:r w:rsidR="00E92B51" w:rsidRPr="00EE74FF">
        <w:t>k</w:t>
      </w:r>
      <w:r w:rsidR="00E92B51" w:rsidRPr="00EE74FF">
        <w:t>tivet och behovet av näringarnas medverkan i</w:t>
      </w:r>
      <w:r w:rsidRPr="00EE74FF">
        <w:t xml:space="preserve"> problemanalys och förvaltning</w:t>
      </w:r>
      <w:r w:rsidR="00E92B51" w:rsidRPr="00EE74FF">
        <w:t xml:space="preserve"> av havet och dess resurser. En aldrig så genomtänkt strategi blir svår att genomföra om den inte</w:t>
      </w:r>
      <w:r w:rsidRPr="00EE74FF">
        <w:t xml:space="preserve"> i ett tidigt skede</w:t>
      </w:r>
      <w:r w:rsidR="00E92B51" w:rsidRPr="00EE74FF">
        <w:t xml:space="preserve"> är väl förankrad hos de människor som närmast berörs av den. </w:t>
      </w:r>
      <w:r w:rsidR="0030082A" w:rsidRPr="00EE74FF">
        <w:t>Detta bör ges r</w:t>
      </w:r>
      <w:r w:rsidR="0030082A" w:rsidRPr="00EE74FF">
        <w:t>e</w:t>
      </w:r>
      <w:r w:rsidR="0030082A" w:rsidRPr="00EE74FF">
        <w:t>geringen till känna.</w:t>
      </w:r>
      <w:bookmarkStart w:id="35" w:name="_Toc115610288"/>
      <w:bookmarkStart w:id="36" w:name="_Toc115610301"/>
    </w:p>
    <w:p w:rsidR="00BD6C20" w:rsidRPr="00EE74FF" w:rsidRDefault="00BD6C20" w:rsidP="008C0AF9">
      <w:pPr>
        <w:pStyle w:val="Rubrik1"/>
      </w:pPr>
      <w:bookmarkStart w:id="37" w:name="_Toc115619598"/>
      <w:bookmarkStart w:id="38" w:name="_Toc115620138"/>
      <w:bookmarkStart w:id="39" w:name="_Toc115623200"/>
      <w:bookmarkStart w:id="40" w:name="_Toc115670961"/>
      <w:bookmarkStart w:id="41" w:name="_Toc115671119"/>
      <w:bookmarkStart w:id="42" w:name="_Toc115678456"/>
      <w:bookmarkStart w:id="43" w:name="_Toc115852366"/>
      <w:r w:rsidRPr="00EE74FF">
        <w:t>Deltagande och ansvarstagande</w:t>
      </w:r>
      <w:bookmarkEnd w:id="35"/>
      <w:bookmarkEnd w:id="36"/>
      <w:bookmarkEnd w:id="37"/>
      <w:bookmarkEnd w:id="38"/>
      <w:bookmarkEnd w:id="39"/>
      <w:bookmarkEnd w:id="40"/>
      <w:bookmarkEnd w:id="41"/>
      <w:bookmarkEnd w:id="42"/>
      <w:bookmarkEnd w:id="43"/>
    </w:p>
    <w:p w:rsidR="001928B4" w:rsidRPr="00EE74FF" w:rsidRDefault="00464705" w:rsidP="008C0AF9">
      <w:r w:rsidRPr="00EE74FF">
        <w:t>Regeringen talar i skrivelsen pliktskyldigt om att inkludera brukarna och näringsutöva</w:t>
      </w:r>
      <w:r w:rsidRPr="00EE74FF">
        <w:t>r</w:t>
      </w:r>
      <w:r w:rsidRPr="00EE74FF">
        <w:t>na. Men samtidigt framgår det att hela analys-, inventerings- och problemformulering</w:t>
      </w:r>
      <w:r w:rsidRPr="00EE74FF">
        <w:t>s</w:t>
      </w:r>
      <w:r w:rsidRPr="00EE74FF">
        <w:t>skedena skall skötas av myndigheter. Brukarna kommer in för sent i processen. Vi vill påpeka vikten av att det etableras en gemensam världsbild vad gäller omfattningen och karaktären hos olika pr</w:t>
      </w:r>
      <w:r w:rsidRPr="00EE74FF">
        <w:t>o</w:t>
      </w:r>
      <w:r w:rsidRPr="00EE74FF">
        <w:t>blem. Detta är nödvändigt för att åstadkomma den breda mobilise</w:t>
      </w:r>
      <w:r w:rsidRPr="00EE74FF">
        <w:t>r</w:t>
      </w:r>
      <w:r w:rsidRPr="00EE74FF">
        <w:t>ing av ansvarstagande som behövs för att säkra en god havsmiljö.</w:t>
      </w:r>
    </w:p>
    <w:p w:rsidR="00812083" w:rsidRPr="00EE74FF" w:rsidRDefault="001928B4" w:rsidP="008C0AF9">
      <w:pPr>
        <w:pStyle w:val="Normaltindrag"/>
      </w:pPr>
      <w:r w:rsidRPr="00EE74FF">
        <w:t>Enligt skrivelsen är det berörda myndigheter som samordnat skall delta i problemanalysen.</w:t>
      </w:r>
      <w:r w:rsidR="0007398E" w:rsidRPr="00EE74FF">
        <w:t xml:space="preserve"> </w:t>
      </w:r>
      <w:r w:rsidRPr="00EE74FF">
        <w:t>Vi menar att o</w:t>
      </w:r>
      <w:r w:rsidR="0007398E" w:rsidRPr="00EE74FF">
        <w:t xml:space="preserve">m problemanalysen enbart sker </w:t>
      </w:r>
      <w:r w:rsidR="00954862" w:rsidRPr="00EE74FF">
        <w:t>på myndi</w:t>
      </w:r>
      <w:r w:rsidR="00954862" w:rsidRPr="00EE74FF">
        <w:t>g</w:t>
      </w:r>
      <w:r w:rsidR="00954862" w:rsidRPr="00EE74FF">
        <w:t>hetsnivå för att i ett senare skede presenteras för</w:t>
      </w:r>
      <w:r w:rsidR="0007398E" w:rsidRPr="00EE74FF">
        <w:t xml:space="preserve"> nyttjarna och andra intre</w:t>
      </w:r>
      <w:r w:rsidR="0007398E" w:rsidRPr="00EE74FF">
        <w:t>s</w:t>
      </w:r>
      <w:r w:rsidR="0007398E" w:rsidRPr="00EE74FF">
        <w:t>senter</w:t>
      </w:r>
      <w:r w:rsidRPr="00EE74FF">
        <w:t xml:space="preserve"> så blir det inte bra. </w:t>
      </w:r>
      <w:r w:rsidR="007D7DFE" w:rsidRPr="00EE74FF">
        <w:t>Det är otillfredsställande att nyt</w:t>
      </w:r>
      <w:r w:rsidR="007D7DFE" w:rsidRPr="00EE74FF">
        <w:t>t</w:t>
      </w:r>
      <w:r w:rsidR="007D7DFE" w:rsidRPr="00EE74FF">
        <w:t xml:space="preserve">jarna föreslås komma in först på åtgärdsstadiet. </w:t>
      </w:r>
      <w:r w:rsidR="00954862" w:rsidRPr="00EE74FF">
        <w:t>Nyttjarna bör även finnas med under an</w:t>
      </w:r>
      <w:r w:rsidR="00954862" w:rsidRPr="00EE74FF">
        <w:t>a</w:t>
      </w:r>
      <w:r w:rsidR="00954862" w:rsidRPr="00EE74FF">
        <w:t>lysskedet</w:t>
      </w:r>
      <w:r w:rsidRPr="00EE74FF">
        <w:t xml:space="preserve">. </w:t>
      </w:r>
      <w:r w:rsidR="0007398E" w:rsidRPr="00EE74FF">
        <w:t xml:space="preserve">  </w:t>
      </w:r>
    </w:p>
    <w:p w:rsidR="006F5A0D" w:rsidRPr="00EE74FF" w:rsidRDefault="006F5A0D" w:rsidP="008C0AF9">
      <w:pPr>
        <w:pStyle w:val="Rubrik1"/>
      </w:pPr>
      <w:bookmarkStart w:id="44" w:name="_Toc115619599"/>
      <w:bookmarkStart w:id="45" w:name="_Toc115620139"/>
      <w:bookmarkStart w:id="46" w:name="_Toc115623201"/>
      <w:bookmarkStart w:id="47" w:name="_Toc115670962"/>
      <w:bookmarkStart w:id="48" w:name="_Toc115671120"/>
      <w:bookmarkStart w:id="49" w:name="_Toc115678457"/>
      <w:bookmarkStart w:id="50" w:name="_Toc115852367"/>
      <w:r w:rsidRPr="00EE74FF">
        <w:t>EU och internationell samverkan</w:t>
      </w:r>
      <w:bookmarkEnd w:id="44"/>
      <w:bookmarkEnd w:id="45"/>
      <w:bookmarkEnd w:id="46"/>
      <w:bookmarkEnd w:id="47"/>
      <w:bookmarkEnd w:id="48"/>
      <w:bookmarkEnd w:id="49"/>
      <w:bookmarkEnd w:id="50"/>
    </w:p>
    <w:p w:rsidR="006F5A0D" w:rsidRPr="00EE74FF" w:rsidRDefault="006F5A0D" w:rsidP="008C0AF9">
      <w:r w:rsidRPr="00EE74FF">
        <w:t>Regeringen tycks vara skeptisk till att det skulle finnas politiska förutsät</w:t>
      </w:r>
      <w:r w:rsidRPr="00EE74FF">
        <w:t>t</w:t>
      </w:r>
      <w:r w:rsidRPr="00EE74FF">
        <w:t>ningar för en grundläggande revidering av Helsingforskonventionen. Rege</w:t>
      </w:r>
      <w:r w:rsidRPr="00EE74FF">
        <w:t>r</w:t>
      </w:r>
      <w:r w:rsidRPr="00EE74FF">
        <w:t xml:space="preserve">ingen föreslår i skrivelsen att en europeisk marin strategi </w:t>
      </w:r>
      <w:r w:rsidR="00E701B6" w:rsidRPr="00EE74FF">
        <w:t>skall</w:t>
      </w:r>
      <w:r w:rsidRPr="00EE74FF">
        <w:t xml:space="preserve"> innehålla fö</w:t>
      </w:r>
      <w:r w:rsidRPr="00EE74FF">
        <w:t>r</w:t>
      </w:r>
      <w:r w:rsidRPr="00EE74FF">
        <w:t>slag om bindande regler och att dessa bör uttryckas i en EU-rättsakt. Kristd</w:t>
      </w:r>
      <w:r w:rsidRPr="00EE74FF">
        <w:t>e</w:t>
      </w:r>
      <w:r w:rsidRPr="00EE74FF">
        <w:t>mokraterna anser att det är angeläget att göra klart att det finns ett behov av en operativ myndighet. Myndigheten måste kunna göra avvä</w:t>
      </w:r>
      <w:r w:rsidRPr="00EE74FF">
        <w:t>g</w:t>
      </w:r>
      <w:r w:rsidRPr="00EE74FF">
        <w:t>ningar mellan olika intressen och fatta beslut utifrån tillgän</w:t>
      </w:r>
      <w:r w:rsidRPr="00EE74FF">
        <w:t>g</w:t>
      </w:r>
      <w:r w:rsidRPr="00EE74FF">
        <w:t>lig kunskap. Målsättningen bör vara att även Ryssland skall ingå i detta samarbete.</w:t>
      </w:r>
    </w:p>
    <w:p w:rsidR="006F5A0D" w:rsidRPr="00EE74FF" w:rsidRDefault="006F5A0D" w:rsidP="008C0AF9">
      <w:pPr>
        <w:pStyle w:val="Normaltindrag"/>
      </w:pPr>
      <w:r w:rsidRPr="00EE74FF">
        <w:t>En gemensam myndighet bör alltså skapas för Östersjöregionen. Denna myndighet skall ledas av en styrelse med representanter för alla länder i reg</w:t>
      </w:r>
      <w:r w:rsidRPr="00EE74FF">
        <w:t>i</w:t>
      </w:r>
      <w:r w:rsidRPr="00EE74FF">
        <w:t>onen och ha befoge</w:t>
      </w:r>
      <w:r w:rsidRPr="00EE74FF">
        <w:t>n</w:t>
      </w:r>
      <w:r w:rsidRPr="00EE74FF">
        <w:t>het att utfärda förordningar som skall gälla som juridiskt bindande i de ingående lände</w:t>
      </w:r>
      <w:r w:rsidRPr="00EE74FF">
        <w:t>r</w:t>
      </w:r>
      <w:r w:rsidRPr="00EE74FF">
        <w:t>na. Sanktioner skall finnas för den som bryter mot reglerna. En av de första uppgifterna för myndigheten bör vara att kar</w:t>
      </w:r>
      <w:r w:rsidRPr="00EE74FF">
        <w:t>t</w:t>
      </w:r>
      <w:r w:rsidRPr="00EE74FF">
        <w:t>lägga källorna till utsläppen av gifter i regionen. Sverige bör ta upp förhan</w:t>
      </w:r>
      <w:r w:rsidRPr="00EE74FF">
        <w:t>d</w:t>
      </w:r>
      <w:r w:rsidRPr="00EE74FF">
        <w:t>lingar om att revidera Helsingforskommissionen i syfte att skapa en sådan myndighet. Detta bör ges regeringen till känna.</w:t>
      </w:r>
    </w:p>
    <w:p w:rsidR="001C2E18" w:rsidRPr="00EE74FF" w:rsidRDefault="001C2E18" w:rsidP="008C0AF9">
      <w:pPr>
        <w:pStyle w:val="Normaltindrag"/>
      </w:pPr>
      <w:r w:rsidRPr="00EE74FF">
        <w:t>Det kan också vara bra att ha i bakhuvudet att olika EU-länder berörs på olika sätt av havsmiljöfrågorna. De länder som inte har samma förhållanden som exempelvis Sverige kan av taktikskäl obstruera en hållbar geme</w:t>
      </w:r>
      <w:r w:rsidRPr="00EE74FF">
        <w:t>n</w:t>
      </w:r>
      <w:r w:rsidRPr="00EE74FF">
        <w:t>sam EU-politik vad gäller havsmiljö och fiskeförvalt</w:t>
      </w:r>
      <w:r w:rsidR="00E701B6" w:rsidRPr="00EE74FF">
        <w:t>n</w:t>
      </w:r>
      <w:r w:rsidRPr="00EE74FF">
        <w:t>ing.</w:t>
      </w:r>
      <w:r w:rsidR="00905007" w:rsidRPr="00EE74FF">
        <w:t xml:space="preserve"> Det kan därför anses tveksamt om det går att få m</w:t>
      </w:r>
      <w:r w:rsidR="00905007" w:rsidRPr="00EE74FF">
        <w:t>a</w:t>
      </w:r>
      <w:r w:rsidR="00905007" w:rsidRPr="00EE74FF">
        <w:t xml:space="preserve">joritet inom EU för bindande regler som styr upp en radikal marin strategi.  </w:t>
      </w:r>
    </w:p>
    <w:p w:rsidR="006F5A0D" w:rsidRPr="00EE74FF" w:rsidRDefault="00812083" w:rsidP="008C0AF9">
      <w:pPr>
        <w:pStyle w:val="Rubrik1"/>
      </w:pPr>
      <w:bookmarkStart w:id="51" w:name="_Toc115619600"/>
      <w:bookmarkStart w:id="52" w:name="_Toc115620140"/>
      <w:bookmarkStart w:id="53" w:name="_Toc115623202"/>
      <w:bookmarkStart w:id="54" w:name="_Toc115670963"/>
      <w:bookmarkStart w:id="55" w:name="_Toc115671121"/>
      <w:bookmarkStart w:id="56" w:name="_Toc115678458"/>
      <w:bookmarkStart w:id="57" w:name="_Toc115852368"/>
      <w:r w:rsidRPr="00EE74FF">
        <w:t>Effektivare myndighetssamordning</w:t>
      </w:r>
      <w:r w:rsidR="006B7DF2" w:rsidRPr="00EE74FF">
        <w:t xml:space="preserve"> och förvaltning</w:t>
      </w:r>
      <w:bookmarkEnd w:id="51"/>
      <w:bookmarkEnd w:id="52"/>
      <w:bookmarkEnd w:id="53"/>
      <w:bookmarkEnd w:id="54"/>
      <w:bookmarkEnd w:id="55"/>
      <w:bookmarkEnd w:id="56"/>
      <w:bookmarkEnd w:id="57"/>
    </w:p>
    <w:p w:rsidR="00D42A82" w:rsidRPr="00EE74FF" w:rsidRDefault="00D42A82" w:rsidP="008C0AF9">
      <w:r w:rsidRPr="00EE74FF">
        <w:t>Naturvårdsverket bör ha det övergripande ansvaret för havsmiljö. Men br</w:t>
      </w:r>
      <w:r w:rsidRPr="00EE74FF">
        <w:t>u</w:t>
      </w:r>
      <w:r w:rsidRPr="00EE74FF">
        <w:t>karna måste få ett större inflytande än vad d</w:t>
      </w:r>
      <w:r w:rsidR="00975CF0" w:rsidRPr="00EE74FF">
        <w:t>e har med den hittills förda</w:t>
      </w:r>
      <w:r w:rsidRPr="00EE74FF">
        <w:t xml:space="preserve"> polit</w:t>
      </w:r>
      <w:r w:rsidRPr="00EE74FF">
        <w:t>i</w:t>
      </w:r>
      <w:r w:rsidRPr="00EE74FF">
        <w:t xml:space="preserve">ken. Havsmiljöarbetet bör bli allas ansvar. </w:t>
      </w:r>
    </w:p>
    <w:p w:rsidR="00D42A82" w:rsidRPr="00EE74FF" w:rsidRDefault="00D42A82" w:rsidP="008C0AF9">
      <w:pPr>
        <w:pStyle w:val="Rubrik2"/>
      </w:pPr>
      <w:bookmarkStart w:id="58" w:name="_Toc115619601"/>
      <w:bookmarkStart w:id="59" w:name="_Toc115620141"/>
      <w:bookmarkStart w:id="60" w:name="_Toc115623203"/>
      <w:bookmarkStart w:id="61" w:name="_Toc115670964"/>
      <w:bookmarkStart w:id="62" w:name="_Toc115671122"/>
      <w:bookmarkStart w:id="63" w:name="_Toc115678459"/>
      <w:bookmarkStart w:id="64" w:name="_Toc115852369"/>
      <w:r w:rsidRPr="00EE74FF">
        <w:t>EU:s vattendirektiv</w:t>
      </w:r>
      <w:bookmarkEnd w:id="58"/>
      <w:bookmarkEnd w:id="59"/>
      <w:bookmarkEnd w:id="60"/>
      <w:bookmarkEnd w:id="61"/>
      <w:bookmarkEnd w:id="62"/>
      <w:bookmarkEnd w:id="63"/>
      <w:bookmarkEnd w:id="64"/>
    </w:p>
    <w:p w:rsidR="006F5A0D" w:rsidRPr="00EE74FF" w:rsidRDefault="005F1D5F" w:rsidP="008C0AF9">
      <w:r w:rsidRPr="00EE74FF">
        <w:t>Vattendirektivet nämns mycket knapphändigt</w:t>
      </w:r>
      <w:r w:rsidR="006F5A0D" w:rsidRPr="00EE74FF">
        <w:t xml:space="preserve"> i skrivelsen. Vattendirektivets roll i rege</w:t>
      </w:r>
      <w:r w:rsidR="006F5A0D" w:rsidRPr="00EE74FF">
        <w:t>r</w:t>
      </w:r>
      <w:r w:rsidR="006F5A0D" w:rsidRPr="00EE74FF">
        <w:t>ingens strategi för havet är oklar</w:t>
      </w:r>
      <w:r w:rsidR="0035523E" w:rsidRPr="00EE74FF">
        <w:t xml:space="preserve">, trots att dess regler kommer </w:t>
      </w:r>
      <w:r w:rsidR="00975CF0" w:rsidRPr="00EE74FF">
        <w:t xml:space="preserve">att </w:t>
      </w:r>
      <w:r w:rsidR="0035523E" w:rsidRPr="00EE74FF">
        <w:t>få stor betydelse för det svenska havsmiljöarbetet</w:t>
      </w:r>
      <w:r w:rsidR="006F5A0D" w:rsidRPr="00EE74FF">
        <w:t>. Enligt vattendire</w:t>
      </w:r>
      <w:r w:rsidR="006F5A0D" w:rsidRPr="00EE74FF">
        <w:t>k</w:t>
      </w:r>
      <w:r w:rsidR="006F5A0D" w:rsidRPr="00EE74FF">
        <w:t>tivet krävs omfattande inventerings- och åtgärdsprogram. Skrivelsens förslag är inte tillräckliga i detta avsee</w:t>
      </w:r>
      <w:r w:rsidR="006F5A0D" w:rsidRPr="00EE74FF">
        <w:t>n</w:t>
      </w:r>
      <w:r w:rsidR="006F5A0D" w:rsidRPr="00EE74FF">
        <w:t xml:space="preserve">de. </w:t>
      </w:r>
    </w:p>
    <w:p w:rsidR="00030D7E" w:rsidRPr="00EE74FF" w:rsidRDefault="00030D7E" w:rsidP="008C0AF9">
      <w:pPr>
        <w:pStyle w:val="Normaltindrag"/>
      </w:pPr>
      <w:r w:rsidRPr="00EE74FF">
        <w:t>Det uppskattas att den allra största delen av föroreningarna i havet kommer med fl</w:t>
      </w:r>
      <w:r w:rsidRPr="00EE74FF">
        <w:t>o</w:t>
      </w:r>
      <w:r w:rsidRPr="00EE74FF">
        <w:t>derna som rinner ut i havet. Därför måste ett tydligt fokus sättas på arbetet med tillri</w:t>
      </w:r>
      <w:r w:rsidRPr="00EE74FF">
        <w:t>n</w:t>
      </w:r>
      <w:r w:rsidRPr="00EE74FF">
        <w:t>ningsområdena. Därmed bör vattenmyndigheternas arbete och de kommande åtgärd</w:t>
      </w:r>
      <w:r w:rsidRPr="00EE74FF">
        <w:t>s</w:t>
      </w:r>
      <w:r w:rsidRPr="00EE74FF">
        <w:t>programmen enligt vattendirektivet spela en central roll i den svenska strategin för havsmiljön. Regeringen bör snarast återkomma till riksdagen med förslag om hur det fortsatta arbetet med vattendirektivet, inte minst åtgärdsprogrammen, skall ges en til</w:t>
      </w:r>
      <w:r w:rsidRPr="00EE74FF">
        <w:t>l</w:t>
      </w:r>
      <w:r w:rsidRPr="00EE74FF">
        <w:t xml:space="preserve">fredsställande finansiering.  </w:t>
      </w:r>
    </w:p>
    <w:p w:rsidR="006F5A0D" w:rsidRPr="00EE74FF" w:rsidRDefault="006F5A0D" w:rsidP="008C0AF9">
      <w:pPr>
        <w:pStyle w:val="Normaltindrag"/>
      </w:pPr>
      <w:r w:rsidRPr="00EE74FF">
        <w:t>Det är viktigt att vattenmyndigheternas styrelser har en allsidig samma</w:t>
      </w:r>
      <w:r w:rsidRPr="00EE74FF">
        <w:t>n</w:t>
      </w:r>
      <w:r w:rsidRPr="00EE74FF">
        <w:t>sättning.</w:t>
      </w:r>
      <w:r w:rsidR="00E92B51" w:rsidRPr="00EE74FF">
        <w:t xml:space="preserve"> Regeringen skriver </w:t>
      </w:r>
      <w:r w:rsidR="00A01B1A" w:rsidRPr="00EE74FF">
        <w:t>visserligen om lokalt deltagande och kontinue</w:t>
      </w:r>
      <w:r w:rsidR="00A01B1A" w:rsidRPr="00EE74FF">
        <w:t>r</w:t>
      </w:r>
      <w:r w:rsidR="00A01B1A" w:rsidRPr="00EE74FF">
        <w:t>lig dialog, men detta har inte tillämpats vid tillsättningen av vattendelegati</w:t>
      </w:r>
      <w:r w:rsidR="00A01B1A" w:rsidRPr="00EE74FF">
        <w:t>o</w:t>
      </w:r>
      <w:r w:rsidR="00A01B1A" w:rsidRPr="00EE74FF">
        <w:t xml:space="preserve">nerna. </w:t>
      </w:r>
      <w:r w:rsidRPr="00EE74FF">
        <w:t>Av de totalt 27 ledamöter som regeringen utsett i de fem vattendistri</w:t>
      </w:r>
      <w:r w:rsidRPr="00EE74FF">
        <w:t>k</w:t>
      </w:r>
      <w:r w:rsidRPr="00EE74FF">
        <w:t>ten är 21 representanter för länsstyrelserna, 4 från universiteten, 1 från ett statligt bolag och 1 företrädare för näringssektorn. Således har utredarens förslag om en allsidig sammansättning i styrelserna inte följts vid förordna</w:t>
      </w:r>
      <w:r w:rsidRPr="00EE74FF">
        <w:t>n</w:t>
      </w:r>
      <w:r w:rsidRPr="00EE74FF">
        <w:t xml:space="preserve">det av vattendelegationerna. Endast i ett av vattendistrikten uppgår antalet ledamöter till </w:t>
      </w:r>
      <w:r w:rsidR="006132AB" w:rsidRPr="00EE74FF">
        <w:t>nio</w:t>
      </w:r>
      <w:r w:rsidRPr="00EE74FF">
        <w:t xml:space="preserve"> och inte i något distrikt har ersättare utsetts. Man kan då undra om regeringen avser att komplettera vattendelegationerna genom att utse företrädare för näringsliv, komm</w:t>
      </w:r>
      <w:r w:rsidRPr="00EE74FF">
        <w:t>u</w:t>
      </w:r>
      <w:r w:rsidRPr="00EE74FF">
        <w:t>ner, miljöorganisationer och enskilda.</w:t>
      </w:r>
    </w:p>
    <w:p w:rsidR="006F5A0D" w:rsidRPr="00EE74FF" w:rsidRDefault="006F5A0D" w:rsidP="008C0AF9">
      <w:pPr>
        <w:pStyle w:val="Normaltindrag"/>
      </w:pPr>
      <w:r w:rsidRPr="00EE74FF">
        <w:t>Vattendelegationernas sammansättning är viktig för att få en helhetssyn på alla aspe</w:t>
      </w:r>
      <w:r w:rsidRPr="00EE74FF">
        <w:t>k</w:t>
      </w:r>
      <w:r w:rsidRPr="00EE74FF">
        <w:t>ter av vattenanvändningen inom avrinningsområdet. Med tanke på att de nya myndigheterna är föranledda av ett EU-direktiv finns särskild a</w:t>
      </w:r>
      <w:r w:rsidRPr="00EE74FF">
        <w:t>n</w:t>
      </w:r>
      <w:r w:rsidRPr="00EE74FF">
        <w:t>ledning att skapa största möjliga legitimitet för vattenmyndigheterna och deras beslut. Vattendirektivets krav på tydlighet talar för att myndigheterna skall ha en självständig ställning, vilket bör föranleda att de inte enbart skall styras av länsstyrelsepersonal.</w:t>
      </w:r>
    </w:p>
    <w:p w:rsidR="0035523E" w:rsidRPr="00EE74FF" w:rsidRDefault="006F5A0D" w:rsidP="008C0AF9">
      <w:pPr>
        <w:pStyle w:val="Normaltindrag"/>
      </w:pPr>
      <w:r w:rsidRPr="00EE74FF">
        <w:t xml:space="preserve">Det är märkligt att vattenmyndigheterna inte nämns bland de myndigheter som räknas upp på sidan 27 i skrivelsen. </w:t>
      </w:r>
      <w:r w:rsidR="0035523E" w:rsidRPr="00EE74FF">
        <w:t>Inte heller nämns länsstyrelserna</w:t>
      </w:r>
      <w:r w:rsidR="006132AB" w:rsidRPr="00EE74FF">
        <w:t>,</w:t>
      </w:r>
      <w:r w:rsidR="0035523E" w:rsidRPr="00EE74FF">
        <w:t xml:space="preserve"> som har en viktig roll. </w:t>
      </w:r>
      <w:r w:rsidRPr="00EE74FF">
        <w:t xml:space="preserve">Det är angeläget att vattenmyndigheterna </w:t>
      </w:r>
      <w:r w:rsidR="0035523E" w:rsidRPr="00EE74FF">
        <w:t>och länsst</w:t>
      </w:r>
      <w:r w:rsidR="0035523E" w:rsidRPr="00EE74FF">
        <w:t>y</w:t>
      </w:r>
      <w:r w:rsidR="0035523E" w:rsidRPr="00EE74FF">
        <w:t xml:space="preserve">relserna </w:t>
      </w:r>
      <w:r w:rsidRPr="00EE74FF">
        <w:t xml:space="preserve">finns med </w:t>
      </w:r>
      <w:r w:rsidR="00975CF0" w:rsidRPr="00EE74FF">
        <w:t xml:space="preserve">som viktiga aktörer </w:t>
      </w:r>
      <w:r w:rsidRPr="00EE74FF">
        <w:t>i myndigheternas samlade havsmilj</w:t>
      </w:r>
      <w:r w:rsidRPr="00EE74FF">
        <w:t>ö</w:t>
      </w:r>
      <w:r w:rsidRPr="00EE74FF">
        <w:t>arbete. Detta bör ges regeringen till kä</w:t>
      </w:r>
      <w:r w:rsidRPr="00EE74FF">
        <w:t>n</w:t>
      </w:r>
      <w:r w:rsidRPr="00EE74FF">
        <w:t xml:space="preserve">na. </w:t>
      </w:r>
    </w:p>
    <w:p w:rsidR="006B7DF2" w:rsidRPr="00EE74FF" w:rsidRDefault="006B7DF2" w:rsidP="008C0AF9">
      <w:pPr>
        <w:pStyle w:val="Rubrik2"/>
      </w:pPr>
      <w:bookmarkStart w:id="65" w:name="_Toc115619602"/>
      <w:bookmarkStart w:id="66" w:name="_Toc115620142"/>
      <w:bookmarkStart w:id="67" w:name="_Toc115623204"/>
      <w:bookmarkStart w:id="68" w:name="_Toc115670965"/>
      <w:bookmarkStart w:id="69" w:name="_Toc115671123"/>
      <w:bookmarkStart w:id="70" w:name="_Toc115678460"/>
      <w:bookmarkStart w:id="71" w:name="_Toc115852370"/>
      <w:r w:rsidRPr="00EE74FF">
        <w:t>Senkommen insikt</w:t>
      </w:r>
      <w:bookmarkEnd w:id="65"/>
      <w:bookmarkEnd w:id="66"/>
      <w:bookmarkEnd w:id="67"/>
      <w:bookmarkEnd w:id="68"/>
      <w:bookmarkEnd w:id="69"/>
      <w:bookmarkEnd w:id="70"/>
      <w:bookmarkEnd w:id="71"/>
    </w:p>
    <w:p w:rsidR="006B7DF2" w:rsidRPr="00EE74FF" w:rsidRDefault="006B7DF2" w:rsidP="008C0AF9">
      <w:r w:rsidRPr="00EE74FF">
        <w:t>Efter elva års styre inser den socialdemokratiska regeringen att en samordnad planering och förvaltni</w:t>
      </w:r>
      <w:r w:rsidR="00B71B0A" w:rsidRPr="00EE74FF">
        <w:t>n</w:t>
      </w:r>
      <w:r w:rsidRPr="00EE74FF">
        <w:t>g av de svenska havsområdena bör åst</w:t>
      </w:r>
      <w:r w:rsidR="00975CF0" w:rsidRPr="00EE74FF">
        <w:t>adkommas. Emellertid anser man att</w:t>
      </w:r>
      <w:r w:rsidRPr="00EE74FF">
        <w:t xml:space="preserve"> detta</w:t>
      </w:r>
      <w:r w:rsidR="00975CF0" w:rsidRPr="00EE74FF">
        <w:t xml:space="preserve"> måste</w:t>
      </w:r>
      <w:r w:rsidRPr="00EE74FF">
        <w:t xml:space="preserve"> utredas närmare (som vanligt?). </w:t>
      </w:r>
    </w:p>
    <w:p w:rsidR="00533211" w:rsidRPr="00EE74FF" w:rsidRDefault="00533211" w:rsidP="008C0AF9">
      <w:pPr>
        <w:pStyle w:val="Normaltindrag"/>
      </w:pPr>
      <w:r w:rsidRPr="00EE74FF">
        <w:t>Det är bra med ökat deltagande av berörda intressenter i planerings- och beslutsprocesserna. Men det bör återigen betonas att nyttjare och andra intre</w:t>
      </w:r>
      <w:r w:rsidRPr="00EE74FF">
        <w:t>s</w:t>
      </w:r>
      <w:r w:rsidRPr="00EE74FF">
        <w:t>senter måste ko</w:t>
      </w:r>
      <w:r w:rsidRPr="00EE74FF">
        <w:t>m</w:t>
      </w:r>
      <w:r w:rsidRPr="00EE74FF">
        <w:t>ma in tidigare och delta i utformandet av en gemensam problemformulering.</w:t>
      </w:r>
    </w:p>
    <w:p w:rsidR="00C914B1" w:rsidRPr="00EE74FF" w:rsidRDefault="00C914B1" w:rsidP="008C0AF9">
      <w:pPr>
        <w:pStyle w:val="Rubrik1"/>
      </w:pPr>
      <w:bookmarkStart w:id="72" w:name="_Toc115619603"/>
      <w:bookmarkStart w:id="73" w:name="_Toc115620143"/>
      <w:bookmarkStart w:id="74" w:name="_Toc115623205"/>
      <w:bookmarkStart w:id="75" w:name="_Toc115670966"/>
      <w:bookmarkStart w:id="76" w:name="_Toc115671124"/>
      <w:bookmarkStart w:id="77" w:name="_Toc115678461"/>
      <w:bookmarkStart w:id="78" w:name="_Toc115852371"/>
      <w:r w:rsidRPr="00EE74FF">
        <w:t>Kunskapsuppbyggnad</w:t>
      </w:r>
      <w:bookmarkEnd w:id="72"/>
      <w:bookmarkEnd w:id="73"/>
      <w:bookmarkEnd w:id="74"/>
      <w:bookmarkEnd w:id="75"/>
      <w:bookmarkEnd w:id="76"/>
      <w:bookmarkEnd w:id="77"/>
      <w:bookmarkEnd w:id="78"/>
    </w:p>
    <w:p w:rsidR="00C914B1" w:rsidRPr="00EE74FF" w:rsidRDefault="00C914B1" w:rsidP="00422369">
      <w:pPr>
        <w:pStyle w:val="Rubrik2"/>
        <w:spacing w:before="125"/>
      </w:pPr>
      <w:bookmarkStart w:id="79" w:name="_Toc115619604"/>
      <w:bookmarkStart w:id="80" w:name="_Toc115620144"/>
      <w:bookmarkStart w:id="81" w:name="_Toc115623206"/>
      <w:bookmarkStart w:id="82" w:name="_Toc115670967"/>
      <w:bookmarkStart w:id="83" w:name="_Toc115671125"/>
      <w:bookmarkStart w:id="84" w:name="_Toc115678462"/>
      <w:bookmarkStart w:id="85" w:name="_Toc115852372"/>
      <w:r w:rsidRPr="00EE74FF">
        <w:t>Tillförlitlig kunskap om populationer</w:t>
      </w:r>
      <w:bookmarkEnd w:id="79"/>
      <w:bookmarkEnd w:id="80"/>
      <w:bookmarkEnd w:id="81"/>
      <w:bookmarkEnd w:id="82"/>
      <w:bookmarkEnd w:id="83"/>
      <w:bookmarkEnd w:id="84"/>
      <w:bookmarkEnd w:id="85"/>
      <w:r w:rsidRPr="00EE74FF">
        <w:t xml:space="preserve"> </w:t>
      </w:r>
    </w:p>
    <w:p w:rsidR="00C914B1" w:rsidRPr="00EE74FF" w:rsidRDefault="00C914B1" w:rsidP="008C0AF9">
      <w:r w:rsidRPr="00EE74FF">
        <w:t xml:space="preserve">ICES forskningsresultat måste kvalitetssäkras så att dess rekommendationer inte kan ifrågasättas. </w:t>
      </w:r>
      <w:r w:rsidR="000555C3" w:rsidRPr="00EE74FF">
        <w:t>Arbetet med modeller för fiskebeståndens storlek och utveckling är därför angeläget.</w:t>
      </w:r>
    </w:p>
    <w:p w:rsidR="00C914B1" w:rsidRPr="00EE74FF" w:rsidRDefault="00C914B1" w:rsidP="008C0AF9">
      <w:pPr>
        <w:pStyle w:val="Normaltindrag"/>
      </w:pPr>
      <w:r w:rsidRPr="00EE74FF">
        <w:t>Regeringen skriver att bestånden av tumlare har minskat på grund av mi</w:t>
      </w:r>
      <w:r w:rsidRPr="00EE74FF">
        <w:t>l</w:t>
      </w:r>
      <w:r w:rsidRPr="00EE74FF">
        <w:t>jöförhålla</w:t>
      </w:r>
      <w:r w:rsidRPr="00EE74FF">
        <w:t>n</w:t>
      </w:r>
      <w:r w:rsidRPr="00EE74FF">
        <w:t>dena och som en följd av att de utgör bifångster inom fisket. Den vetenskapliga grunden för detta är dock klen. Sedan 1996 har endast en död tumlare rapporterats fångad som bifångst.</w:t>
      </w:r>
    </w:p>
    <w:p w:rsidR="00C914B1" w:rsidRPr="00EE74FF" w:rsidRDefault="00E20EEC" w:rsidP="008C0AF9">
      <w:pPr>
        <w:pStyle w:val="Rubrik2"/>
      </w:pPr>
      <w:bookmarkStart w:id="86" w:name="_Toc115619605"/>
      <w:bookmarkStart w:id="87" w:name="_Toc115620145"/>
      <w:bookmarkStart w:id="88" w:name="_Toc115623207"/>
      <w:bookmarkStart w:id="89" w:name="_Toc115670968"/>
      <w:bookmarkStart w:id="90" w:name="_Toc115671126"/>
      <w:bookmarkStart w:id="91" w:name="_Toc115678463"/>
      <w:bookmarkStart w:id="92" w:name="_Toc115852373"/>
      <w:r w:rsidRPr="00EE74FF">
        <w:t>Inspire</w:t>
      </w:r>
      <w:bookmarkEnd w:id="86"/>
      <w:bookmarkEnd w:id="87"/>
      <w:bookmarkEnd w:id="88"/>
      <w:bookmarkEnd w:id="89"/>
      <w:bookmarkEnd w:id="90"/>
      <w:bookmarkEnd w:id="91"/>
      <w:bookmarkEnd w:id="92"/>
    </w:p>
    <w:p w:rsidR="009A5B4E" w:rsidRPr="00EE74FF" w:rsidRDefault="009A5B4E" w:rsidP="008C0AF9">
      <w:r w:rsidRPr="00EE74FF">
        <w:t xml:space="preserve">Inom EU pågår arbetet med </w:t>
      </w:r>
      <w:r w:rsidR="0033212B" w:rsidRPr="00EE74FF">
        <w:t>Inspire</w:t>
      </w:r>
      <w:r w:rsidRPr="00EE74FF">
        <w:t xml:space="preserve">, som är en gemensam infrastruktur för geografisk information inom gemenskapen. Vinsterna med </w:t>
      </w:r>
      <w:r w:rsidR="0033212B" w:rsidRPr="00EE74FF">
        <w:t xml:space="preserve">Inspire </w:t>
      </w:r>
      <w:r w:rsidRPr="00EE74FF">
        <w:t>är av lån</w:t>
      </w:r>
      <w:r w:rsidRPr="00EE74FF">
        <w:t>g</w:t>
      </w:r>
      <w:r w:rsidRPr="00EE74FF">
        <w:t>siktig karaktär. På miljösidan finns stora vinster med att effektivisera datafl</w:t>
      </w:r>
      <w:r w:rsidRPr="00EE74FF">
        <w:t>ö</w:t>
      </w:r>
      <w:r w:rsidRPr="00EE74FF">
        <w:t xml:space="preserve">dena. Att det görs med </w:t>
      </w:r>
      <w:r w:rsidR="0033212B" w:rsidRPr="00EE74FF">
        <w:t xml:space="preserve">Inspire </w:t>
      </w:r>
      <w:r w:rsidRPr="00EE74FF">
        <w:t>underlättar bl.a. övervakningen av fartyg. R</w:t>
      </w:r>
      <w:r w:rsidRPr="00EE74FF">
        <w:t>e</w:t>
      </w:r>
      <w:r w:rsidRPr="00EE74FF">
        <w:t xml:space="preserve">geringen har en alltför passiv hållning till </w:t>
      </w:r>
      <w:r w:rsidR="0033212B" w:rsidRPr="00EE74FF">
        <w:t>Inspire</w:t>
      </w:r>
      <w:r w:rsidRPr="00EE74FF">
        <w:t xml:space="preserve">. Det behövs en strategi för implementering av </w:t>
      </w:r>
      <w:r w:rsidR="0033212B" w:rsidRPr="00EE74FF">
        <w:t>Inspiredirektivet</w:t>
      </w:r>
      <w:r w:rsidRPr="00EE74FF">
        <w:t>, när det antas. Ansvarsfrågan måste fö</w:t>
      </w:r>
      <w:r w:rsidRPr="00EE74FF">
        <w:t>r</w:t>
      </w:r>
      <w:r w:rsidRPr="00EE74FF">
        <w:t xml:space="preserve">tydligas då </w:t>
      </w:r>
      <w:r w:rsidR="0033212B" w:rsidRPr="00EE74FF">
        <w:t xml:space="preserve">Inspire </w:t>
      </w:r>
      <w:r w:rsidRPr="00EE74FF">
        <w:t>berör många olika områden.</w:t>
      </w:r>
    </w:p>
    <w:p w:rsidR="009A5B4E" w:rsidRPr="00EE74FF" w:rsidRDefault="009A5B4E" w:rsidP="008C0AF9">
      <w:pPr>
        <w:pStyle w:val="Normaltindrag"/>
      </w:pPr>
      <w:r w:rsidRPr="00EE74FF">
        <w:t>För att åstadkomma de vinster som ovannämnda direktiv syftar till fordras en tydlig ledning och styrning från riksdag och regering. Resursfrågan är också i skrivandets stund olöst. Budgetpropsitionen för 2006 saknar öve</w:t>
      </w:r>
      <w:r w:rsidRPr="00EE74FF">
        <w:t>r</w:t>
      </w:r>
      <w:r w:rsidRPr="00EE74FF">
        <w:t xml:space="preserve">väganden om resursfördelning till implementeringsarbetet med </w:t>
      </w:r>
      <w:r w:rsidR="0033212B" w:rsidRPr="00EE74FF">
        <w:t>Inspire</w:t>
      </w:r>
      <w:r w:rsidRPr="00EE74FF">
        <w:t>.</w:t>
      </w:r>
    </w:p>
    <w:p w:rsidR="00975CF0" w:rsidRPr="00EE74FF" w:rsidRDefault="009A5B4E" w:rsidP="008C0AF9">
      <w:pPr>
        <w:pStyle w:val="Normaltindrag"/>
      </w:pPr>
      <w:r w:rsidRPr="00EE74FF">
        <w:t>Sveriges regering måste inom EU inta en mer pådrivande roll när det gäller att u</w:t>
      </w:r>
      <w:r w:rsidRPr="00EE74FF">
        <w:t>t</w:t>
      </w:r>
      <w:r w:rsidRPr="00EE74FF">
        <w:t xml:space="preserve">veckla </w:t>
      </w:r>
      <w:r w:rsidR="0033212B" w:rsidRPr="00EE74FF">
        <w:t xml:space="preserve">Inspireinitiativet </w:t>
      </w:r>
      <w:r w:rsidRPr="00EE74FF">
        <w:t>samt att nationellt informera och tillföra resurser för impleme</w:t>
      </w:r>
      <w:r w:rsidRPr="00EE74FF">
        <w:t>n</w:t>
      </w:r>
      <w:r w:rsidRPr="00EE74FF">
        <w:t xml:space="preserve">tering av </w:t>
      </w:r>
      <w:r w:rsidR="0033212B" w:rsidRPr="00EE74FF">
        <w:t>Inspire</w:t>
      </w:r>
      <w:r w:rsidRPr="00EE74FF">
        <w:t xml:space="preserve">. </w:t>
      </w:r>
      <w:r w:rsidRPr="00EE74FF">
        <w:rPr>
          <w:bCs/>
        </w:rPr>
        <w:t xml:space="preserve">Detta bör ges regeringen till känna. </w:t>
      </w:r>
      <w:r w:rsidR="00975CF0" w:rsidRPr="00EE74FF">
        <w:t xml:space="preserve"> </w:t>
      </w:r>
    </w:p>
    <w:p w:rsidR="005F1D5F" w:rsidRPr="00EE74FF" w:rsidRDefault="00FB4751" w:rsidP="008C0AF9">
      <w:pPr>
        <w:pStyle w:val="Rubrik2"/>
      </w:pPr>
      <w:bookmarkStart w:id="93" w:name="_Toc115623208"/>
      <w:bookmarkStart w:id="94" w:name="_Toc115670969"/>
      <w:bookmarkStart w:id="95" w:name="_Toc115671127"/>
      <w:bookmarkStart w:id="96" w:name="_Toc115678464"/>
      <w:bookmarkStart w:id="97" w:name="_Toc115852374"/>
      <w:r w:rsidRPr="00EE74FF">
        <w:t>Forskning</w:t>
      </w:r>
      <w:bookmarkEnd w:id="93"/>
      <w:bookmarkEnd w:id="94"/>
      <w:bookmarkEnd w:id="95"/>
      <w:bookmarkEnd w:id="96"/>
      <w:bookmarkEnd w:id="97"/>
    </w:p>
    <w:p w:rsidR="00292B19" w:rsidRPr="00EE74FF" w:rsidRDefault="00292B19" w:rsidP="008C0AF9">
      <w:r w:rsidRPr="00EE74FF">
        <w:t>Regeringen har bestämt (</w:t>
      </w:r>
      <w:r w:rsidR="00E20EEC" w:rsidRPr="00EE74FF">
        <w:t>prop</w:t>
      </w:r>
      <w:r w:rsidRPr="00EE74FF">
        <w:t>. 2004/05:80) att Rådet för forsknings- och utveckling</w:t>
      </w:r>
      <w:r w:rsidRPr="00EE74FF">
        <w:t>s</w:t>
      </w:r>
      <w:r w:rsidRPr="00EE74FF">
        <w:t xml:space="preserve">samarbete inom EU </w:t>
      </w:r>
      <w:r w:rsidR="00B71B0A" w:rsidRPr="00EE74FF">
        <w:t>ska</w:t>
      </w:r>
      <w:r w:rsidR="00E20EEC" w:rsidRPr="00EE74FF">
        <w:t>ll</w:t>
      </w:r>
      <w:r w:rsidR="00B71B0A" w:rsidRPr="00EE74FF">
        <w:t xml:space="preserve"> </w:t>
      </w:r>
      <w:r w:rsidRPr="00EE74FF">
        <w:t>avvecklas. I stället inrättas ett sekretariat för verksamheten knutet till Vinnova. Detta innebär att den nödvändiga bre</w:t>
      </w:r>
      <w:r w:rsidRPr="00EE74FF">
        <w:t>d</w:t>
      </w:r>
      <w:r w:rsidRPr="00EE74FF">
        <w:t>den i bedömningen av fors</w:t>
      </w:r>
      <w:r w:rsidRPr="00EE74FF">
        <w:t>k</w:t>
      </w:r>
      <w:r w:rsidRPr="00EE74FF">
        <w:t>ningssatsningarna minskar.</w:t>
      </w:r>
    </w:p>
    <w:p w:rsidR="005F1D5F" w:rsidRPr="00EE74FF" w:rsidRDefault="00292B19" w:rsidP="008C0AF9">
      <w:pPr>
        <w:pStyle w:val="Normaltindrag"/>
      </w:pPr>
      <w:r w:rsidRPr="00EE74FF">
        <w:t>Kristdemokraterna anser att Sverige bör delta i att utveckla europeiska forskningsråd</w:t>
      </w:r>
      <w:r w:rsidR="008C0AF9" w:rsidRPr="00EE74FF">
        <w:t xml:space="preserve"> </w:t>
      </w:r>
      <w:r w:rsidRPr="00EE74FF">
        <w:t>med uppgift att fördela en betydande del av forskningspengarna på eur</w:t>
      </w:r>
      <w:r w:rsidRPr="00EE74FF">
        <w:t>o</w:t>
      </w:r>
      <w:r w:rsidRPr="00EE74FF">
        <w:t>peisk nivå. Därigenom kan resurser samlas för att bedriva avancerad forskning på så komplexa områden som havets ekosystem. I forskningsr</w:t>
      </w:r>
      <w:r w:rsidRPr="00EE74FF">
        <w:t>å</w:t>
      </w:r>
      <w:r w:rsidRPr="00EE74FF">
        <w:t>den ska</w:t>
      </w:r>
      <w:r w:rsidR="00E20EEC" w:rsidRPr="00EE74FF">
        <w:t>ll</w:t>
      </w:r>
      <w:r w:rsidRPr="00EE74FF">
        <w:t xml:space="preserve"> representanter för forskarsamhälle</w:t>
      </w:r>
      <w:r w:rsidR="000A7BB5" w:rsidRPr="00EE74FF">
        <w:t>t ha det avgörande inflytandet. P</w:t>
      </w:r>
      <w:r w:rsidRPr="00EE74FF">
        <w:t>rior</w:t>
      </w:r>
      <w:r w:rsidRPr="00EE74FF">
        <w:t>i</w:t>
      </w:r>
      <w:r w:rsidRPr="00EE74FF">
        <w:t xml:space="preserve">teringar </w:t>
      </w:r>
      <w:r w:rsidR="000A7BB5" w:rsidRPr="00EE74FF">
        <w:t xml:space="preserve">bör </w:t>
      </w:r>
      <w:r w:rsidRPr="00EE74FF">
        <w:t>genomför</w:t>
      </w:r>
      <w:r w:rsidR="00E20EEC" w:rsidRPr="00EE74FF">
        <w:t>a</w:t>
      </w:r>
      <w:r w:rsidRPr="00EE74FF">
        <w:t>s så att EU:s forskningsresurser satsas på stora flern</w:t>
      </w:r>
      <w:r w:rsidRPr="00EE74FF">
        <w:t>a</w:t>
      </w:r>
      <w:r w:rsidRPr="00EE74FF">
        <w:t>tionella projekt, som är svåra att finansiera för ett e</w:t>
      </w:r>
      <w:r w:rsidRPr="00EE74FF">
        <w:t>n</w:t>
      </w:r>
      <w:r w:rsidRPr="00EE74FF">
        <w:t xml:space="preserve">skilt land. </w:t>
      </w:r>
      <w:r w:rsidR="00B71B0A" w:rsidRPr="00EE74FF">
        <w:t>Detta bör ges regeringen till känna.</w:t>
      </w:r>
    </w:p>
    <w:p w:rsidR="00363DF9" w:rsidRPr="00EE74FF" w:rsidRDefault="006B7DF2" w:rsidP="008C0AF9">
      <w:pPr>
        <w:pStyle w:val="Rubrik1"/>
      </w:pPr>
      <w:bookmarkStart w:id="98" w:name="_Toc115610289"/>
      <w:bookmarkStart w:id="99" w:name="_Toc115610302"/>
      <w:bookmarkStart w:id="100" w:name="_Toc115619606"/>
      <w:bookmarkStart w:id="101" w:name="_Toc115620146"/>
      <w:bookmarkStart w:id="102" w:name="_Toc115623209"/>
      <w:bookmarkStart w:id="103" w:name="_Toc115670970"/>
      <w:bookmarkStart w:id="104" w:name="_Toc115671128"/>
      <w:bookmarkStart w:id="105" w:name="_Toc115678465"/>
      <w:bookmarkStart w:id="106" w:name="_Toc115852375"/>
      <w:r w:rsidRPr="00EE74FF">
        <w:t>Bevarande och hållbart nyttjande</w:t>
      </w:r>
      <w:bookmarkEnd w:id="98"/>
      <w:bookmarkEnd w:id="99"/>
      <w:bookmarkEnd w:id="100"/>
      <w:bookmarkEnd w:id="101"/>
      <w:bookmarkEnd w:id="102"/>
      <w:bookmarkEnd w:id="103"/>
      <w:bookmarkEnd w:id="104"/>
      <w:bookmarkEnd w:id="105"/>
      <w:bookmarkEnd w:id="106"/>
    </w:p>
    <w:p w:rsidR="00363DF9" w:rsidRPr="00EE74FF" w:rsidRDefault="00363DF9" w:rsidP="008C0AF9">
      <w:r w:rsidRPr="00EE74FF">
        <w:t xml:space="preserve">Som bekant sammanfaller ofta nyttjandeintresset med bevarandeintresset när det gäller förvaltningen av de marina naturresurserna. </w:t>
      </w:r>
      <w:r w:rsidR="000668EF" w:rsidRPr="00EE74FF">
        <w:t>För att på bästa sätt ta vara på möjliga synergier krävs upparbetade former för samråd och involv</w:t>
      </w:r>
      <w:r w:rsidR="000668EF" w:rsidRPr="00EE74FF">
        <w:t>e</w:t>
      </w:r>
      <w:r w:rsidR="000668EF" w:rsidRPr="00EE74FF">
        <w:t xml:space="preserve">ring av olika intressenter och brukare. </w:t>
      </w:r>
    </w:p>
    <w:p w:rsidR="000A4ED7" w:rsidRPr="00EE74FF" w:rsidRDefault="000A4ED7" w:rsidP="008C0AF9">
      <w:pPr>
        <w:pStyle w:val="Rubrik2"/>
      </w:pPr>
      <w:bookmarkStart w:id="107" w:name="_Toc115610290"/>
      <w:bookmarkStart w:id="108" w:name="_Toc115610303"/>
      <w:bookmarkStart w:id="109" w:name="_Toc115619607"/>
      <w:bookmarkStart w:id="110" w:name="_Toc115620147"/>
      <w:bookmarkStart w:id="111" w:name="_Toc115623210"/>
      <w:bookmarkStart w:id="112" w:name="_Toc115670971"/>
      <w:bookmarkStart w:id="113" w:name="_Toc115671129"/>
      <w:bookmarkStart w:id="114" w:name="_Toc115678466"/>
      <w:bookmarkStart w:id="115" w:name="_Toc115852376"/>
      <w:r w:rsidRPr="00EE74FF">
        <w:t>Hållbart fiske</w:t>
      </w:r>
      <w:bookmarkEnd w:id="107"/>
      <w:bookmarkEnd w:id="108"/>
      <w:bookmarkEnd w:id="109"/>
      <w:bookmarkEnd w:id="110"/>
      <w:bookmarkEnd w:id="111"/>
      <w:bookmarkEnd w:id="112"/>
      <w:bookmarkEnd w:id="113"/>
      <w:bookmarkEnd w:id="114"/>
      <w:bookmarkEnd w:id="115"/>
    </w:p>
    <w:p w:rsidR="005537D5" w:rsidRPr="00EE74FF" w:rsidRDefault="000A4ED7" w:rsidP="008C0AF9">
      <w:r w:rsidRPr="00EE74FF">
        <w:t>Regeringen lyfter fram problemet med utkast av bifångster av fisk. Tyvärr har man in</w:t>
      </w:r>
      <w:r w:rsidRPr="00EE74FF">
        <w:t>g</w:t>
      </w:r>
      <w:r w:rsidRPr="00EE74FF">
        <w:t xml:space="preserve">en bra idé om hur problemet skall lösas. Det behövs en reformering av kvotsystemet så att incitamenten att kasta fisk i havet försvinner. </w:t>
      </w:r>
      <w:r w:rsidR="005537D5" w:rsidRPr="00EE74FF">
        <w:t>För att inte överskrida sina kvoter tvingas kustfiskarna därför att kasta stora mängder död fisk av fel arttillhörighet tillbaka i havet. Detta är ett slöseri med fisker</w:t>
      </w:r>
      <w:r w:rsidR="005537D5" w:rsidRPr="00EE74FF">
        <w:t>e</w:t>
      </w:r>
      <w:r w:rsidR="005537D5" w:rsidRPr="00EE74FF">
        <w:t>surserna. Samma förhållanden gäller inom hela EU. Även om syftet med kvotsystem är att bevara arter kommer, om inget görs åt det beskrivna resur</w:t>
      </w:r>
      <w:r w:rsidR="005537D5" w:rsidRPr="00EE74FF">
        <w:t>s</w:t>
      </w:r>
      <w:r w:rsidR="005537D5" w:rsidRPr="00EE74FF">
        <w:t xml:space="preserve">slöseriet, en snabbare utarmning av havets resurser att ske. </w:t>
      </w:r>
    </w:p>
    <w:p w:rsidR="005537D5" w:rsidRPr="00EE74FF" w:rsidRDefault="005537D5" w:rsidP="008C0AF9">
      <w:pPr>
        <w:pStyle w:val="Normaltindrag"/>
      </w:pPr>
      <w:r w:rsidRPr="00EE74FF">
        <w:t>Det är svårt att se hur ett förbud mot dumpning av fisk i havet skall kunna upprätthå</w:t>
      </w:r>
      <w:r w:rsidRPr="00EE74FF">
        <w:t>l</w:t>
      </w:r>
      <w:r w:rsidRPr="00EE74FF">
        <w:t>las inom nuvarande kvotsystem. Kristdemokraterna föreslår att reglerna ändras så att de artspecifika kvoterna för kustfisket avskaffas och att fiskarna i</w:t>
      </w:r>
      <w:r w:rsidR="00F848CD" w:rsidRPr="00EE74FF">
        <w:t xml:space="preserve"> </w:t>
      </w:r>
      <w:r w:rsidRPr="00EE74FF">
        <w:t>stället med selektiva re</w:t>
      </w:r>
      <w:r w:rsidRPr="00EE74FF">
        <w:t>d</w:t>
      </w:r>
      <w:r w:rsidRPr="00EE74FF">
        <w:t>skap kan fiska ett begrä</w:t>
      </w:r>
      <w:r w:rsidR="00A03AAC" w:rsidRPr="00EE74FF">
        <w:t>nsat antal dagar och få landa</w:t>
      </w:r>
      <w:r w:rsidRPr="00EE74FF">
        <w:t xml:space="preserve"> för försäljning det som kommer i trålen. Det totala antalet tilldelade fiskedagar får ej överskrida vad fiskbestånden lån</w:t>
      </w:r>
      <w:r w:rsidRPr="00EE74FF">
        <w:t>g</w:t>
      </w:r>
      <w:r w:rsidRPr="00EE74FF">
        <w:t>siktigt kan tåla eller den sammanlagda kvot som Sverige erhållit för respektive art. Erf</w:t>
      </w:r>
      <w:r w:rsidRPr="00EE74FF">
        <w:t>a</w:t>
      </w:r>
      <w:r w:rsidRPr="00EE74FF">
        <w:t>renheter från liknande system i exempelvis Danmark bör tas till vara. Även på Färöarna fiskar man enligt denna modell, och det har slagit mycket väl ut. Tidigare förde fiskarna där endast iland de</w:t>
      </w:r>
      <w:r w:rsidR="0033212B" w:rsidRPr="00EE74FF">
        <w:t xml:space="preserve"> största fiskar som de fick upp;</w:t>
      </w:r>
      <w:r w:rsidRPr="00EE74FF">
        <w:t xml:space="preserve"> numera tar de i</w:t>
      </w:r>
      <w:r w:rsidR="0033212B" w:rsidRPr="00EE74FF">
        <w:t xml:space="preserve"> </w:t>
      </w:r>
      <w:r w:rsidRPr="00EE74FF">
        <w:t>land allt de får i trålen och begränsningen ligger i</w:t>
      </w:r>
      <w:r w:rsidR="00F848CD" w:rsidRPr="00EE74FF">
        <w:t xml:space="preserve"> </w:t>
      </w:r>
      <w:r w:rsidRPr="00EE74FF">
        <w:t xml:space="preserve">stället i antal dagar till havs. </w:t>
      </w:r>
      <w:r w:rsidR="00A03AAC" w:rsidRPr="00EE74FF">
        <w:t>Selektiva redskap ska</w:t>
      </w:r>
      <w:r w:rsidR="00F848CD" w:rsidRPr="00EE74FF">
        <w:t>ll</w:t>
      </w:r>
      <w:r w:rsidR="00A03AAC" w:rsidRPr="00EE74FF">
        <w:t xml:space="preserve"> naturligtvis användas i största möjliga utsträc</w:t>
      </w:r>
      <w:r w:rsidR="00A03AAC" w:rsidRPr="00EE74FF">
        <w:t>k</w:t>
      </w:r>
      <w:r w:rsidR="00A03AAC" w:rsidRPr="00EE74FF">
        <w:t>ning.</w:t>
      </w:r>
    </w:p>
    <w:p w:rsidR="00B01705" w:rsidRPr="00EE74FF" w:rsidRDefault="005537D5" w:rsidP="008C0AF9">
      <w:pPr>
        <w:pStyle w:val="Normaltindrag"/>
      </w:pPr>
      <w:r w:rsidRPr="00EE74FF">
        <w:t>Fiskenäringens delaktighet i förvaltningen måste ta sig konkreta former och näringens företrädare måste få ett faktiskt inflytande över hur kvoter och ransoner fördelas. Fo</w:t>
      </w:r>
      <w:r w:rsidRPr="00EE74FF">
        <w:t>r</w:t>
      </w:r>
      <w:r w:rsidRPr="00EE74FF">
        <w:t xml:space="preserve">mer för lokal förvaltning bör utvecklas där näringens företrädare har en stark ställning. </w:t>
      </w:r>
    </w:p>
    <w:p w:rsidR="00B61970" w:rsidRPr="00EE74FF" w:rsidRDefault="00B61970" w:rsidP="008C0AF9">
      <w:pPr>
        <w:pStyle w:val="Normaltindrag"/>
      </w:pPr>
      <w:r w:rsidRPr="00EE74FF">
        <w:t>Arbetet med miljömärkning av fisk, som lyfts fram av Havsmiljökommi</w:t>
      </w:r>
      <w:r w:rsidRPr="00EE74FF">
        <w:t>s</w:t>
      </w:r>
      <w:r w:rsidRPr="00EE74FF">
        <w:t>sionen, b</w:t>
      </w:r>
      <w:r w:rsidRPr="00EE74FF">
        <w:t>e</w:t>
      </w:r>
      <w:r w:rsidRPr="00EE74FF">
        <w:t xml:space="preserve">rörs inte i skrivelsen. Det är beklagligt eftersom konsumenterna har en viktig roll i allt miljöarbete. Fiskeriverket, fiskerinäringen och </w:t>
      </w:r>
      <w:r w:rsidR="0033212B" w:rsidRPr="00EE74FF">
        <w:t xml:space="preserve">Krav </w:t>
      </w:r>
      <w:r w:rsidRPr="00EE74FF">
        <w:t>driver ett projekt kring miljömär</w:t>
      </w:r>
      <w:r w:rsidRPr="00EE74FF">
        <w:t>k</w:t>
      </w:r>
      <w:r w:rsidRPr="00EE74FF">
        <w:t>ning av fisk. Miljömärkta räkor produceras nu på flera ställen i Sverige.</w:t>
      </w:r>
    </w:p>
    <w:p w:rsidR="00B61970" w:rsidRPr="00EE74FF" w:rsidRDefault="00A03AAC" w:rsidP="008C0AF9">
      <w:pPr>
        <w:pStyle w:val="Normaltindrag"/>
      </w:pPr>
      <w:r w:rsidRPr="00EE74FF">
        <w:t xml:space="preserve">Regeringen bör aktivt medverka till </w:t>
      </w:r>
      <w:r w:rsidR="00BC6BD1" w:rsidRPr="00EE74FF">
        <w:t>att ett fungerande miljömärkning</w:t>
      </w:r>
      <w:r w:rsidR="00B61970" w:rsidRPr="00EE74FF">
        <w:t>ss</w:t>
      </w:r>
      <w:r w:rsidR="00B61970" w:rsidRPr="00EE74FF">
        <w:t>y</w:t>
      </w:r>
      <w:r w:rsidR="00BC6BD1" w:rsidRPr="00EE74FF">
        <w:t>s</w:t>
      </w:r>
      <w:r w:rsidR="00B61970" w:rsidRPr="00EE74FF">
        <w:t>tem för fisk etableras. Detta bör ges regeringen till känna.</w:t>
      </w:r>
    </w:p>
    <w:p w:rsidR="009724D5" w:rsidRPr="00EE74FF" w:rsidRDefault="00C76763" w:rsidP="008C0AF9">
      <w:pPr>
        <w:pStyle w:val="Rubrik3"/>
      </w:pPr>
      <w:bookmarkStart w:id="116" w:name="_Toc115623211"/>
      <w:bookmarkStart w:id="117" w:name="_Toc115670972"/>
      <w:bookmarkStart w:id="118" w:name="_Toc115671130"/>
      <w:bookmarkStart w:id="119" w:name="_Toc115678467"/>
      <w:bookmarkStart w:id="120" w:name="_Toc115852377"/>
      <w:r w:rsidRPr="00EE74FF">
        <w:t>Kompletterande arbetsuppgifter för yrkesfiskare</w:t>
      </w:r>
      <w:bookmarkEnd w:id="116"/>
      <w:bookmarkEnd w:id="117"/>
      <w:bookmarkEnd w:id="118"/>
      <w:bookmarkEnd w:id="119"/>
      <w:bookmarkEnd w:id="120"/>
    </w:p>
    <w:p w:rsidR="00C76763" w:rsidRPr="00EE74FF" w:rsidRDefault="00C76763" w:rsidP="008C0AF9">
      <w:pPr>
        <w:rPr>
          <w:b/>
        </w:rPr>
      </w:pPr>
      <w:r w:rsidRPr="00EE74FF">
        <w:t>Vid tillfälliga avbrott i fisket borde yrkesfiskare erbjudas möjlighet att dragga upp s.k. spökgarn, liksom att utföra provfiske och delta i miljövårdsinsatser. De har förutom b</w:t>
      </w:r>
      <w:r w:rsidRPr="00EE74FF">
        <w:t>å</w:t>
      </w:r>
      <w:r w:rsidRPr="00EE74FF">
        <w:t>tar såväl utrustning och kunskap som den erfaren</w:t>
      </w:r>
      <w:r w:rsidR="00F848CD" w:rsidRPr="00EE74FF">
        <w:t>het som krävs för detta. Fiskar</w:t>
      </w:r>
      <w:r w:rsidRPr="00EE74FF">
        <w:t>na har i</w:t>
      </w:r>
      <w:r w:rsidR="00F848CD" w:rsidRPr="00EE74FF">
        <w:t xml:space="preserve"> </w:t>
      </w:r>
      <w:r w:rsidRPr="00EE74FF">
        <w:t>dag möjlighet att fiska upp dessa garn mot ekonomisk ersättning som kommer dels från staten</w:t>
      </w:r>
      <w:r w:rsidR="0033212B" w:rsidRPr="00EE74FF">
        <w:t>,</w:t>
      </w:r>
      <w:r w:rsidRPr="00EE74FF">
        <w:t xml:space="preserve"> dels från EU:s struktu</w:t>
      </w:r>
      <w:r w:rsidRPr="00EE74FF">
        <w:t>r</w:t>
      </w:r>
      <w:r w:rsidRPr="00EE74FF">
        <w:t>fonder. Regeringen anser att detta bör utredas ytterligare. Kr</w:t>
      </w:r>
      <w:r w:rsidR="0064007A" w:rsidRPr="00EE74FF">
        <w:t>is</w:t>
      </w:r>
      <w:r w:rsidRPr="00EE74FF">
        <w:t xml:space="preserve">tdemokraterna anser i stället att dessa planer genast bör sättas i verket. </w:t>
      </w:r>
    </w:p>
    <w:p w:rsidR="00836765" w:rsidRPr="00EE74FF" w:rsidRDefault="00836765" w:rsidP="008C0AF9">
      <w:pPr>
        <w:pStyle w:val="Rubrik2"/>
      </w:pPr>
      <w:bookmarkStart w:id="121" w:name="_Toc115610291"/>
      <w:bookmarkStart w:id="122" w:name="_Toc115610304"/>
      <w:bookmarkStart w:id="123" w:name="_Toc115619608"/>
      <w:bookmarkStart w:id="124" w:name="_Toc115620148"/>
      <w:bookmarkStart w:id="125" w:name="_Toc115623212"/>
      <w:bookmarkStart w:id="126" w:name="_Toc115670973"/>
      <w:bookmarkStart w:id="127" w:name="_Toc115671131"/>
      <w:bookmarkStart w:id="128" w:name="_Toc115678468"/>
      <w:bookmarkStart w:id="129" w:name="_Toc115852378"/>
      <w:r w:rsidRPr="00EE74FF">
        <w:t>Hållbar sjöfart</w:t>
      </w:r>
      <w:bookmarkEnd w:id="121"/>
      <w:bookmarkEnd w:id="122"/>
      <w:bookmarkEnd w:id="123"/>
      <w:bookmarkEnd w:id="124"/>
      <w:bookmarkEnd w:id="125"/>
      <w:bookmarkEnd w:id="126"/>
      <w:bookmarkEnd w:id="127"/>
      <w:bookmarkEnd w:id="128"/>
      <w:bookmarkEnd w:id="129"/>
    </w:p>
    <w:p w:rsidR="0083393E" w:rsidRPr="00EE74FF" w:rsidRDefault="0083393E" w:rsidP="008C0AF9">
      <w:r w:rsidRPr="00EE74FF">
        <w:t>Regeringen skriver att risken för oljeutsläpp vid fartygsolyckor är det mest påtagliga hotet mot de svenska haven. Då kan man tycka att detta borde pri</w:t>
      </w:r>
      <w:r w:rsidRPr="00EE74FF">
        <w:t>o</w:t>
      </w:r>
      <w:r w:rsidRPr="00EE74FF">
        <w:t>riteras tydligare. Å</w:t>
      </w:r>
      <w:r w:rsidRPr="00EE74FF">
        <w:t>t</w:t>
      </w:r>
      <w:r w:rsidRPr="00EE74FF">
        <w:t xml:space="preserve">gärder som </w:t>
      </w:r>
      <w:r w:rsidR="00C23717" w:rsidRPr="00EE74FF">
        <w:t xml:space="preserve">genast bör verkställas är </w:t>
      </w:r>
      <w:r w:rsidRPr="00EE74FF">
        <w:t xml:space="preserve">krav på lotsplikt i </w:t>
      </w:r>
      <w:bookmarkStart w:id="130" w:name="_Toc115610292"/>
      <w:bookmarkStart w:id="131" w:name="_Toc115610305"/>
      <w:r w:rsidR="0064007A" w:rsidRPr="00EE74FF">
        <w:t>Bornholmsgattet och att</w:t>
      </w:r>
      <w:r w:rsidRPr="00EE74FF">
        <w:t xml:space="preserve"> all fa</w:t>
      </w:r>
      <w:r w:rsidRPr="00EE74FF">
        <w:t>r</w:t>
      </w:r>
      <w:r w:rsidRPr="00EE74FF">
        <w:t>tygstrafik flyttas söder och öster om Hoburgs bank.</w:t>
      </w:r>
      <w:r w:rsidR="00C23717" w:rsidRPr="00EE74FF">
        <w:t xml:space="preserve"> Detta bör ges regeringen till känna.</w:t>
      </w:r>
      <w:r w:rsidRPr="00EE74FF">
        <w:t xml:space="preserve"> Det är beklagligt att regeringen valt en minimalistisk väg när det gäller </w:t>
      </w:r>
      <w:r w:rsidR="00AC4E42" w:rsidRPr="00EE74FF">
        <w:t xml:space="preserve">tolkningen av vilka krav som kan ställas i samband med en PSSA-ansökan. Sålunda har man hävdat att </w:t>
      </w:r>
      <w:r w:rsidRPr="00EE74FF">
        <w:t>åtgärder avs</w:t>
      </w:r>
      <w:r w:rsidRPr="00EE74FF">
        <w:t>e</w:t>
      </w:r>
      <w:r w:rsidRPr="00EE74FF">
        <w:t>ende krav på fartygskonstruktion, besättningars utbildning och ekon</w:t>
      </w:r>
      <w:r w:rsidRPr="00EE74FF">
        <w:t>o</w:t>
      </w:r>
      <w:r w:rsidRPr="00EE74FF">
        <w:t xml:space="preserve">miskt ansvar för skador inte </w:t>
      </w:r>
      <w:r w:rsidR="00AC4E42" w:rsidRPr="00EE74FF">
        <w:t xml:space="preserve">varit </w:t>
      </w:r>
      <w:r w:rsidRPr="00EE74FF">
        <w:t xml:space="preserve">förenliga med vad som kan innefattas i PSSA-anknutna skyddsåtgärder. </w:t>
      </w:r>
      <w:r w:rsidR="00AC4E42" w:rsidRPr="00EE74FF">
        <w:t>Därigenom kom sådana krav att saknas i den ans</w:t>
      </w:r>
      <w:r w:rsidR="00AC4E42" w:rsidRPr="00EE74FF">
        <w:t>ö</w:t>
      </w:r>
      <w:r w:rsidR="00AC4E42" w:rsidRPr="00EE74FF">
        <w:t xml:space="preserve">kan som Sverige och de andra östersjöländerna (utom Ryssland) skickade in. </w:t>
      </w:r>
      <w:r w:rsidR="009B35C9" w:rsidRPr="00EE74FF">
        <w:t>I stället anser man i skrivelsen att ytterligare åtgärder ska</w:t>
      </w:r>
      <w:r w:rsidR="00111A1A" w:rsidRPr="00EE74FF">
        <w:t>ll</w:t>
      </w:r>
      <w:r w:rsidR="009B35C9" w:rsidRPr="00EE74FF">
        <w:t xml:space="preserve"> komplettera PSSA-definitionen senare. </w:t>
      </w:r>
      <w:r w:rsidR="00AC4E42" w:rsidRPr="00EE74FF">
        <w:t>En såda</w:t>
      </w:r>
      <w:r w:rsidR="006D7270" w:rsidRPr="00EE74FF">
        <w:t>n minimal</w:t>
      </w:r>
      <w:r w:rsidR="0064007A" w:rsidRPr="00EE74FF">
        <w:t xml:space="preserve">istisk tolkning är beklaglig och inte oomstridd. </w:t>
      </w:r>
    </w:p>
    <w:p w:rsidR="0083393E" w:rsidRPr="00EE74FF" w:rsidRDefault="00AC4E42" w:rsidP="008C0AF9">
      <w:pPr>
        <w:pStyle w:val="Normaltindrag"/>
      </w:pPr>
      <w:r w:rsidRPr="00EE74FF">
        <w:t xml:space="preserve">Ett annat exempel på bristande prioritering av skyddet mot oljeutsläpp är det faktum att regeringen </w:t>
      </w:r>
      <w:r w:rsidR="0083393E" w:rsidRPr="00EE74FF">
        <w:t>ännu inte på ett tillfredsställande sätt klarat av att inrätta det system av nödhamnar som EU beslutat om (</w:t>
      </w:r>
      <w:r w:rsidR="0083393E" w:rsidRPr="00EE74FF">
        <w:rPr>
          <w:szCs w:val="24"/>
        </w:rPr>
        <w:t>direktiv 2002/59/EG).</w:t>
      </w:r>
      <w:r w:rsidR="0083393E" w:rsidRPr="00EE74FF">
        <w:t xml:space="preserve"> Det handlar om att peka ut pla</w:t>
      </w:r>
      <w:r w:rsidR="0083393E" w:rsidRPr="00EE74FF">
        <w:t>t</w:t>
      </w:r>
      <w:r w:rsidR="0083393E" w:rsidRPr="00EE74FF">
        <w:t>ser di</w:t>
      </w:r>
      <w:r w:rsidR="009B35C9" w:rsidRPr="00EE74FF">
        <w:t>t havererade fartyg kan</w:t>
      </w:r>
      <w:r w:rsidR="0083393E" w:rsidRPr="00EE74FF">
        <w:t xml:space="preserve"> bärgas för att förhindra att exempelvis en last av olja rinner ut i havet och sprider sig längs en större kuststräcka. Riksdagen bör tillkännage för regeringen som sin m</w:t>
      </w:r>
      <w:r w:rsidR="0083393E" w:rsidRPr="00EE74FF">
        <w:t>e</w:t>
      </w:r>
      <w:r w:rsidR="0083393E" w:rsidRPr="00EE74FF">
        <w:t xml:space="preserve">ning att lämpliga nödhamnar längs Sveriges kuster skall anges i enlighet med vad man kommit överens om inom EU.  </w:t>
      </w:r>
    </w:p>
    <w:p w:rsidR="00C23717" w:rsidRPr="00EE74FF" w:rsidRDefault="00F045E4" w:rsidP="008C0AF9">
      <w:pPr>
        <w:pStyle w:val="Normaltindrag"/>
      </w:pPr>
      <w:r w:rsidRPr="00EE74FF">
        <w:t xml:space="preserve">Sverige bör inom </w:t>
      </w:r>
      <w:r w:rsidR="00111A1A" w:rsidRPr="00EE74FF">
        <w:t xml:space="preserve">Helcom </w:t>
      </w:r>
      <w:r w:rsidRPr="00EE74FF">
        <w:t>och EU driva frågor om gemensam katastrofb</w:t>
      </w:r>
      <w:r w:rsidRPr="00EE74FF">
        <w:t>e</w:t>
      </w:r>
      <w:r w:rsidRPr="00EE74FF">
        <w:t xml:space="preserve">redskap vid fartygsolyckor. Fartyg för räddningsinsatser och oljesanering måste snabbt kunna vara på plats </w:t>
      </w:r>
      <w:r w:rsidR="00111A1A" w:rsidRPr="00EE74FF">
        <w:t xml:space="preserve">från </w:t>
      </w:r>
      <w:r w:rsidRPr="00EE74FF">
        <w:t xml:space="preserve">flera länder om en större olycka skulle inträffa. Detta bör ges regeringen till känna. </w:t>
      </w:r>
    </w:p>
    <w:p w:rsidR="00943C11" w:rsidRPr="00EE74FF" w:rsidRDefault="00943C11" w:rsidP="008C0AF9">
      <w:pPr>
        <w:pStyle w:val="Rubrik2"/>
      </w:pPr>
      <w:bookmarkStart w:id="132" w:name="_Toc115619609"/>
      <w:bookmarkStart w:id="133" w:name="_Toc115620149"/>
      <w:bookmarkStart w:id="134" w:name="_Toc115623213"/>
      <w:bookmarkStart w:id="135" w:name="_Toc115670974"/>
      <w:bookmarkStart w:id="136" w:name="_Toc115671132"/>
      <w:bookmarkStart w:id="137" w:name="_Toc115678469"/>
      <w:bookmarkStart w:id="138" w:name="_Toc115852379"/>
      <w:r w:rsidRPr="00EE74FF">
        <w:t>Utfasning av miljöfarliga motorer</w:t>
      </w:r>
      <w:bookmarkEnd w:id="130"/>
      <w:bookmarkEnd w:id="131"/>
      <w:bookmarkEnd w:id="132"/>
      <w:bookmarkEnd w:id="133"/>
      <w:bookmarkEnd w:id="134"/>
      <w:bookmarkEnd w:id="135"/>
      <w:bookmarkEnd w:id="136"/>
      <w:bookmarkEnd w:id="137"/>
      <w:bookmarkEnd w:id="138"/>
    </w:p>
    <w:p w:rsidR="00836765" w:rsidRPr="00EE74FF" w:rsidRDefault="00836765" w:rsidP="008C0AF9">
      <w:r w:rsidRPr="00EE74FF">
        <w:t>Regeringen skriver att man skall utarbeta en strategi för hur informationen om båtmot</w:t>
      </w:r>
      <w:r w:rsidRPr="00EE74FF">
        <w:t>o</w:t>
      </w:r>
      <w:r w:rsidRPr="00EE74FF">
        <w:t>rers miljöegenskaper skall förbättras och hur stimulera utbyte av mindre miljövänliga motorer som är i bruk.</w:t>
      </w:r>
      <w:r w:rsidR="001E49F3" w:rsidRPr="00EE74FF">
        <w:t xml:space="preserve"> </w:t>
      </w:r>
    </w:p>
    <w:p w:rsidR="00135706" w:rsidRPr="00EE74FF" w:rsidRDefault="001E49F3" w:rsidP="008C0AF9">
      <w:pPr>
        <w:pStyle w:val="Normaltindrag"/>
      </w:pPr>
      <w:r w:rsidRPr="00EE74FF">
        <w:t>Kristdemokraterna anser att det inte är ytterligare utredning som i första hand krävs utan snarare direkta åtgärder.</w:t>
      </w:r>
      <w:r w:rsidR="006D39F9" w:rsidRPr="00EE74FF">
        <w:t xml:space="preserve"> </w:t>
      </w:r>
      <w:r w:rsidR="00135706" w:rsidRPr="00EE74FF">
        <w:t>I Sverige finns 600 000 fritidsbåtar med utombordsmot</w:t>
      </w:r>
      <w:r w:rsidR="00135706" w:rsidRPr="00EE74FF">
        <w:t>o</w:t>
      </w:r>
      <w:r w:rsidR="00135706" w:rsidRPr="00EE74FF">
        <w:t>rer. Många av d</w:t>
      </w:r>
      <w:r w:rsidR="00111A1A" w:rsidRPr="00EE74FF">
        <w:t>essa är tvåtaktsmotorer, där 20–</w:t>
      </w:r>
      <w:r w:rsidR="00135706" w:rsidRPr="00EE74FF">
        <w:t>30 %</w:t>
      </w:r>
      <w:r w:rsidR="00111A1A" w:rsidRPr="00EE74FF">
        <w:t xml:space="preserve"> av bränslet släpps ut oförbränt</w:t>
      </w:r>
      <w:r w:rsidR="00135706" w:rsidRPr="00EE74FF">
        <w:t xml:space="preserve"> med avgaserna. Årligen släpps ca 14 000 ton polyaromatiska kolväten (PAH) ut från tvåtaktsmotorer i fritidsbåtar. PAH har sannolikt en skadlig effekt på fiskbestånden. Kristdemokraterna förordar därför att en skrotningspremie för äldre tvåtaktsmotorer skall finnas. </w:t>
      </w:r>
    </w:p>
    <w:p w:rsidR="00135706" w:rsidRPr="00EE74FF" w:rsidRDefault="00135706" w:rsidP="008C0AF9">
      <w:pPr>
        <w:pStyle w:val="Normaltindrag"/>
      </w:pPr>
      <w:r w:rsidRPr="00EE74FF">
        <w:t>Alkylatbensin minsk</w:t>
      </w:r>
      <w:r w:rsidR="00111A1A" w:rsidRPr="00EE74FF">
        <w:t>ar utsläppen av kolväten med 85–</w:t>
      </w:r>
      <w:r w:rsidRPr="00EE74FF">
        <w:t xml:space="preserve">90 </w:t>
      </w:r>
      <w:r w:rsidR="0033212B" w:rsidRPr="00EE74FF">
        <w:t>%</w:t>
      </w:r>
      <w:r w:rsidRPr="00EE74FF">
        <w:t xml:space="preserve"> och utslä</w:t>
      </w:r>
      <w:r w:rsidRPr="00EE74FF">
        <w:t>p</w:t>
      </w:r>
      <w:r w:rsidRPr="00EE74FF">
        <w:t>pen av kväve</w:t>
      </w:r>
      <w:r w:rsidR="00111A1A" w:rsidRPr="00EE74FF">
        <w:t>oxid med 30–</w:t>
      </w:r>
      <w:r w:rsidRPr="00EE74FF">
        <w:t xml:space="preserve">60 </w:t>
      </w:r>
      <w:r w:rsidR="0033212B" w:rsidRPr="00EE74FF">
        <w:t>%</w:t>
      </w:r>
      <w:r w:rsidRPr="00EE74FF">
        <w:t>. Det är bra att skatten på alkylatbensin som a</w:t>
      </w:r>
      <w:r w:rsidRPr="00EE74FF">
        <w:t>n</w:t>
      </w:r>
      <w:r w:rsidRPr="00EE74FF">
        <w:t>vänds i båtmotorer är lägre</w:t>
      </w:r>
      <w:r w:rsidR="006D059A" w:rsidRPr="00EE74FF">
        <w:t xml:space="preserve"> än annan bensin</w:t>
      </w:r>
      <w:r w:rsidRPr="00EE74FF">
        <w:t>.</w:t>
      </w:r>
      <w:r w:rsidR="006D059A" w:rsidRPr="00EE74FF">
        <w:t xml:space="preserve"> När det gäller en eventuell än</w:t>
      </w:r>
      <w:r w:rsidR="006D059A" w:rsidRPr="00EE74FF">
        <w:t>d</w:t>
      </w:r>
      <w:r w:rsidR="006D059A" w:rsidRPr="00EE74FF">
        <w:t>ring av alkylatspecifikationerna bör miljö, säkerhet och hälsa priorit</w:t>
      </w:r>
      <w:r w:rsidR="006D059A" w:rsidRPr="00EE74FF">
        <w:t>e</w:t>
      </w:r>
      <w:r w:rsidR="006D059A" w:rsidRPr="00EE74FF">
        <w:t>ras i första hand innan man gräver ner sig i ytterligare utredningar om EG:s rege</w:t>
      </w:r>
      <w:r w:rsidR="006D059A" w:rsidRPr="00EE74FF">
        <w:t>l</w:t>
      </w:r>
      <w:r w:rsidR="006D059A" w:rsidRPr="00EE74FF">
        <w:t>verk.</w:t>
      </w:r>
      <w:r w:rsidRPr="00EE74FF">
        <w:t xml:space="preserve"> </w:t>
      </w:r>
      <w:r w:rsidR="006D059A" w:rsidRPr="00EE74FF">
        <w:t>Det kan också nämnas att f</w:t>
      </w:r>
      <w:r w:rsidRPr="00EE74FF">
        <w:t>r</w:t>
      </w:r>
      <w:r w:rsidR="00111A1A" w:rsidRPr="00EE74FF">
        <w:t>.</w:t>
      </w:r>
      <w:r w:rsidRPr="00EE74FF">
        <w:t>o</w:t>
      </w:r>
      <w:r w:rsidR="00111A1A" w:rsidRPr="00EE74FF">
        <w:t>.</w:t>
      </w:r>
      <w:r w:rsidRPr="00EE74FF">
        <w:t>m</w:t>
      </w:r>
      <w:r w:rsidR="00111A1A" w:rsidRPr="00EE74FF">
        <w:t>.</w:t>
      </w:r>
      <w:r w:rsidRPr="00EE74FF">
        <w:t xml:space="preserve"> 2005 omfattas utombordsmot</w:t>
      </w:r>
      <w:r w:rsidRPr="00EE74FF">
        <w:t>o</w:t>
      </w:r>
      <w:r w:rsidRPr="00EE74FF">
        <w:t>rerna av EU:s ”fritidsbåtsdirektiv”, som ställer krav på begränsningar av a</w:t>
      </w:r>
      <w:r w:rsidRPr="00EE74FF">
        <w:t>v</w:t>
      </w:r>
      <w:r w:rsidRPr="00EE74FF">
        <w:t>gaser och buller.</w:t>
      </w:r>
      <w:r w:rsidR="006D059A" w:rsidRPr="00EE74FF">
        <w:t xml:space="preserve"> Detta måste också beaktas vid val av utformning av ska</w:t>
      </w:r>
      <w:r w:rsidR="006D059A" w:rsidRPr="00EE74FF">
        <w:t>t</w:t>
      </w:r>
      <w:r w:rsidR="006D059A" w:rsidRPr="00EE74FF">
        <w:t>ter och regler för fritidsbåtar och deras bränslen.</w:t>
      </w:r>
      <w:r w:rsidRPr="00EE74FF">
        <w:t xml:space="preserve"> </w:t>
      </w:r>
    </w:p>
    <w:p w:rsidR="001E49F3" w:rsidRPr="00EE74FF" w:rsidRDefault="001E49F3" w:rsidP="008C0AF9">
      <w:pPr>
        <w:pStyle w:val="Normaltindrag"/>
      </w:pPr>
      <w:r w:rsidRPr="00EE74FF">
        <w:t xml:space="preserve">Sedan 1989 arbetar Nordiska </w:t>
      </w:r>
      <w:r w:rsidR="00111A1A" w:rsidRPr="00EE74FF">
        <w:t xml:space="preserve">ministerrådet </w:t>
      </w:r>
      <w:r w:rsidRPr="00EE74FF">
        <w:t>med frivillig och positiv mi</w:t>
      </w:r>
      <w:r w:rsidRPr="00EE74FF">
        <w:t>l</w:t>
      </w:r>
      <w:r w:rsidRPr="00EE74FF">
        <w:t>jömärkning i Norden. Syftet är att stimulera en produktutveckling som tar hänsyn till miljö</w:t>
      </w:r>
      <w:r w:rsidR="00111A1A" w:rsidRPr="00EE74FF">
        <w:t>n. De kr</w:t>
      </w:r>
      <w:r w:rsidR="00111A1A" w:rsidRPr="00EE74FF">
        <w:t>i</w:t>
      </w:r>
      <w:r w:rsidR="00111A1A" w:rsidRPr="00EE74FF">
        <w:t>terier som skall gälla</w:t>
      </w:r>
      <w:r w:rsidRPr="00EE74FF">
        <w:t xml:space="preserve"> fastslås efter bedömning av miljöbelastningen under produkternas hela livscykel. I Sverige är det SIS Miljömärkning AB som arb</w:t>
      </w:r>
      <w:r w:rsidR="00111A1A" w:rsidRPr="00EE74FF">
        <w:t>etar med att miljömärka (Svanen</w:t>
      </w:r>
      <w:r w:rsidRPr="00EE74FF">
        <w:t>märkning) olika produkter. SIS har,</w:t>
      </w:r>
      <w:r w:rsidRPr="00EE74FF">
        <w:rPr>
          <w:snapToGrid w:val="0"/>
        </w:rPr>
        <w:t xml:space="preserve"> sedan år 1997, kriterier och licenser för gräsklippare. Kriterier finns också för arbetsmaskiner för park och trädgård samt uto</w:t>
      </w:r>
      <w:r w:rsidRPr="00EE74FF">
        <w:rPr>
          <w:snapToGrid w:val="0"/>
        </w:rPr>
        <w:t>m</w:t>
      </w:r>
      <w:r w:rsidRPr="00EE74FF">
        <w:rPr>
          <w:snapToGrid w:val="0"/>
        </w:rPr>
        <w:t>bordsmotorer. För närvarande är det endast för gräsklippare som några för</w:t>
      </w:r>
      <w:r w:rsidRPr="00EE74FF">
        <w:rPr>
          <w:snapToGrid w:val="0"/>
        </w:rPr>
        <w:t>e</w:t>
      </w:r>
      <w:r w:rsidRPr="00EE74FF">
        <w:rPr>
          <w:snapToGrid w:val="0"/>
        </w:rPr>
        <w:t xml:space="preserve">tag </w:t>
      </w:r>
      <w:r w:rsidR="00111A1A" w:rsidRPr="00EE74FF">
        <w:rPr>
          <w:snapToGrid w:val="0"/>
        </w:rPr>
        <w:t>har b</w:t>
      </w:r>
      <w:r w:rsidR="00111A1A" w:rsidRPr="00EE74FF">
        <w:rPr>
          <w:snapToGrid w:val="0"/>
        </w:rPr>
        <w:t>e</w:t>
      </w:r>
      <w:r w:rsidR="00111A1A" w:rsidRPr="00EE74FF">
        <w:rPr>
          <w:snapToGrid w:val="0"/>
        </w:rPr>
        <w:t>viljats licens för Svanen</w:t>
      </w:r>
      <w:r w:rsidRPr="00EE74FF">
        <w:rPr>
          <w:snapToGrid w:val="0"/>
        </w:rPr>
        <w:t>märkning. År 2004 var endast 6</w:t>
      </w:r>
      <w:r w:rsidR="00111A1A" w:rsidRPr="00EE74FF">
        <w:rPr>
          <w:snapToGrid w:val="0"/>
        </w:rPr>
        <w:t>–</w:t>
      </w:r>
      <w:r w:rsidRPr="00EE74FF">
        <w:rPr>
          <w:snapToGrid w:val="0"/>
        </w:rPr>
        <w:t xml:space="preserve">7 </w:t>
      </w:r>
      <w:r w:rsidR="0033212B" w:rsidRPr="00EE74FF">
        <w:rPr>
          <w:snapToGrid w:val="0"/>
        </w:rPr>
        <w:t>%</w:t>
      </w:r>
      <w:r w:rsidRPr="00EE74FF">
        <w:rPr>
          <w:snapToGrid w:val="0"/>
        </w:rPr>
        <w:t xml:space="preserve"> av de sålda gräskli</w:t>
      </w:r>
      <w:r w:rsidRPr="00EE74FF">
        <w:rPr>
          <w:snapToGrid w:val="0"/>
        </w:rPr>
        <w:t>p</w:t>
      </w:r>
      <w:r w:rsidRPr="00EE74FF">
        <w:rPr>
          <w:snapToGrid w:val="0"/>
        </w:rPr>
        <w:t>parna miljömärkta. (Källor: SIS Miljömärkning, konsult och branschservice, Klippo</w:t>
      </w:r>
      <w:r w:rsidR="00111A1A" w:rsidRPr="00EE74FF">
        <w:rPr>
          <w:snapToGrid w:val="0"/>
        </w:rPr>
        <w:t xml:space="preserve">.) </w:t>
      </w:r>
      <w:r w:rsidRPr="00EE74FF">
        <w:rPr>
          <w:snapToGrid w:val="0"/>
        </w:rPr>
        <w:t>De knappa resultaten visar på att det finns ett behov av en skärpt lagstiftning mot tv</w:t>
      </w:r>
      <w:r w:rsidRPr="00EE74FF">
        <w:rPr>
          <w:snapToGrid w:val="0"/>
        </w:rPr>
        <w:t>å</w:t>
      </w:r>
      <w:r w:rsidRPr="00EE74FF">
        <w:rPr>
          <w:snapToGrid w:val="0"/>
        </w:rPr>
        <w:t xml:space="preserve">taktsmotorer. </w:t>
      </w:r>
    </w:p>
    <w:p w:rsidR="001E49F3" w:rsidRPr="00EE74FF" w:rsidRDefault="001E49F3" w:rsidP="008C0AF9">
      <w:pPr>
        <w:pStyle w:val="Normaltindrag"/>
        <w:rPr>
          <w:b/>
        </w:rPr>
      </w:pPr>
      <w:r w:rsidRPr="00EE74FF">
        <w:t xml:space="preserve">Ett införande av en skrotningspremie för äldre båtmotorer och gräsklippare skulle vara en effektiv miljöförbättrande åtgärd som på kort tid miljömässigt skulle löna sig. </w:t>
      </w:r>
    </w:p>
    <w:p w:rsidR="00C914B1" w:rsidRPr="00EE74FF" w:rsidRDefault="00C914B1" w:rsidP="00422369">
      <w:pPr>
        <w:pStyle w:val="Rubrik1"/>
      </w:pPr>
      <w:bookmarkStart w:id="139" w:name="_Toc115610295"/>
      <w:bookmarkStart w:id="140" w:name="_Toc115610309"/>
      <w:bookmarkStart w:id="141" w:name="_Toc115619610"/>
      <w:bookmarkStart w:id="142" w:name="_Toc115620150"/>
      <w:bookmarkStart w:id="143" w:name="_Toc115623214"/>
      <w:bookmarkStart w:id="144" w:name="_Toc115670975"/>
      <w:bookmarkStart w:id="145" w:name="_Toc115671133"/>
      <w:bookmarkStart w:id="146" w:name="_Toc115678470"/>
      <w:bookmarkStart w:id="147" w:name="_Toc115852380"/>
      <w:r w:rsidRPr="00EE74FF">
        <w:t>Havsbaserad energiproduktion</w:t>
      </w:r>
      <w:bookmarkEnd w:id="139"/>
      <w:bookmarkEnd w:id="140"/>
      <w:bookmarkEnd w:id="141"/>
      <w:bookmarkEnd w:id="142"/>
      <w:bookmarkEnd w:id="143"/>
      <w:bookmarkEnd w:id="144"/>
      <w:bookmarkEnd w:id="145"/>
      <w:bookmarkEnd w:id="146"/>
      <w:bookmarkEnd w:id="147"/>
    </w:p>
    <w:p w:rsidR="00C914B1" w:rsidRPr="00EE74FF" w:rsidRDefault="00C914B1" w:rsidP="00422369">
      <w:pPr>
        <w:pStyle w:val="Rubrik2"/>
        <w:spacing w:before="125"/>
      </w:pPr>
      <w:bookmarkStart w:id="148" w:name="_Toc115610296"/>
      <w:bookmarkStart w:id="149" w:name="_Toc115610310"/>
      <w:bookmarkStart w:id="150" w:name="_Toc115619611"/>
      <w:bookmarkStart w:id="151" w:name="_Toc115620151"/>
      <w:bookmarkStart w:id="152" w:name="_Toc115623215"/>
      <w:bookmarkStart w:id="153" w:name="_Toc115670976"/>
      <w:bookmarkStart w:id="154" w:name="_Toc115671134"/>
      <w:bookmarkStart w:id="155" w:name="_Toc115678471"/>
      <w:bookmarkStart w:id="156" w:name="_Toc115852381"/>
      <w:r w:rsidRPr="00EE74FF">
        <w:t>Vindkraft</w:t>
      </w:r>
      <w:bookmarkEnd w:id="148"/>
      <w:bookmarkEnd w:id="149"/>
      <w:bookmarkEnd w:id="150"/>
      <w:bookmarkEnd w:id="151"/>
      <w:bookmarkEnd w:id="152"/>
      <w:bookmarkEnd w:id="153"/>
      <w:bookmarkEnd w:id="154"/>
      <w:bookmarkEnd w:id="155"/>
      <w:bookmarkEnd w:id="156"/>
    </w:p>
    <w:p w:rsidR="00D17135" w:rsidRPr="00EE74FF" w:rsidRDefault="00D17135" w:rsidP="008C0AF9">
      <w:r w:rsidRPr="00EE74FF">
        <w:t>Mycket talar för att utbyggnaden av den havsbaserade vindkraften bör fortsä</w:t>
      </w:r>
      <w:r w:rsidRPr="00EE74FF">
        <w:t>t</w:t>
      </w:r>
      <w:r w:rsidRPr="00EE74FF">
        <w:t>ta. Olyckligtvis är de grunda havsområden som är mest lämpade för vin</w:t>
      </w:r>
      <w:r w:rsidRPr="00EE74FF">
        <w:t>d</w:t>
      </w:r>
      <w:r w:rsidRPr="00EE74FF">
        <w:t>kraftverk samtidigt vä</w:t>
      </w:r>
      <w:r w:rsidRPr="00EE74FF">
        <w:t>r</w:t>
      </w:r>
      <w:r w:rsidRPr="00EE74FF">
        <w:t>defulla områden för fiskbestånden. De områden där vindkraftverk kan byggas med minimal påverkan på miljö och fiske bör dä</w:t>
      </w:r>
      <w:r w:rsidRPr="00EE74FF">
        <w:t>r</w:t>
      </w:r>
      <w:r w:rsidRPr="00EE74FF">
        <w:t>för kartläggas och klassas som riksintressen för vindkraftsproduktion. Föru</w:t>
      </w:r>
      <w:r w:rsidRPr="00EE74FF">
        <w:t>t</w:t>
      </w:r>
      <w:r w:rsidRPr="00EE74FF">
        <w:t>sättningarna för vindkraftproduktion inom olika omr</w:t>
      </w:r>
      <w:r w:rsidRPr="00EE74FF">
        <w:t>å</w:t>
      </w:r>
      <w:r w:rsidRPr="00EE74FF">
        <w:t xml:space="preserve">den har utretts av olika myndigheter och Energimyndigheten har upprättat en karta över områden som bedöms vara av riksintresse för vindkraft. </w:t>
      </w:r>
    </w:p>
    <w:p w:rsidR="00D17135" w:rsidRPr="00EE74FF" w:rsidRDefault="00D17135" w:rsidP="008C0AF9">
      <w:pPr>
        <w:pStyle w:val="Normaltindrag"/>
      </w:pPr>
      <w:r w:rsidRPr="00EE74FF">
        <w:t>Kristdemokraterna anser att man bör sträva efter att bygga vindkraftverken på platser där så få människor som möjligt kan bli störda. Den nya generati</w:t>
      </w:r>
      <w:r w:rsidRPr="00EE74FF">
        <w:t>o</w:t>
      </w:r>
      <w:r w:rsidRPr="00EE74FF">
        <w:t>nens vi</w:t>
      </w:r>
      <w:r w:rsidR="00111A1A" w:rsidRPr="00EE74FF">
        <w:t>ndkraftverk med effekter på 3–</w:t>
      </w:r>
      <w:r w:rsidRPr="00EE74FF">
        <w:t xml:space="preserve">5 MW kan placeras upp till tio mil utanför kusten, utom synhåll från land. </w:t>
      </w:r>
    </w:p>
    <w:p w:rsidR="001E1FC9" w:rsidRPr="00EE74FF" w:rsidRDefault="001E1FC9" w:rsidP="008C0AF9">
      <w:pPr>
        <w:pStyle w:val="Normaltindrag"/>
      </w:pPr>
      <w:r w:rsidRPr="00EE74FF">
        <w:t>Tyvärr är de ekonomiska incitamenten i den svenska energipolitiken såd</w:t>
      </w:r>
      <w:r w:rsidRPr="00EE74FF">
        <w:t>a</w:t>
      </w:r>
      <w:r w:rsidRPr="00EE74FF">
        <w:t>na att någon vindkraftsutbyggnad i större skala knappast kommer till stånd. Annat är det i Danmark, som nu är världsledande inom vindkraftsindustrin.</w:t>
      </w:r>
    </w:p>
    <w:p w:rsidR="00D17135" w:rsidRPr="00EE74FF" w:rsidRDefault="00C914B1" w:rsidP="008C0AF9">
      <w:pPr>
        <w:pStyle w:val="Rubrik2"/>
      </w:pPr>
      <w:bookmarkStart w:id="157" w:name="_Toc115610297"/>
      <w:bookmarkStart w:id="158" w:name="_Toc115610311"/>
      <w:bookmarkStart w:id="159" w:name="_Toc115619612"/>
      <w:bookmarkStart w:id="160" w:name="_Toc115620152"/>
      <w:bookmarkStart w:id="161" w:name="_Toc115623216"/>
      <w:bookmarkStart w:id="162" w:name="_Toc115670977"/>
      <w:bookmarkStart w:id="163" w:name="_Toc115671135"/>
      <w:bookmarkStart w:id="164" w:name="_Toc115678472"/>
      <w:bookmarkStart w:id="165" w:name="_Toc115852382"/>
      <w:r w:rsidRPr="00EE74FF">
        <w:t>Vågkraft</w:t>
      </w:r>
      <w:bookmarkEnd w:id="157"/>
      <w:bookmarkEnd w:id="158"/>
      <w:bookmarkEnd w:id="159"/>
      <w:bookmarkEnd w:id="160"/>
      <w:bookmarkEnd w:id="161"/>
      <w:bookmarkEnd w:id="162"/>
      <w:bookmarkEnd w:id="163"/>
      <w:bookmarkEnd w:id="164"/>
      <w:bookmarkEnd w:id="165"/>
    </w:p>
    <w:p w:rsidR="00415DAF" w:rsidRPr="00EE74FF" w:rsidRDefault="009B35C9" w:rsidP="008C0AF9">
      <w:r w:rsidRPr="00EE74FF">
        <w:t xml:space="preserve">Vågkraften nämns bara i förbigående i regeringens skrivelse, trots att denna energikälla har stor potential. </w:t>
      </w:r>
      <w:r w:rsidR="00D17135" w:rsidRPr="00EE74FF">
        <w:t>Det finns flera olika koncept när det gäller vå</w:t>
      </w:r>
      <w:r w:rsidR="00D17135" w:rsidRPr="00EE74FF">
        <w:t>g</w:t>
      </w:r>
      <w:r w:rsidR="00D17135" w:rsidRPr="00EE74FF">
        <w:t>kraftverk. Vissa kan ha mycket begränsad miljöpåverkan eftersom det endast är en del av en boj som sticker upp ovanför vattenytan.</w:t>
      </w:r>
      <w:r w:rsidR="00415DAF" w:rsidRPr="00EE74FF">
        <w:t xml:space="preserve"> Själva generatorn </w:t>
      </w:r>
      <w:r w:rsidR="00D17135" w:rsidRPr="00EE74FF">
        <w:t xml:space="preserve">kan då stå </w:t>
      </w:r>
      <w:r w:rsidR="00415DAF" w:rsidRPr="00EE74FF">
        <w:t xml:space="preserve">på sådant djup att få miljökonsekvenser förväntas. </w:t>
      </w:r>
      <w:r w:rsidR="00D17135" w:rsidRPr="00EE74FF">
        <w:t>I</w:t>
      </w:r>
      <w:r w:rsidR="00111A1A" w:rsidRPr="00EE74FF">
        <w:t xml:space="preserve"> </w:t>
      </w:r>
      <w:r w:rsidR="00D17135" w:rsidRPr="00EE74FF">
        <w:t>dag pågår fors</w:t>
      </w:r>
      <w:r w:rsidR="00D17135" w:rsidRPr="00EE74FF">
        <w:t>k</w:t>
      </w:r>
      <w:r w:rsidR="00D17135" w:rsidRPr="00EE74FF">
        <w:t xml:space="preserve">ning kring bojarnas utformning </w:t>
      </w:r>
      <w:r w:rsidR="00415DAF" w:rsidRPr="00EE74FF">
        <w:t>i samråd mellan teknik och ekologi för att fåglar och fiskar ska</w:t>
      </w:r>
      <w:r w:rsidR="00111A1A" w:rsidRPr="00EE74FF">
        <w:t>ll</w:t>
      </w:r>
      <w:r w:rsidR="00415DAF" w:rsidRPr="00EE74FF">
        <w:t xml:space="preserve"> påverkas minimalt. </w:t>
      </w:r>
      <w:r w:rsidR="00D17135" w:rsidRPr="00EE74FF">
        <w:t>Även när det gäller p</w:t>
      </w:r>
      <w:r w:rsidR="00415DAF" w:rsidRPr="00EE74FF">
        <w:t xml:space="preserve">åverkan och åtgärder mot påväxt </w:t>
      </w:r>
      <w:r w:rsidR="00D17135" w:rsidRPr="00EE74FF">
        <w:t xml:space="preserve">på anläggningarna pågår forskning. </w:t>
      </w:r>
      <w:r w:rsidR="00652199" w:rsidRPr="00EE74FF">
        <w:t>Det finns också ko</w:t>
      </w:r>
      <w:r w:rsidR="00652199" w:rsidRPr="00EE74FF">
        <w:t>n</w:t>
      </w:r>
      <w:r w:rsidR="00652199" w:rsidRPr="00EE74FF">
        <w:t>cept med stora flytande anläggningar vid havsytan och fasta anläggningar vid ku</w:t>
      </w:r>
      <w:r w:rsidR="00652199" w:rsidRPr="00EE74FF">
        <w:t>s</w:t>
      </w:r>
      <w:r w:rsidR="00652199" w:rsidRPr="00EE74FF">
        <w:t>ten.</w:t>
      </w:r>
    </w:p>
    <w:p w:rsidR="00415DAF" w:rsidRPr="00EE74FF" w:rsidRDefault="00D17135" w:rsidP="008C0AF9">
      <w:pPr>
        <w:pStyle w:val="Normaltindrag"/>
      </w:pPr>
      <w:r w:rsidRPr="00EE74FF">
        <w:t>Det vore angeläget att en kartläggning genomfördes för att ka</w:t>
      </w:r>
      <w:r w:rsidR="00111A1A" w:rsidRPr="00EE74FF">
        <w:t>rtlägga o</w:t>
      </w:r>
      <w:r w:rsidR="00111A1A" w:rsidRPr="00EE74FF">
        <w:t>m</w:t>
      </w:r>
      <w:r w:rsidR="00111A1A" w:rsidRPr="00EE74FF">
        <w:t>råden av rik</w:t>
      </w:r>
      <w:r w:rsidR="00111A1A" w:rsidRPr="00EE74FF">
        <w:t>s</w:t>
      </w:r>
      <w:r w:rsidR="00111A1A" w:rsidRPr="00EE74FF">
        <w:t>intresse</w:t>
      </w:r>
      <w:r w:rsidRPr="00EE74FF">
        <w:t xml:space="preserve"> för vågkraft. Detta bör ges regeringen till känna.</w:t>
      </w:r>
    </w:p>
    <w:p w:rsidR="00593E44" w:rsidRPr="00EE74FF" w:rsidRDefault="00593E44" w:rsidP="008C0AF9">
      <w:pPr>
        <w:pStyle w:val="Rubrik1"/>
      </w:pPr>
      <w:bookmarkStart w:id="166" w:name="_Toc115619613"/>
      <w:bookmarkStart w:id="167" w:name="_Toc115620153"/>
      <w:bookmarkStart w:id="168" w:name="_Toc115623217"/>
      <w:bookmarkStart w:id="169" w:name="_Toc115670978"/>
      <w:bookmarkStart w:id="170" w:name="_Toc115671136"/>
      <w:bookmarkStart w:id="171" w:name="_Toc115678473"/>
      <w:bookmarkStart w:id="172" w:name="_Toc115852383"/>
      <w:r w:rsidRPr="00EE74FF">
        <w:t>Ingen övergödning</w:t>
      </w:r>
      <w:bookmarkEnd w:id="166"/>
      <w:bookmarkEnd w:id="167"/>
      <w:bookmarkEnd w:id="168"/>
      <w:bookmarkEnd w:id="169"/>
      <w:bookmarkEnd w:id="170"/>
      <w:bookmarkEnd w:id="171"/>
      <w:bookmarkEnd w:id="172"/>
    </w:p>
    <w:p w:rsidR="008B4174" w:rsidRPr="00EE74FF" w:rsidRDefault="008B4174" w:rsidP="008C0AF9">
      <w:r w:rsidRPr="00EE74FF">
        <w:t>Havsmiljökommissionen föreslog att odlingen av fånggrödor skall permane</w:t>
      </w:r>
      <w:r w:rsidRPr="00EE74FF">
        <w:t>n</w:t>
      </w:r>
      <w:r w:rsidRPr="00EE74FF">
        <w:t xml:space="preserve">tas till att omfatta </w:t>
      </w:r>
      <w:smartTag w:uri="urn:schemas-microsoft-com:office:smarttags" w:element="metricconverter">
        <w:smartTagPr>
          <w:attr w:name="ProductID" w:val="100 000 ha"/>
        </w:smartTagPr>
        <w:r w:rsidRPr="00EE74FF">
          <w:t xml:space="preserve">100 </w:t>
        </w:r>
        <w:smartTag w:uri="urn:schemas-microsoft-com:office:smarttags" w:element="metricconverter">
          <w:smartTagPr>
            <w:attr w:name="ProductID" w:val="000 ha"/>
          </w:smartTagPr>
          <w:r w:rsidRPr="00EE74FF">
            <w:t>000 ha</w:t>
          </w:r>
        </w:smartTag>
      </w:smartTag>
      <w:r w:rsidRPr="00EE74FF">
        <w:t>. Även arealen åkermark som vårbearbetas i</w:t>
      </w:r>
      <w:r w:rsidR="00111A1A" w:rsidRPr="00EE74FF">
        <w:t xml:space="preserve"> </w:t>
      </w:r>
      <w:r w:rsidRPr="00EE74FF">
        <w:t>stället för höstbearbetas föreslogs p</w:t>
      </w:r>
      <w:r w:rsidR="00111A1A" w:rsidRPr="00EE74FF">
        <w:t xml:space="preserve">ermanentas till att omfatta </w:t>
      </w:r>
      <w:smartTag w:uri="urn:schemas-microsoft-com:office:smarttags" w:element="metricconverter">
        <w:smartTagPr>
          <w:attr w:name="ProductID" w:val="100ﾠ000 ha"/>
        </w:smartTagPr>
        <w:r w:rsidR="00111A1A" w:rsidRPr="00EE74FF">
          <w:t>100 </w:t>
        </w:r>
        <w:r w:rsidRPr="00EE74FF">
          <w:t>000 ha</w:t>
        </w:r>
      </w:smartTag>
      <w:r w:rsidRPr="00EE74FF">
        <w:t>. I</w:t>
      </w:r>
      <w:r w:rsidR="00111A1A" w:rsidRPr="00EE74FF">
        <w:t xml:space="preserve"> </w:t>
      </w:r>
      <w:r w:rsidRPr="00EE74FF">
        <w:t xml:space="preserve">dag odlas fånggrödor på ca </w:t>
      </w:r>
      <w:smartTag w:uri="urn:schemas-microsoft-com:office:smarttags" w:element="metricconverter">
        <w:smartTagPr>
          <w:attr w:name="ProductID" w:val="185ﾠ000 ha"/>
        </w:smartTagPr>
        <w:r w:rsidRPr="00EE74FF">
          <w:t>185</w:t>
        </w:r>
        <w:r w:rsidR="00111A1A" w:rsidRPr="00EE74FF">
          <w:t> </w:t>
        </w:r>
        <w:r w:rsidRPr="00EE74FF">
          <w:t>000 ha</w:t>
        </w:r>
      </w:smartTag>
      <w:r w:rsidRPr="00EE74FF">
        <w:t xml:space="preserve">, varav </w:t>
      </w:r>
      <w:smartTag w:uri="urn:schemas-microsoft-com:office:smarttags" w:element="metricconverter">
        <w:smartTagPr>
          <w:attr w:name="ProductID" w:val="76ﾠ000 ha"/>
        </w:smartTagPr>
        <w:r w:rsidRPr="00EE74FF">
          <w:t>76 000 ha</w:t>
        </w:r>
      </w:smartTag>
      <w:r w:rsidRPr="00EE74FF">
        <w:t xml:space="preserve"> även vårbearbetas. Dessutom vårbearbetas (utan fånggrödor) </w:t>
      </w:r>
      <w:smartTag w:uri="urn:schemas-microsoft-com:office:smarttags" w:element="metricconverter">
        <w:smartTagPr>
          <w:attr w:name="ProductID" w:val="17ﾠ000 ha"/>
        </w:smartTagPr>
        <w:r w:rsidRPr="00EE74FF">
          <w:t>17</w:t>
        </w:r>
        <w:r w:rsidR="00111A1A" w:rsidRPr="00EE74FF">
          <w:t> </w:t>
        </w:r>
        <w:r w:rsidRPr="00EE74FF">
          <w:t>000 ha</w:t>
        </w:r>
      </w:smartTag>
      <w:r w:rsidRPr="00EE74FF">
        <w:t>. Miljöersättning för o</w:t>
      </w:r>
      <w:r w:rsidRPr="00EE74FF">
        <w:t>d</w:t>
      </w:r>
      <w:r w:rsidRPr="00EE74FF">
        <w:t>ling av fånggrödor är 900 kr/ha och för vårbearbetning 400 kr/ha. De båda miljöersättningarna kan kombineras. Tillsammans beräknas dessa åtgä</w:t>
      </w:r>
      <w:r w:rsidRPr="00EE74FF">
        <w:t>r</w:t>
      </w:r>
      <w:r w:rsidRPr="00EE74FF">
        <w:t>der medföra att kväveläckaget minskar med 1</w:t>
      </w:r>
      <w:r w:rsidR="0033212B" w:rsidRPr="00EE74FF">
        <w:t> 800–</w:t>
      </w:r>
      <w:r w:rsidRPr="00EE74FF">
        <w:t>2</w:t>
      </w:r>
      <w:r w:rsidR="00111A1A" w:rsidRPr="00EE74FF">
        <w:t> </w:t>
      </w:r>
      <w:r w:rsidRPr="00EE74FF">
        <w:t>100 ton per år (</w:t>
      </w:r>
      <w:r w:rsidR="00111A1A" w:rsidRPr="00EE74FF">
        <w:t>källa</w:t>
      </w:r>
      <w:r w:rsidRPr="00EE74FF">
        <w:t>: Jor</w:t>
      </w:r>
      <w:r w:rsidRPr="00EE74FF">
        <w:t>d</w:t>
      </w:r>
      <w:r w:rsidRPr="00EE74FF">
        <w:t xml:space="preserve">bruksverkets rapport 2005:14b). </w:t>
      </w:r>
    </w:p>
    <w:p w:rsidR="008B4174" w:rsidRPr="00EE74FF" w:rsidRDefault="008B4174" w:rsidP="008C0AF9">
      <w:pPr>
        <w:pStyle w:val="Normaltindrag"/>
      </w:pPr>
      <w:r w:rsidRPr="00EE74FF">
        <w:t xml:space="preserve">Det är viktigt att LBU-programmet ger ordentligt utrymme för stöd till fånggrödor </w:t>
      </w:r>
      <w:r w:rsidR="00111A1A" w:rsidRPr="00EE74FF">
        <w:t xml:space="preserve">i </w:t>
      </w:r>
      <w:r w:rsidRPr="00EE74FF">
        <w:t xml:space="preserve">kantzoner, </w:t>
      </w:r>
      <w:r w:rsidR="009B35C9" w:rsidRPr="00EE74FF">
        <w:t xml:space="preserve">samt </w:t>
      </w:r>
      <w:r w:rsidRPr="00EE74FF">
        <w:t>vårbearbetning i stället för höstbearbetning. Sverige bör också ställa upp med maximal nationell medfinansiering till s</w:t>
      </w:r>
      <w:r w:rsidRPr="00EE74FF">
        <w:t>å</w:t>
      </w:r>
      <w:r w:rsidRPr="00EE74FF">
        <w:t>dana åtgärder.</w:t>
      </w:r>
    </w:p>
    <w:p w:rsidR="00593E44" w:rsidRPr="00EE74FF" w:rsidRDefault="008B4174" w:rsidP="008C0AF9">
      <w:pPr>
        <w:pStyle w:val="Normaltindrag"/>
      </w:pPr>
      <w:r w:rsidRPr="00EE74FF">
        <w:t>Vidare föreslog Havsmiljökommissionen att spridning av flytgödsel från djuren på hösten till höstsäd skall minskas. Arbete med att minska använ</w:t>
      </w:r>
      <w:r w:rsidRPr="00EE74FF">
        <w:t>d</w:t>
      </w:r>
      <w:r w:rsidRPr="00EE74FF">
        <w:t xml:space="preserve">ningen av flytgödsel pågår inom ramen för den rådgivning som </w:t>
      </w:r>
      <w:r w:rsidR="00111A1A" w:rsidRPr="00EE74FF">
        <w:t>Jordbruksve</w:t>
      </w:r>
      <w:r w:rsidR="00111A1A" w:rsidRPr="00EE74FF">
        <w:t>r</w:t>
      </w:r>
      <w:r w:rsidR="00111A1A" w:rsidRPr="00EE74FF">
        <w:t xml:space="preserve">ket </w:t>
      </w:r>
      <w:r w:rsidRPr="00EE74FF">
        <w:t>ger, men inga myndighetsf</w:t>
      </w:r>
      <w:r w:rsidRPr="00EE74FF">
        <w:t>ö</w:t>
      </w:r>
      <w:r w:rsidRPr="00EE74FF">
        <w:t xml:space="preserve">reskrifter har </w:t>
      </w:r>
      <w:r w:rsidR="00111A1A" w:rsidRPr="00EE74FF">
        <w:t>tagits fram</w:t>
      </w:r>
      <w:r w:rsidRPr="00EE74FF">
        <w:t>. Bland forskare råder delade meningar om flytgödslets effekter</w:t>
      </w:r>
      <w:r w:rsidR="00111A1A" w:rsidRPr="00EE74FF">
        <w:t>. Frågan bör analyseras närmare –</w:t>
      </w:r>
      <w:r w:rsidRPr="00EE74FF">
        <w:t xml:space="preserve"> det är fem år sedan </w:t>
      </w:r>
      <w:r w:rsidR="00111A1A" w:rsidRPr="00EE74FF">
        <w:t xml:space="preserve">Jordbruksverkets </w:t>
      </w:r>
      <w:r w:rsidR="0033212B" w:rsidRPr="00EE74FF">
        <w:t>senast</w:t>
      </w:r>
      <w:r w:rsidRPr="00EE74FF">
        <w:t xml:space="preserve"> studerade detta. </w:t>
      </w:r>
    </w:p>
    <w:p w:rsidR="00761671" w:rsidRPr="00EE74FF" w:rsidRDefault="00761671" w:rsidP="008C0AF9">
      <w:pPr>
        <w:pStyle w:val="Normaltindrag"/>
      </w:pPr>
      <w:r w:rsidRPr="00EE74FF">
        <w:t xml:space="preserve">Utsläppen av kväveoxider till luften från fartygens motorer bidrar till övergödningen då kvävet faller ner i havet genom regn. Kväveoxiderna är inte bara skadliga i sig, de påverkar också bildningen av marknära ozon. Gasen skadar människors hälsa och har även negativa effekter på skog och annan växtlighet. Dessutom är det en växthusgas. </w:t>
      </w:r>
    </w:p>
    <w:p w:rsidR="009B35C9" w:rsidRPr="00EE74FF" w:rsidRDefault="00761671" w:rsidP="008C0AF9">
      <w:pPr>
        <w:pStyle w:val="Normaltindrag"/>
      </w:pPr>
      <w:r w:rsidRPr="00EE74FF">
        <w:t xml:space="preserve">I Sverige är kväveutsläppen från sjöfarten mindre än på många andra håll, tack vare miljödifferentierade farleds- och hamnavgifter. </w:t>
      </w:r>
      <w:bookmarkStart w:id="173" w:name="_Toc115610307"/>
      <w:bookmarkStart w:id="174" w:name="_Toc115619614"/>
      <w:bookmarkStart w:id="175" w:name="_Toc115620154"/>
      <w:bookmarkStart w:id="176" w:name="_Toc115623219"/>
      <w:bookmarkEnd w:id="173"/>
    </w:p>
    <w:p w:rsidR="008157A8" w:rsidRPr="00EE74FF" w:rsidRDefault="00135C71" w:rsidP="00422369">
      <w:pPr>
        <w:pStyle w:val="Rubrik1"/>
      </w:pPr>
      <w:bookmarkStart w:id="177" w:name="_Toc115670980"/>
      <w:bookmarkStart w:id="178" w:name="_Toc115671138"/>
      <w:bookmarkStart w:id="179" w:name="_Toc115678475"/>
      <w:bookmarkStart w:id="180" w:name="_Toc115852384"/>
      <w:r w:rsidRPr="00EE74FF">
        <w:t>Hav utan gifter</w:t>
      </w:r>
      <w:bookmarkEnd w:id="174"/>
      <w:bookmarkEnd w:id="175"/>
      <w:bookmarkEnd w:id="176"/>
      <w:bookmarkEnd w:id="177"/>
      <w:bookmarkEnd w:id="178"/>
      <w:bookmarkEnd w:id="179"/>
      <w:bookmarkEnd w:id="180"/>
    </w:p>
    <w:p w:rsidR="00432AE8" w:rsidRPr="00EE74FF" w:rsidRDefault="00932F35" w:rsidP="00422369">
      <w:pPr>
        <w:pStyle w:val="Rubrik2"/>
        <w:spacing w:before="125"/>
      </w:pPr>
      <w:bookmarkStart w:id="181" w:name="_Toc115619615"/>
      <w:bookmarkStart w:id="182" w:name="_Toc115620155"/>
      <w:bookmarkStart w:id="183" w:name="_Toc115623220"/>
      <w:bookmarkStart w:id="184" w:name="_Toc115670981"/>
      <w:bookmarkStart w:id="185" w:name="_Toc115671139"/>
      <w:bookmarkStart w:id="186" w:name="_Toc115678476"/>
      <w:bookmarkStart w:id="187" w:name="_Toc115852385"/>
      <w:r w:rsidRPr="00EE74FF">
        <w:t>Läkemedel</w:t>
      </w:r>
      <w:bookmarkEnd w:id="181"/>
      <w:bookmarkEnd w:id="182"/>
      <w:bookmarkEnd w:id="183"/>
      <w:bookmarkEnd w:id="184"/>
      <w:bookmarkEnd w:id="185"/>
      <w:bookmarkEnd w:id="186"/>
      <w:bookmarkEnd w:id="187"/>
    </w:p>
    <w:p w:rsidR="000B64C3" w:rsidRPr="00EE74FF" w:rsidRDefault="00432AE8" w:rsidP="008C0AF9">
      <w:r w:rsidRPr="00EE74FF">
        <w:t xml:space="preserve">Skrivelsen är för vag när det gäller utsläpp av läkemedelsrester. </w:t>
      </w:r>
      <w:r w:rsidR="00BD6C20" w:rsidRPr="00EE74FF">
        <w:t>Det behövs kraftfulla forsknings- och åtgärdsprogram.</w:t>
      </w:r>
      <w:r w:rsidR="00C91894" w:rsidRPr="00EE74FF">
        <w:t xml:space="preserve"> Ytterligare utredningsupp</w:t>
      </w:r>
      <w:r w:rsidR="009B35C9" w:rsidRPr="00EE74FF">
        <w:t>drag är knappast lösningen</w:t>
      </w:r>
      <w:r w:rsidR="00C91894" w:rsidRPr="00EE74FF">
        <w:t>. Vi vet att läkemedlen är ett stort miljöproblem som ger negativa effekter på både människor och djur. Apoteket har nu ingått en fr</w:t>
      </w:r>
      <w:r w:rsidR="00C91894" w:rsidRPr="00EE74FF">
        <w:t>i</w:t>
      </w:r>
      <w:r w:rsidR="00C91894" w:rsidRPr="00EE74FF">
        <w:t>villig överenskommelse med kommunerna om att ta emot överblivna läkem</w:t>
      </w:r>
      <w:r w:rsidR="00C91894" w:rsidRPr="00EE74FF">
        <w:t>e</w:t>
      </w:r>
      <w:r w:rsidR="00C91894" w:rsidRPr="00EE74FF">
        <w:t xml:space="preserve">del och kanyler. Detta är ett positivt steg i rätt riktning. Information borde gå ut i större i omfattning, t.ex. måste Apoteket bättre informera om läkemedlen ur ett miljöperspektiv och att Apoteket tar hand om överblivna läkemedel. Det borde även finnas information i FASS om detta. </w:t>
      </w:r>
      <w:r w:rsidR="00932F35" w:rsidRPr="00EE74FF">
        <w:t xml:space="preserve">I </w:t>
      </w:r>
      <w:r w:rsidR="00C91894" w:rsidRPr="00EE74FF">
        <w:t>dagsläget är denna inform</w:t>
      </w:r>
      <w:r w:rsidR="00C91894" w:rsidRPr="00EE74FF">
        <w:t>a</w:t>
      </w:r>
      <w:r w:rsidR="00C91894" w:rsidRPr="00EE74FF">
        <w:t xml:space="preserve">tion mycket knapphändig. </w:t>
      </w:r>
      <w:r w:rsidR="000B64C3" w:rsidRPr="00EE74FF">
        <w:t xml:space="preserve">Det behövs omedelbara åtgärder för att förbättra informationen till allmänheten. </w:t>
      </w:r>
      <w:r w:rsidR="00932F35" w:rsidRPr="00EE74FF">
        <w:t xml:space="preserve">Regeringen bör återkomma med en konkret strategi för att ta hand om läkemedelsrester, byggd på tillgänglig kunskap. </w:t>
      </w:r>
      <w:r w:rsidR="00E240D2" w:rsidRPr="00EE74FF">
        <w:t xml:space="preserve">Det är beklagligt att läkemedel över huvud taget inte nämns i miljöbalken och att läkemedel inte heller kommer att omfattas av reglerna i </w:t>
      </w:r>
      <w:r w:rsidR="00111A1A" w:rsidRPr="00EE74FF">
        <w:t>Reach</w:t>
      </w:r>
      <w:r w:rsidR="00E240D2" w:rsidRPr="00EE74FF">
        <w:t>.</w:t>
      </w:r>
      <w:r w:rsidR="000B64C3" w:rsidRPr="00EE74FF">
        <w:t xml:space="preserve"> </w:t>
      </w:r>
      <w:r w:rsidR="00C91894" w:rsidRPr="00EE74FF">
        <w:t xml:space="preserve">Sverige bör också verka för att samma regler skall gälla inom EU för läkemedel som för de kemikalier som omfattas av </w:t>
      </w:r>
      <w:r w:rsidR="00111A1A" w:rsidRPr="00EE74FF">
        <w:t>Reach</w:t>
      </w:r>
      <w:r w:rsidR="00C91894" w:rsidRPr="00EE74FF">
        <w:t xml:space="preserve">. </w:t>
      </w:r>
      <w:bookmarkStart w:id="188" w:name="_Toc115619616"/>
      <w:bookmarkStart w:id="189" w:name="_Toc115620156"/>
    </w:p>
    <w:p w:rsidR="00BD6C20" w:rsidRPr="00EE74FF" w:rsidRDefault="00111A1A" w:rsidP="008C0AF9">
      <w:pPr>
        <w:pStyle w:val="Rubrik2"/>
      </w:pPr>
      <w:bookmarkStart w:id="190" w:name="_Toc115623221"/>
      <w:bookmarkStart w:id="191" w:name="_Toc115670982"/>
      <w:bookmarkStart w:id="192" w:name="_Toc115671140"/>
      <w:bookmarkStart w:id="193" w:name="_Toc115678477"/>
      <w:bookmarkStart w:id="194" w:name="_Toc115852386"/>
      <w:r w:rsidRPr="00EE74FF">
        <w:t>Reach</w:t>
      </w:r>
      <w:bookmarkEnd w:id="188"/>
      <w:bookmarkEnd w:id="189"/>
      <w:bookmarkEnd w:id="190"/>
      <w:bookmarkEnd w:id="191"/>
      <w:bookmarkEnd w:id="192"/>
      <w:bookmarkEnd w:id="193"/>
      <w:bookmarkEnd w:id="194"/>
    </w:p>
    <w:p w:rsidR="009B35C9" w:rsidRPr="00EE74FF" w:rsidRDefault="009B35C9" w:rsidP="008C0AF9">
      <w:r w:rsidRPr="00EE74FF">
        <w:t>Skrivelsen fäster stora förhoppningar vid EU</w:t>
      </w:r>
      <w:r w:rsidR="00111A1A" w:rsidRPr="00EE74FF">
        <w:t>:</w:t>
      </w:r>
      <w:r w:rsidRPr="00EE74FF">
        <w:t xml:space="preserve">s kemikaliepolitik </w:t>
      </w:r>
      <w:r w:rsidR="00111A1A" w:rsidRPr="00EE74FF">
        <w:t>Reach</w:t>
      </w:r>
      <w:r w:rsidRPr="00EE74FF">
        <w:t>. U</w:t>
      </w:r>
      <w:r w:rsidRPr="00EE74FF">
        <w:t>t</w:t>
      </w:r>
      <w:r w:rsidRPr="00EE74FF">
        <w:t xml:space="preserve">vecklingen av EU-institutionernas arbete med </w:t>
      </w:r>
      <w:r w:rsidR="00111A1A" w:rsidRPr="00EE74FF">
        <w:t xml:space="preserve">Reach </w:t>
      </w:r>
      <w:r w:rsidRPr="00EE74FF">
        <w:t xml:space="preserve">de senaste åren ger dock anledning att befara att </w:t>
      </w:r>
      <w:r w:rsidR="00111A1A" w:rsidRPr="00EE74FF">
        <w:t>Reach</w:t>
      </w:r>
      <w:r w:rsidRPr="00EE74FF">
        <w:t>projektet blir otillräckligt för att på ett accept</w:t>
      </w:r>
      <w:r w:rsidRPr="00EE74FF">
        <w:t>a</w:t>
      </w:r>
      <w:r w:rsidRPr="00EE74FF">
        <w:t xml:space="preserve">belt sätt hantera problemen med gifter i miljön. Det behövs en beredskap för hur arbetet med gemensamma åtgärder mot giftspridning i havet skall gå vidare när </w:t>
      </w:r>
      <w:r w:rsidR="00111A1A" w:rsidRPr="00EE74FF">
        <w:t xml:space="preserve">Reach </w:t>
      </w:r>
      <w:r w:rsidRPr="00EE74FF">
        <w:t>befunnits svika de förhoppningar som tidigare knutits till detta EU-initiativ.</w:t>
      </w:r>
    </w:p>
    <w:p w:rsidR="00BD6C20" w:rsidRPr="00EE74FF" w:rsidRDefault="00BD6C20" w:rsidP="008C0AF9">
      <w:pPr>
        <w:pStyle w:val="Normaltindrag"/>
      </w:pPr>
      <w:r w:rsidRPr="00EE74FF">
        <w:t xml:space="preserve">Europaparlamentets första behandling av </w:t>
      </w:r>
      <w:r w:rsidR="00111A1A" w:rsidRPr="00EE74FF">
        <w:t xml:space="preserve">Reach </w:t>
      </w:r>
      <w:r w:rsidRPr="00EE74FF">
        <w:t>har inletts denna höst. Pa</w:t>
      </w:r>
      <w:r w:rsidRPr="00EE74FF">
        <w:t>r</w:t>
      </w:r>
      <w:r w:rsidRPr="00EE74FF">
        <w:t xml:space="preserve">lamentets utskott för inre marknad och utskottet </w:t>
      </w:r>
      <w:r w:rsidR="00FB3312" w:rsidRPr="00EE74FF">
        <w:t>för konkurrens har urvattnat</w:t>
      </w:r>
      <w:r w:rsidRPr="00EE74FF">
        <w:t xml:space="preserve"> förslaget ytterligare. Till yttermera visso har </w:t>
      </w:r>
      <w:r w:rsidR="00111A1A" w:rsidRPr="00EE74FF">
        <w:t xml:space="preserve">kommissionen </w:t>
      </w:r>
      <w:r w:rsidRPr="00EE74FF">
        <w:t>i slutet av se</w:t>
      </w:r>
      <w:r w:rsidRPr="00EE74FF">
        <w:t>p</w:t>
      </w:r>
      <w:r w:rsidRPr="00EE74FF">
        <w:t>tember överrumplande kommit med nya förslag på ytterligare försämringar. Kommissionens förslag innebär bl.a.</w:t>
      </w:r>
      <w:r w:rsidR="00111A1A" w:rsidRPr="00EE74FF">
        <w:t xml:space="preserve"> </w:t>
      </w:r>
      <w:r w:rsidRPr="00EE74FF">
        <w:t>nya drastiskt sänkta datakrav för lågv</w:t>
      </w:r>
      <w:r w:rsidRPr="00EE74FF">
        <w:t>o</w:t>
      </w:r>
      <w:r w:rsidRPr="00EE74FF">
        <w:t>lymämnen och nya omfattande möjligheter till unda</w:t>
      </w:r>
      <w:r w:rsidRPr="00EE74FF">
        <w:t>n</w:t>
      </w:r>
      <w:r w:rsidRPr="00EE74FF">
        <w:t>tag från datakraven för ämnen över 10 ton per år, inklusive OECD</w:t>
      </w:r>
      <w:r w:rsidR="00111A1A" w:rsidRPr="00EE74FF">
        <w:t>:</w:t>
      </w:r>
      <w:r w:rsidRPr="00EE74FF">
        <w:t>s datakrav för högv</w:t>
      </w:r>
      <w:r w:rsidRPr="00EE74FF">
        <w:t>o</w:t>
      </w:r>
      <w:r w:rsidRPr="00EE74FF">
        <w:t xml:space="preserve">lymämnen. I oktober kommer </w:t>
      </w:r>
      <w:r w:rsidR="00111A1A" w:rsidRPr="00EE74FF">
        <w:t xml:space="preserve">Reach </w:t>
      </w:r>
      <w:r w:rsidR="008C0AF9" w:rsidRPr="00EE74FF">
        <w:t xml:space="preserve">att </w:t>
      </w:r>
      <w:r w:rsidRPr="00EE74FF">
        <w:t>behandlas i ministerråden för miljö och nä</w:t>
      </w:r>
      <w:r w:rsidRPr="00EE74FF">
        <w:t>r</w:t>
      </w:r>
      <w:r w:rsidRPr="00EE74FF">
        <w:t>ingsliv. I november väntas Europaparlamentet hålla en omröstning om förslaget.</w:t>
      </w:r>
    </w:p>
    <w:p w:rsidR="00BD6C20" w:rsidRPr="00EE74FF" w:rsidRDefault="00BD6C20" w:rsidP="008C0AF9">
      <w:pPr>
        <w:pStyle w:val="Normaltindrag"/>
      </w:pPr>
      <w:r w:rsidRPr="00EE74FF">
        <w:t xml:space="preserve"> Kristdemokraterna vill understryka vikten av att från svensk sida agera såväl i Eur</w:t>
      </w:r>
      <w:r w:rsidRPr="00EE74FF">
        <w:t>o</w:t>
      </w:r>
      <w:r w:rsidRPr="00EE74FF">
        <w:t>paparlamentet som i ministerrådet. Det gäller både att motsätta sig de försämringar som gjorts sedan remissomgången och att verka för de fö</w:t>
      </w:r>
      <w:r w:rsidRPr="00EE74FF">
        <w:t>r</w:t>
      </w:r>
      <w:r w:rsidRPr="00EE74FF">
        <w:t>bä</w:t>
      </w:r>
      <w:r w:rsidR="00010B05" w:rsidRPr="00EE74FF">
        <w:t>ttringar som det sedan lång tid finns politisk enighet om i Sverige</w:t>
      </w:r>
      <w:r w:rsidRPr="00EE74FF">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0AF9" w:rsidRPr="00EE74FF">
        <w:tblPrEx>
          <w:tblCellMar>
            <w:top w:w="0" w:type="dxa"/>
            <w:bottom w:w="0" w:type="dxa"/>
          </w:tblCellMar>
        </w:tblPrEx>
        <w:trPr>
          <w:cantSplit/>
        </w:trPr>
        <w:tc>
          <w:tcPr>
            <w:tcW w:w="3046" w:type="dxa"/>
          </w:tcPr>
          <w:p w:rsidR="008C0AF9" w:rsidRPr="00EE74FF" w:rsidRDefault="008C0AF9" w:rsidP="008C0AF9">
            <w:pPr>
              <w:pStyle w:val="UnderskriftDatum"/>
              <w:spacing w:before="240"/>
            </w:pPr>
            <w:r w:rsidRPr="00EE74FF">
              <w:t>Stockholm den 28 september 2005</w:t>
            </w:r>
          </w:p>
        </w:tc>
        <w:tc>
          <w:tcPr>
            <w:tcW w:w="3047" w:type="dxa"/>
          </w:tcPr>
          <w:p w:rsidR="008C0AF9" w:rsidRPr="00EE74FF" w:rsidRDefault="008C0AF9" w:rsidP="008C0AF9">
            <w:pPr>
              <w:pStyle w:val="Underskrifter"/>
              <w:spacing w:before="240"/>
            </w:pPr>
          </w:p>
        </w:tc>
      </w:tr>
      <w:tr w:rsidR="008C0AF9" w:rsidRPr="00EE74FF">
        <w:tblPrEx>
          <w:tblCellMar>
            <w:top w:w="0" w:type="dxa"/>
            <w:bottom w:w="0" w:type="dxa"/>
          </w:tblCellMar>
        </w:tblPrEx>
        <w:trPr>
          <w:cantSplit/>
        </w:trPr>
        <w:tc>
          <w:tcPr>
            <w:tcW w:w="3046" w:type="dxa"/>
          </w:tcPr>
          <w:p w:rsidR="008C0AF9" w:rsidRPr="00EE74FF" w:rsidRDefault="008C0AF9" w:rsidP="008C0AF9">
            <w:pPr>
              <w:pStyle w:val="Underskrifter"/>
            </w:pPr>
            <w:r w:rsidRPr="00EE74FF">
              <w:t>Sven Gunnar Persson (kd)</w:t>
            </w:r>
          </w:p>
        </w:tc>
        <w:tc>
          <w:tcPr>
            <w:tcW w:w="3047" w:type="dxa"/>
          </w:tcPr>
          <w:p w:rsidR="008C0AF9" w:rsidRPr="00EE74FF" w:rsidRDefault="008C0AF9" w:rsidP="008C0AF9">
            <w:pPr>
              <w:pStyle w:val="Underskrifter"/>
            </w:pPr>
          </w:p>
        </w:tc>
      </w:tr>
      <w:tr w:rsidR="008C0AF9" w:rsidRPr="00EE74FF">
        <w:tblPrEx>
          <w:tblCellMar>
            <w:top w:w="0" w:type="dxa"/>
            <w:bottom w:w="0" w:type="dxa"/>
          </w:tblCellMar>
        </w:tblPrEx>
        <w:trPr>
          <w:cantSplit/>
        </w:trPr>
        <w:tc>
          <w:tcPr>
            <w:tcW w:w="3046" w:type="dxa"/>
          </w:tcPr>
          <w:p w:rsidR="008C0AF9" w:rsidRPr="00EE74FF" w:rsidRDefault="008C0AF9" w:rsidP="008C0AF9">
            <w:pPr>
              <w:pStyle w:val="Underskrifter"/>
            </w:pPr>
            <w:r w:rsidRPr="00EE74FF">
              <w:t>Björn von der Esch (kd)</w:t>
            </w:r>
          </w:p>
        </w:tc>
        <w:tc>
          <w:tcPr>
            <w:tcW w:w="3047" w:type="dxa"/>
          </w:tcPr>
          <w:p w:rsidR="008C0AF9" w:rsidRPr="00EE74FF" w:rsidRDefault="008C0AF9" w:rsidP="008C0AF9">
            <w:pPr>
              <w:pStyle w:val="Underskrifter"/>
            </w:pPr>
            <w:r w:rsidRPr="00EE74FF">
              <w:t>Dan Kihlström (kd)</w:t>
            </w:r>
          </w:p>
        </w:tc>
      </w:tr>
      <w:tr w:rsidR="008C0AF9" w:rsidRPr="00EE74FF">
        <w:tblPrEx>
          <w:tblCellMar>
            <w:top w:w="0" w:type="dxa"/>
            <w:bottom w:w="0" w:type="dxa"/>
          </w:tblCellMar>
        </w:tblPrEx>
        <w:trPr>
          <w:cantSplit/>
        </w:trPr>
        <w:tc>
          <w:tcPr>
            <w:tcW w:w="3046" w:type="dxa"/>
          </w:tcPr>
          <w:p w:rsidR="008C0AF9" w:rsidRPr="00EE74FF" w:rsidRDefault="008C0AF9" w:rsidP="008C0AF9">
            <w:pPr>
              <w:pStyle w:val="Underskrifter"/>
            </w:pPr>
            <w:r w:rsidRPr="00EE74FF">
              <w:t>Ragnwi Marcelind (kd)</w:t>
            </w:r>
          </w:p>
        </w:tc>
        <w:tc>
          <w:tcPr>
            <w:tcW w:w="3047" w:type="dxa"/>
          </w:tcPr>
          <w:p w:rsidR="008C0AF9" w:rsidRPr="00EE74FF" w:rsidRDefault="008C0AF9" w:rsidP="008C0AF9">
            <w:pPr>
              <w:pStyle w:val="Underskrifter"/>
            </w:pPr>
            <w:r w:rsidRPr="00EE74FF">
              <w:t>Johnny Gylling (kd)</w:t>
            </w:r>
          </w:p>
        </w:tc>
      </w:tr>
      <w:tr w:rsidR="008C0AF9" w:rsidRPr="00EE74FF">
        <w:tblPrEx>
          <w:tblCellMar>
            <w:top w:w="0" w:type="dxa"/>
            <w:bottom w:w="0" w:type="dxa"/>
          </w:tblCellMar>
        </w:tblPrEx>
        <w:trPr>
          <w:cantSplit/>
        </w:trPr>
        <w:tc>
          <w:tcPr>
            <w:tcW w:w="3046" w:type="dxa"/>
          </w:tcPr>
          <w:p w:rsidR="008C0AF9" w:rsidRPr="00EE74FF" w:rsidRDefault="008C0AF9" w:rsidP="008C0AF9">
            <w:pPr>
              <w:pStyle w:val="Underskrifter"/>
            </w:pPr>
            <w:r w:rsidRPr="00EE74FF">
              <w:t>Annelie Enochson (kd)</w:t>
            </w:r>
          </w:p>
        </w:tc>
        <w:tc>
          <w:tcPr>
            <w:tcW w:w="3047" w:type="dxa"/>
          </w:tcPr>
          <w:p w:rsidR="008C0AF9" w:rsidRPr="00EE74FF" w:rsidRDefault="008C0AF9" w:rsidP="008C0AF9">
            <w:pPr>
              <w:pStyle w:val="Underskrifter"/>
            </w:pPr>
            <w:r w:rsidRPr="00EE74FF">
              <w:t>Lars Gustafsson (kd)</w:t>
            </w:r>
          </w:p>
        </w:tc>
      </w:tr>
      <w:tr w:rsidR="008C0AF9" w:rsidRPr="00EE74FF">
        <w:tblPrEx>
          <w:tblCellMar>
            <w:top w:w="0" w:type="dxa"/>
            <w:bottom w:w="0" w:type="dxa"/>
          </w:tblCellMar>
        </w:tblPrEx>
        <w:trPr>
          <w:cantSplit/>
        </w:trPr>
        <w:tc>
          <w:tcPr>
            <w:tcW w:w="3046" w:type="dxa"/>
          </w:tcPr>
          <w:p w:rsidR="008C0AF9" w:rsidRPr="00EE74FF" w:rsidRDefault="008C0AF9" w:rsidP="008C0AF9">
            <w:pPr>
              <w:pStyle w:val="Underskrifter"/>
            </w:pPr>
            <w:r w:rsidRPr="00EE74FF">
              <w:t>Tuve Skånberg (kd)</w:t>
            </w:r>
          </w:p>
        </w:tc>
        <w:tc>
          <w:tcPr>
            <w:tcW w:w="3047" w:type="dxa"/>
          </w:tcPr>
          <w:p w:rsidR="008C0AF9" w:rsidRPr="00EE74FF" w:rsidRDefault="008C0AF9" w:rsidP="008C0AF9">
            <w:pPr>
              <w:pStyle w:val="Underskrifter"/>
            </w:pPr>
          </w:p>
        </w:tc>
      </w:tr>
    </w:tbl>
    <w:p w:rsidR="00C91894" w:rsidRPr="00EE74FF" w:rsidRDefault="00C91894" w:rsidP="008C0AF9">
      <w:pPr>
        <w:pStyle w:val="Normaltindrag"/>
      </w:pPr>
    </w:p>
    <w:sectPr w:rsidR="00C91894" w:rsidRPr="00EE74FF" w:rsidSect="008C0A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509" w:rsidRPr="00EE74FF" w:rsidRDefault="00A13509">
      <w:r w:rsidRPr="00EE74FF">
        <w:separator/>
      </w:r>
    </w:p>
  </w:endnote>
  <w:endnote w:type="continuationSeparator" w:id="0">
    <w:p w:rsidR="00A13509" w:rsidRPr="00EE74FF" w:rsidRDefault="00A13509">
      <w:r w:rsidRPr="00EE74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AE" w:rsidRPr="00EE74FF" w:rsidRDefault="00EE74FF" w:rsidP="008C0AF9">
    <w:pPr>
      <w:pStyle w:val="Sidfot"/>
    </w:pPr>
    <w:r w:rsidRPr="00EE74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71476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7AE" w:rsidRDefault="002257AE">
                          <w:pPr>
                            <w:pStyle w:val="NormalS5sidnrV"/>
                          </w:pPr>
                          <w:r>
                            <w:fldChar w:fldCharType="begin"/>
                          </w:r>
                          <w:r>
                            <w:instrText xml:space="preserve"> PAGE *\charformat</w:instrText>
                          </w:r>
                          <w:r>
                            <w:fldChar w:fldCharType="separate"/>
                          </w:r>
                          <w:r w:rsidR="006750B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57AE" w:rsidRDefault="002257AE">
                    <w:pPr>
                      <w:pStyle w:val="NormalS5sidnrV"/>
                    </w:pPr>
                    <w:r>
                      <w:fldChar w:fldCharType="begin"/>
                    </w:r>
                    <w:r>
                      <w:instrText xml:space="preserve"> PAGE *\charformat</w:instrText>
                    </w:r>
                    <w:r>
                      <w:fldChar w:fldCharType="separate"/>
                    </w:r>
                    <w:r w:rsidR="006750B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AE" w:rsidRPr="00EE74FF" w:rsidRDefault="00EE74FF" w:rsidP="008C0AF9">
    <w:pPr>
      <w:pStyle w:val="Sidfot"/>
    </w:pPr>
    <w:r w:rsidRPr="00EE74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6651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7AE" w:rsidRDefault="002257AE">
                          <w:pPr>
                            <w:pStyle w:val="NormalS5sidnrH"/>
                            <w:ind w:right="0"/>
                          </w:pPr>
                          <w:r>
                            <w:fldChar w:fldCharType="begin"/>
                          </w:r>
                          <w:r>
                            <w:instrText xml:space="preserve"> PAGE *\charformat</w:instrText>
                          </w:r>
                          <w:r>
                            <w:fldChar w:fldCharType="separate"/>
                          </w:r>
                          <w:r w:rsidR="006750B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57AE" w:rsidRDefault="002257AE">
                    <w:pPr>
                      <w:pStyle w:val="NormalS5sidnrH"/>
                      <w:ind w:right="0"/>
                    </w:pPr>
                    <w:r>
                      <w:fldChar w:fldCharType="begin"/>
                    </w:r>
                    <w:r>
                      <w:instrText xml:space="preserve"> PAGE *\charformat</w:instrText>
                    </w:r>
                    <w:r>
                      <w:fldChar w:fldCharType="separate"/>
                    </w:r>
                    <w:r w:rsidR="006750B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AE" w:rsidRPr="00EE74FF" w:rsidRDefault="00EE74FF" w:rsidP="008C0AF9">
    <w:pPr>
      <w:pStyle w:val="Sidfot"/>
    </w:pPr>
    <w:r w:rsidRPr="00EE74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9168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7AE" w:rsidRDefault="002257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57AE" w:rsidRDefault="002257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509" w:rsidRPr="00EE74FF" w:rsidRDefault="00A13509">
      <w:r w:rsidRPr="00EE74FF">
        <w:separator/>
      </w:r>
    </w:p>
  </w:footnote>
  <w:footnote w:type="continuationSeparator" w:id="0">
    <w:p w:rsidR="00A13509" w:rsidRPr="00EE74FF" w:rsidRDefault="00A13509">
      <w:r w:rsidRPr="00EE74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AE" w:rsidRPr="00EE74FF" w:rsidRDefault="00EE74FF" w:rsidP="008C0AF9">
    <w:pPr>
      <w:pStyle w:val="Sidhuvud"/>
    </w:pPr>
    <w:r w:rsidRPr="00EE74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6000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7AE" w:rsidRDefault="002257A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57AE" w:rsidRDefault="002257A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AE" w:rsidRPr="00EE74FF" w:rsidRDefault="00EE74FF" w:rsidP="008C0AF9">
    <w:pPr>
      <w:pStyle w:val="Sidhuvud"/>
    </w:pPr>
    <w:r w:rsidRPr="00EE74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45210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7AE" w:rsidRDefault="002257A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57AE" w:rsidRDefault="002257A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AE" w:rsidRPr="00EE74FF" w:rsidRDefault="002257AE">
    <w:pPr>
      <w:pStyle w:val="FSHNormal"/>
      <w:tabs>
        <w:tab w:val="right" w:pos="5840"/>
      </w:tabs>
    </w:pPr>
    <w:r w:rsidRPr="00EE74FF">
      <w:br/>
    </w:r>
    <w:r w:rsidRPr="00EE74FF">
      <w:fldChar w:fldCharType="begin" w:fldLock="1"/>
    </w:r>
    <w:r w:rsidRPr="00EE74FF">
      <w:instrText xml:space="preserve"> DOCPROPERTY</w:instrText>
    </w:r>
    <w:r w:rsidRPr="00EE74FF">
      <w:rPr>
        <w:sz w:val="18"/>
      </w:rPr>
      <w:instrText xml:space="preserve"> "YearUser" *\charformat </w:instrText>
    </w:r>
    <w:r w:rsidRPr="00EE74FF">
      <w:fldChar w:fldCharType="separate"/>
    </w:r>
    <w:r w:rsidRPr="00EE74FF">
      <w:t>2005/06</w:t>
    </w:r>
    <w:r w:rsidRPr="00EE74FF">
      <w:fldChar w:fldCharType="end"/>
    </w:r>
    <w:r w:rsidRPr="00EE74FF">
      <w:t xml:space="preserve"> </w:t>
    </w:r>
    <w:r w:rsidRPr="00EE74FF">
      <w:tab/>
      <w:t xml:space="preserve">mnr: </w:t>
    </w:r>
    <w:r w:rsidRPr="00EE74FF">
      <w:fldChar w:fldCharType="begin" w:fldLock="1"/>
    </w:r>
    <w:r w:rsidRPr="00EE74FF">
      <w:instrText xml:space="preserve"> DOCPROPERTY</w:instrText>
    </w:r>
    <w:r w:rsidRPr="00EE74FF">
      <w:rPr>
        <w:sz w:val="18"/>
      </w:rPr>
      <w:instrText xml:space="preserve"> "Motionsnummer" *\charformat </w:instrText>
    </w:r>
    <w:r w:rsidRPr="00EE74FF">
      <w:fldChar w:fldCharType="separate"/>
    </w:r>
    <w:r w:rsidRPr="00EE74FF">
      <w:t>MJ2</w:t>
    </w:r>
    <w:r w:rsidRPr="00EE74FF">
      <w:fldChar w:fldCharType="end"/>
    </w:r>
    <w:r w:rsidRPr="00EE74FF">
      <w:br/>
    </w:r>
    <w:r w:rsidRPr="00EE74FF">
      <w:fldChar w:fldCharType="begin" w:fldLock="1"/>
    </w:r>
    <w:r w:rsidRPr="00EE74FF">
      <w:instrText xml:space="preserve"> DOCPROPERTY</w:instrText>
    </w:r>
    <w:r w:rsidRPr="00EE74FF">
      <w:rPr>
        <w:sz w:val="18"/>
      </w:rPr>
      <w:instrText xml:space="preserve"> "Samling" *\charformat </w:instrText>
    </w:r>
    <w:r w:rsidRPr="00EE74FF">
      <w:fldChar w:fldCharType="end"/>
    </w:r>
    <w:r w:rsidRPr="00EE74FF">
      <w:tab/>
      <w:t xml:space="preserve">pnr: </w:t>
    </w:r>
    <w:r w:rsidRPr="00EE74FF">
      <w:fldChar w:fldCharType="begin" w:fldLock="1"/>
    </w:r>
    <w:r w:rsidRPr="00EE74FF">
      <w:instrText xml:space="preserve"> DOCPROPERTY</w:instrText>
    </w:r>
    <w:r w:rsidRPr="00EE74FF">
      <w:rPr>
        <w:sz w:val="18"/>
      </w:rPr>
      <w:instrText xml:space="preserve"> "Partinummer" *\charformat </w:instrText>
    </w:r>
    <w:r w:rsidRPr="00EE74FF">
      <w:fldChar w:fldCharType="separate"/>
    </w:r>
    <w:r w:rsidRPr="00EE74FF">
      <w:t>kd177</w:t>
    </w:r>
    <w:r w:rsidRPr="00EE74FF">
      <w:fldChar w:fldCharType="end"/>
    </w:r>
  </w:p>
  <w:p w:rsidR="002257AE" w:rsidRPr="00EE74FF" w:rsidRDefault="002257AE">
    <w:pPr>
      <w:pStyle w:val="FSHRub1"/>
    </w:pPr>
    <w:r w:rsidRPr="00EE74FF">
      <w:t>Motion till riksdagen</w:t>
    </w:r>
    <w:r w:rsidRPr="00EE74FF">
      <w:br/>
    </w:r>
    <w:r w:rsidRPr="00EE74FF">
      <w:fldChar w:fldCharType="begin" w:fldLock="1"/>
    </w:r>
    <w:r w:rsidRPr="00EE74FF">
      <w:instrText xml:space="preserve"> DOCPROPERTY "YearUser" *\charformat </w:instrText>
    </w:r>
    <w:r w:rsidRPr="00EE74FF">
      <w:fldChar w:fldCharType="separate"/>
    </w:r>
    <w:r w:rsidRPr="00EE74FF">
      <w:t>2005/06</w:t>
    </w:r>
    <w:r w:rsidRPr="00EE74FF">
      <w:fldChar w:fldCharType="end"/>
    </w:r>
    <w:r w:rsidRPr="00EE74FF">
      <w:t>:</w:t>
    </w:r>
    <w:r w:rsidRPr="00EE74FF">
      <w:fldChar w:fldCharType="begin" w:fldLock="1"/>
    </w:r>
    <w:r w:rsidRPr="00EE74FF">
      <w:instrText xml:space="preserve"> DOCPROPERTY "Motionsnummer" *\charformat </w:instrText>
    </w:r>
    <w:r w:rsidRPr="00EE74FF">
      <w:fldChar w:fldCharType="separate"/>
    </w:r>
    <w:r w:rsidRPr="00EE74FF">
      <w:t>MJ2</w:t>
    </w:r>
    <w:r w:rsidRPr="00EE74FF">
      <w:fldChar w:fldCharType="end"/>
    </w:r>
  </w:p>
  <w:p w:rsidR="002257AE" w:rsidRPr="00EE74FF" w:rsidRDefault="002257AE">
    <w:pPr>
      <w:pStyle w:val="FSHNormalS5"/>
    </w:pPr>
    <w:r w:rsidRPr="00EE74FF">
      <w:fldChar w:fldCharType="begin" w:fldLock="1"/>
    </w:r>
    <w:r w:rsidRPr="00EE74FF">
      <w:instrText xml:space="preserve"> DOCPROPERTY "MotionarText" *\charformat </w:instrText>
    </w:r>
    <w:r w:rsidRPr="00EE74FF">
      <w:fldChar w:fldCharType="separate"/>
    </w:r>
    <w:r w:rsidRPr="00EE74FF">
      <w:t>av Sven Gunnar Persson m.fl. (kd)</w:t>
    </w:r>
    <w:r w:rsidRPr="00EE74FF">
      <w:fldChar w:fldCharType="end"/>
    </w:r>
    <w:r w:rsidRPr="00EE74FF">
      <w:br/>
    </w:r>
    <w:r w:rsidRPr="00EE74FF">
      <w:fldChar w:fldCharType="begin" w:fldLock="1"/>
    </w:r>
    <w:r w:rsidRPr="00EE74FF">
      <w:instrText xml:space="preserve"> DOCPROPERTY "SvarFrasKort" *\charformat </w:instrText>
    </w:r>
    <w:r w:rsidRPr="00EE74FF">
      <w:fldChar w:fldCharType="separate"/>
    </w:r>
    <w:r w:rsidRPr="00EE74FF">
      <w:t>med anledning av skr. 2004/05:173</w:t>
    </w:r>
    <w:r w:rsidRPr="00EE74FF">
      <w:fldChar w:fldCharType="end"/>
    </w:r>
  </w:p>
  <w:p w:rsidR="002257AE" w:rsidRPr="00EE74FF" w:rsidRDefault="002257AE">
    <w:pPr>
      <w:pStyle w:val="FSHTitel"/>
    </w:pPr>
    <w:r w:rsidRPr="00EE74FF">
      <w:fldChar w:fldCharType="begin" w:fldLock="1"/>
    </w:r>
    <w:r w:rsidRPr="00EE74FF">
      <w:instrText xml:space="preserve"> DOCPROPERTY</w:instrText>
    </w:r>
    <w:r w:rsidRPr="00EE74FF">
      <w:rPr>
        <w:sz w:val="18"/>
      </w:rPr>
      <w:instrText xml:space="preserve"> "RubrikSvar" *\charformat </w:instrText>
    </w:r>
    <w:r w:rsidRPr="00EE74FF">
      <w:fldChar w:fldCharType="separate"/>
    </w:r>
    <w:r w:rsidRPr="00EE74FF">
      <w:t>En nationell strategi för havsmiljön</w:t>
    </w:r>
    <w:r w:rsidRPr="00EE74FF">
      <w:fldChar w:fldCharType="end"/>
    </w:r>
  </w:p>
  <w:p w:rsidR="002257AE" w:rsidRPr="00EE74FF" w:rsidRDefault="002257AE" w:rsidP="008C0A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7F650F"/>
    <w:multiLevelType w:val="multilevel"/>
    <w:tmpl w:val="322642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96375F2"/>
    <w:multiLevelType w:val="multilevel"/>
    <w:tmpl w:val="24F8AE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E444441"/>
    <w:multiLevelType w:val="hybridMultilevel"/>
    <w:tmpl w:val="04DEFB04"/>
    <w:lvl w:ilvl="0" w:tplc="00F0446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7254509">
    <w:abstractNumId w:val="16"/>
  </w:num>
  <w:num w:numId="2" w16cid:durableId="1692604348">
    <w:abstractNumId w:val="10"/>
  </w:num>
  <w:num w:numId="3" w16cid:durableId="1114061032">
    <w:abstractNumId w:val="11"/>
  </w:num>
  <w:num w:numId="4" w16cid:durableId="1241064895">
    <w:abstractNumId w:val="14"/>
  </w:num>
  <w:num w:numId="5" w16cid:durableId="1544707685">
    <w:abstractNumId w:val="8"/>
  </w:num>
  <w:num w:numId="6" w16cid:durableId="533227597">
    <w:abstractNumId w:val="3"/>
  </w:num>
  <w:num w:numId="7" w16cid:durableId="500975713">
    <w:abstractNumId w:val="2"/>
  </w:num>
  <w:num w:numId="8" w16cid:durableId="1905096491">
    <w:abstractNumId w:val="1"/>
  </w:num>
  <w:num w:numId="9" w16cid:durableId="199561135">
    <w:abstractNumId w:val="0"/>
  </w:num>
  <w:num w:numId="10" w16cid:durableId="1501121414">
    <w:abstractNumId w:val="9"/>
  </w:num>
  <w:num w:numId="11" w16cid:durableId="403720718">
    <w:abstractNumId w:val="7"/>
  </w:num>
  <w:num w:numId="12" w16cid:durableId="987825552">
    <w:abstractNumId w:val="6"/>
  </w:num>
  <w:num w:numId="13" w16cid:durableId="39206641">
    <w:abstractNumId w:val="5"/>
  </w:num>
  <w:num w:numId="14" w16cid:durableId="1733044348">
    <w:abstractNumId w:val="4"/>
  </w:num>
  <w:num w:numId="15" w16cid:durableId="1315646418">
    <w:abstractNumId w:val="13"/>
  </w:num>
  <w:num w:numId="16" w16cid:durableId="1507750371">
    <w:abstractNumId w:val="15"/>
  </w:num>
  <w:num w:numId="17" w16cid:durableId="1559852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6_2005-09-27"/>
  </w:docVars>
  <w:rsids>
    <w:rsidRoot w:val="00252809"/>
    <w:rsid w:val="00010B05"/>
    <w:rsid w:val="00030D7E"/>
    <w:rsid w:val="000555C3"/>
    <w:rsid w:val="00064BC3"/>
    <w:rsid w:val="00066775"/>
    <w:rsid w:val="000668EF"/>
    <w:rsid w:val="00072FB9"/>
    <w:rsid w:val="0007398E"/>
    <w:rsid w:val="00076271"/>
    <w:rsid w:val="000A4ED7"/>
    <w:rsid w:val="000A7BB5"/>
    <w:rsid w:val="000B0642"/>
    <w:rsid w:val="000B5CC4"/>
    <w:rsid w:val="000B64C3"/>
    <w:rsid w:val="00100531"/>
    <w:rsid w:val="00111A1A"/>
    <w:rsid w:val="00135706"/>
    <w:rsid w:val="00135C71"/>
    <w:rsid w:val="00146062"/>
    <w:rsid w:val="00162BDC"/>
    <w:rsid w:val="00165F4C"/>
    <w:rsid w:val="001928B4"/>
    <w:rsid w:val="001A72CF"/>
    <w:rsid w:val="001A7B13"/>
    <w:rsid w:val="001C2E18"/>
    <w:rsid w:val="001E1FC9"/>
    <w:rsid w:val="001E49F3"/>
    <w:rsid w:val="00201DFB"/>
    <w:rsid w:val="00204A63"/>
    <w:rsid w:val="00212FF1"/>
    <w:rsid w:val="0022105C"/>
    <w:rsid w:val="002257AE"/>
    <w:rsid w:val="00230193"/>
    <w:rsid w:val="0025068A"/>
    <w:rsid w:val="00252809"/>
    <w:rsid w:val="002818D3"/>
    <w:rsid w:val="00292B19"/>
    <w:rsid w:val="002A33C3"/>
    <w:rsid w:val="002D11A8"/>
    <w:rsid w:val="002F6AD3"/>
    <w:rsid w:val="0030082A"/>
    <w:rsid w:val="003116CA"/>
    <w:rsid w:val="0033212B"/>
    <w:rsid w:val="0035523E"/>
    <w:rsid w:val="00363DF9"/>
    <w:rsid w:val="00372D7A"/>
    <w:rsid w:val="003802B1"/>
    <w:rsid w:val="00414667"/>
    <w:rsid w:val="00415DAF"/>
    <w:rsid w:val="00422369"/>
    <w:rsid w:val="00432AE8"/>
    <w:rsid w:val="00445271"/>
    <w:rsid w:val="004471EE"/>
    <w:rsid w:val="00464705"/>
    <w:rsid w:val="00494AB6"/>
    <w:rsid w:val="004A0504"/>
    <w:rsid w:val="004B258B"/>
    <w:rsid w:val="004C0C36"/>
    <w:rsid w:val="004E0474"/>
    <w:rsid w:val="004E38D9"/>
    <w:rsid w:val="005201EF"/>
    <w:rsid w:val="00533211"/>
    <w:rsid w:val="005537D5"/>
    <w:rsid w:val="00593E44"/>
    <w:rsid w:val="00595501"/>
    <w:rsid w:val="005A7DF0"/>
    <w:rsid w:val="005F1D5F"/>
    <w:rsid w:val="006132AB"/>
    <w:rsid w:val="0064007A"/>
    <w:rsid w:val="00652199"/>
    <w:rsid w:val="006750B9"/>
    <w:rsid w:val="00694345"/>
    <w:rsid w:val="0069576D"/>
    <w:rsid w:val="006B7DF2"/>
    <w:rsid w:val="006D059A"/>
    <w:rsid w:val="006D39F9"/>
    <w:rsid w:val="006D7270"/>
    <w:rsid w:val="006F5A0D"/>
    <w:rsid w:val="00740D6D"/>
    <w:rsid w:val="0075379D"/>
    <w:rsid w:val="00761671"/>
    <w:rsid w:val="00794149"/>
    <w:rsid w:val="007B67A7"/>
    <w:rsid w:val="007C6092"/>
    <w:rsid w:val="007D2631"/>
    <w:rsid w:val="007D2934"/>
    <w:rsid w:val="007D3F7A"/>
    <w:rsid w:val="007D7DFE"/>
    <w:rsid w:val="007F6B69"/>
    <w:rsid w:val="00812083"/>
    <w:rsid w:val="008157A8"/>
    <w:rsid w:val="0083393E"/>
    <w:rsid w:val="00836765"/>
    <w:rsid w:val="00877C13"/>
    <w:rsid w:val="008B4174"/>
    <w:rsid w:val="008C0AF9"/>
    <w:rsid w:val="00905007"/>
    <w:rsid w:val="00932F35"/>
    <w:rsid w:val="00943154"/>
    <w:rsid w:val="00943C11"/>
    <w:rsid w:val="00954862"/>
    <w:rsid w:val="00961840"/>
    <w:rsid w:val="009724D5"/>
    <w:rsid w:val="00975CF0"/>
    <w:rsid w:val="0098534E"/>
    <w:rsid w:val="009A5B4E"/>
    <w:rsid w:val="009B35C9"/>
    <w:rsid w:val="009B4FD2"/>
    <w:rsid w:val="009C3771"/>
    <w:rsid w:val="00A01B1A"/>
    <w:rsid w:val="00A03AAC"/>
    <w:rsid w:val="00A053C6"/>
    <w:rsid w:val="00A13509"/>
    <w:rsid w:val="00AC4E42"/>
    <w:rsid w:val="00AF7FA5"/>
    <w:rsid w:val="00B01705"/>
    <w:rsid w:val="00B0261C"/>
    <w:rsid w:val="00B13BF0"/>
    <w:rsid w:val="00B61970"/>
    <w:rsid w:val="00B66B66"/>
    <w:rsid w:val="00B71B0A"/>
    <w:rsid w:val="00B91DAC"/>
    <w:rsid w:val="00BC6BD1"/>
    <w:rsid w:val="00BD6C20"/>
    <w:rsid w:val="00BE639F"/>
    <w:rsid w:val="00C1285C"/>
    <w:rsid w:val="00C23717"/>
    <w:rsid w:val="00C27B7D"/>
    <w:rsid w:val="00C34811"/>
    <w:rsid w:val="00C37C9F"/>
    <w:rsid w:val="00C6340D"/>
    <w:rsid w:val="00C76763"/>
    <w:rsid w:val="00C914B1"/>
    <w:rsid w:val="00C91894"/>
    <w:rsid w:val="00CF4760"/>
    <w:rsid w:val="00D1174F"/>
    <w:rsid w:val="00D17135"/>
    <w:rsid w:val="00D42A82"/>
    <w:rsid w:val="00D947E8"/>
    <w:rsid w:val="00DC6C70"/>
    <w:rsid w:val="00E20EEC"/>
    <w:rsid w:val="00E22893"/>
    <w:rsid w:val="00E240D2"/>
    <w:rsid w:val="00E33FEF"/>
    <w:rsid w:val="00E360DE"/>
    <w:rsid w:val="00E51610"/>
    <w:rsid w:val="00E701B6"/>
    <w:rsid w:val="00E75D28"/>
    <w:rsid w:val="00E84F25"/>
    <w:rsid w:val="00E92B51"/>
    <w:rsid w:val="00EE74FF"/>
    <w:rsid w:val="00F045E4"/>
    <w:rsid w:val="00F416C3"/>
    <w:rsid w:val="00F83A81"/>
    <w:rsid w:val="00F848CD"/>
    <w:rsid w:val="00FB3312"/>
    <w:rsid w:val="00FB4751"/>
    <w:rsid w:val="00FC6E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EF2501D-4661-44C8-8891-9BEDACA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C0AF9"/>
    <w:pPr>
      <w:spacing w:before="125" w:line="250" w:lineRule="atLeast"/>
      <w:jc w:val="both"/>
    </w:pPr>
    <w:rPr>
      <w:sz w:val="19"/>
      <w:lang w:val="sv-SE" w:eastAsia="sv-SE"/>
    </w:rPr>
  </w:style>
  <w:style w:type="paragraph" w:styleId="Rubrik1">
    <w:name w:val="heading 1"/>
    <w:basedOn w:val="Normal"/>
    <w:next w:val="Normal"/>
    <w:qFormat/>
    <w:rsid w:val="008C0AF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C0AF9"/>
    <w:pPr>
      <w:numPr>
        <w:ilvl w:val="1"/>
      </w:numPr>
      <w:spacing w:before="500" w:line="250" w:lineRule="exact"/>
      <w:outlineLvl w:val="1"/>
    </w:pPr>
    <w:rPr>
      <w:sz w:val="27"/>
    </w:rPr>
  </w:style>
  <w:style w:type="paragraph" w:styleId="Rubrik3">
    <w:name w:val="heading 3"/>
    <w:aliases w:val="Mellanrubrik"/>
    <w:basedOn w:val="Rubrik2"/>
    <w:next w:val="Normal"/>
    <w:qFormat/>
    <w:rsid w:val="008C0AF9"/>
    <w:pPr>
      <w:numPr>
        <w:ilvl w:val="2"/>
      </w:numPr>
      <w:spacing w:before="250" w:after="0"/>
      <w:outlineLvl w:val="2"/>
    </w:pPr>
    <w:rPr>
      <w:b/>
      <w:sz w:val="21"/>
    </w:rPr>
  </w:style>
  <w:style w:type="paragraph" w:styleId="Rubrik4">
    <w:name w:val="heading 4"/>
    <w:aliases w:val="KursivRubrik"/>
    <w:basedOn w:val="Rubrik3"/>
    <w:next w:val="Normal"/>
    <w:qFormat/>
    <w:rsid w:val="008C0AF9"/>
    <w:pPr>
      <w:numPr>
        <w:ilvl w:val="3"/>
      </w:numPr>
      <w:outlineLvl w:val="3"/>
    </w:pPr>
    <w:rPr>
      <w:b w:val="0"/>
      <w:i/>
    </w:rPr>
  </w:style>
  <w:style w:type="paragraph" w:styleId="Rubrik5">
    <w:name w:val="heading 5"/>
    <w:aliases w:val="PackadFetRubrik,PackadKursivRubrik"/>
    <w:basedOn w:val="Rubrik4"/>
    <w:next w:val="Normal"/>
    <w:qFormat/>
    <w:rsid w:val="008C0AF9"/>
    <w:pPr>
      <w:numPr>
        <w:ilvl w:val="4"/>
      </w:numPr>
      <w:tabs>
        <w:tab w:val="clear" w:pos="1021"/>
      </w:tabs>
      <w:spacing w:before="125"/>
      <w:outlineLvl w:val="4"/>
    </w:pPr>
    <w:rPr>
      <w:i w:val="0"/>
      <w:sz w:val="19"/>
    </w:rPr>
  </w:style>
  <w:style w:type="paragraph" w:styleId="Rubrik6">
    <w:name w:val="heading 6"/>
    <w:basedOn w:val="Rubrik5"/>
    <w:next w:val="Normal"/>
    <w:qFormat/>
    <w:rsid w:val="008C0AF9"/>
    <w:pPr>
      <w:numPr>
        <w:ilvl w:val="5"/>
      </w:numPr>
      <w:spacing w:before="50" w:line="200" w:lineRule="exact"/>
      <w:outlineLvl w:val="5"/>
    </w:pPr>
    <w:rPr>
      <w:caps/>
      <w:sz w:val="14"/>
    </w:rPr>
  </w:style>
  <w:style w:type="paragraph" w:styleId="Rubrik7">
    <w:name w:val="heading 7"/>
    <w:basedOn w:val="Rubrik6"/>
    <w:next w:val="Normal"/>
    <w:qFormat/>
    <w:rsid w:val="008C0AF9"/>
    <w:pPr>
      <w:numPr>
        <w:ilvl w:val="6"/>
      </w:numPr>
      <w:spacing w:before="0"/>
      <w:outlineLvl w:val="6"/>
    </w:pPr>
  </w:style>
  <w:style w:type="paragraph" w:styleId="Rubrik8">
    <w:name w:val="heading 8"/>
    <w:basedOn w:val="Rubrik7"/>
    <w:next w:val="Normal"/>
    <w:qFormat/>
    <w:rsid w:val="008C0AF9"/>
    <w:pPr>
      <w:numPr>
        <w:ilvl w:val="7"/>
      </w:numPr>
      <w:outlineLvl w:val="7"/>
    </w:pPr>
  </w:style>
  <w:style w:type="paragraph" w:styleId="Rubrik9">
    <w:name w:val="heading 9"/>
    <w:basedOn w:val="Rubrik8"/>
    <w:next w:val="Normal"/>
    <w:qFormat/>
    <w:rsid w:val="008C0AF9"/>
    <w:pPr>
      <w:numPr>
        <w:ilvl w:val="8"/>
      </w:numPr>
      <w:outlineLvl w:val="8"/>
    </w:pPr>
  </w:style>
  <w:style w:type="character" w:default="1" w:styleId="Standardstycketeckensnitt">
    <w:name w:val="Default Paragraph Font"/>
    <w:semiHidden/>
    <w:rsid w:val="008C0AF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C0AF9"/>
  </w:style>
  <w:style w:type="paragraph" w:styleId="Citat">
    <w:name w:val="Quote"/>
    <w:basedOn w:val="Normal"/>
    <w:next w:val="Normal"/>
    <w:qFormat/>
    <w:rsid w:val="008C0AF9"/>
    <w:pPr>
      <w:spacing w:line="200" w:lineRule="exact"/>
      <w:ind w:left="340"/>
    </w:pPr>
  </w:style>
  <w:style w:type="paragraph" w:customStyle="1" w:styleId="Citatindrag">
    <w:name w:val="Citat_indrag"/>
    <w:aliases w:val="Packad"/>
    <w:basedOn w:val="Citat"/>
    <w:rsid w:val="008C0AF9"/>
    <w:pPr>
      <w:spacing w:before="0"/>
      <w:ind w:firstLine="227"/>
    </w:pPr>
  </w:style>
  <w:style w:type="paragraph" w:customStyle="1" w:styleId="FSHNormal">
    <w:name w:val="FSH_Normal"/>
    <w:semiHidden/>
    <w:rsid w:val="008C0AF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C0AF9"/>
    <w:pPr>
      <w:spacing w:line="240" w:lineRule="auto"/>
    </w:pPr>
  </w:style>
  <w:style w:type="paragraph" w:customStyle="1" w:styleId="FSHNormalS5">
    <w:name w:val="FSH_NormalS5"/>
    <w:basedOn w:val="FSHNormal"/>
    <w:next w:val="FSHNormal"/>
    <w:semiHidden/>
    <w:rsid w:val="008C0AF9"/>
    <w:pPr>
      <w:keepNext/>
      <w:keepLines/>
      <w:widowControl/>
      <w:spacing w:before="230" w:after="520" w:line="250" w:lineRule="exact"/>
    </w:pPr>
    <w:rPr>
      <w:b/>
      <w:sz w:val="27"/>
    </w:rPr>
  </w:style>
  <w:style w:type="paragraph" w:customStyle="1" w:styleId="FSHNormL">
    <w:name w:val="FSH_NormLÖ"/>
    <w:basedOn w:val="FSHNormal"/>
    <w:next w:val="FSHNormal"/>
    <w:semiHidden/>
    <w:rsid w:val="008C0AF9"/>
    <w:pPr>
      <w:pBdr>
        <w:top w:val="single" w:sz="12" w:space="1" w:color="auto"/>
      </w:pBdr>
    </w:pPr>
  </w:style>
  <w:style w:type="paragraph" w:customStyle="1" w:styleId="FSHRub1">
    <w:name w:val="FSH_Rub1"/>
    <w:aliases w:val="Rubrik1_S5,Huvudrubrik"/>
    <w:basedOn w:val="FSHNormal"/>
    <w:next w:val="FSHNormal"/>
    <w:semiHidden/>
    <w:rsid w:val="008C0AF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C0AF9"/>
    <w:pPr>
      <w:spacing w:before="240" w:after="80" w:line="360" w:lineRule="exact"/>
    </w:pPr>
    <w:rPr>
      <w:sz w:val="36"/>
    </w:rPr>
  </w:style>
  <w:style w:type="paragraph" w:customStyle="1" w:styleId="FSHTitel">
    <w:name w:val="FSH_Titel"/>
    <w:aliases w:val="Dokumentrubrik"/>
    <w:basedOn w:val="FSHRub1"/>
    <w:next w:val="FSHNormal"/>
    <w:semiHidden/>
    <w:rsid w:val="008C0AF9"/>
    <w:pPr>
      <w:pBdr>
        <w:bottom w:val="single" w:sz="4" w:space="3" w:color="auto"/>
      </w:pBdr>
      <w:spacing w:before="0" w:after="80" w:line="400" w:lineRule="exact"/>
    </w:pPr>
    <w:rPr>
      <w:sz w:val="40"/>
    </w:rPr>
  </w:style>
  <w:style w:type="paragraph" w:customStyle="1" w:styleId="Hemstlbyline">
    <w:name w:val="Hemstl_byline"/>
    <w:basedOn w:val="Normal"/>
    <w:next w:val="Normal"/>
    <w:semiHidden/>
    <w:rsid w:val="00100531"/>
    <w:pPr>
      <w:keepNext/>
      <w:keepLines/>
      <w:spacing w:line="360" w:lineRule="auto"/>
    </w:pPr>
  </w:style>
  <w:style w:type="paragraph" w:customStyle="1" w:styleId="Hemstlatt">
    <w:name w:val="Hemstl_att"/>
    <w:aliases w:val="HemstPunkt,HemstPunktFlera,HemställansPunkt,Förslagstext"/>
    <w:basedOn w:val="Normal"/>
    <w:next w:val="Normal"/>
    <w:rsid w:val="008C0AF9"/>
    <w:pPr>
      <w:keepLines/>
      <w:numPr>
        <w:numId w:val="16"/>
      </w:numPr>
      <w:spacing w:before="0"/>
    </w:pPr>
  </w:style>
  <w:style w:type="paragraph" w:customStyle="1" w:styleId="Hemstlrubrik">
    <w:name w:val="Hemstl_rubrik"/>
    <w:basedOn w:val="Rubrik1"/>
    <w:next w:val="Normal"/>
    <w:rsid w:val="008C0AF9"/>
    <w:pPr>
      <w:spacing w:after="250"/>
    </w:pPr>
  </w:style>
  <w:style w:type="paragraph" w:customStyle="1" w:styleId="KantRubrikS5H">
    <w:name w:val="KantRubrikS5H"/>
    <w:semiHidden/>
    <w:rsid w:val="008C0AF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C0AF9"/>
    <w:pPr>
      <w:spacing w:line="200" w:lineRule="exact"/>
    </w:pPr>
  </w:style>
  <w:style w:type="paragraph" w:customStyle="1" w:styleId="KantRubrikS5V">
    <w:name w:val="KantRubrikS5V"/>
    <w:basedOn w:val="KantRubrikS5H"/>
    <w:semiHidden/>
    <w:rsid w:val="008C0AF9"/>
    <w:pPr>
      <w:tabs>
        <w:tab w:val="right" w:pos="1814"/>
        <w:tab w:val="left" w:pos="1899"/>
      </w:tabs>
      <w:ind w:right="0"/>
      <w:jc w:val="left"/>
    </w:pPr>
  </w:style>
  <w:style w:type="paragraph" w:customStyle="1" w:styleId="KantRubrikS5Vrad2">
    <w:name w:val="KantRubrikS5Vrad2"/>
    <w:basedOn w:val="KantRubrikS5V"/>
    <w:semiHidden/>
    <w:rsid w:val="008C0AF9"/>
    <w:pPr>
      <w:tabs>
        <w:tab w:val="clear" w:pos="1814"/>
        <w:tab w:val="clear" w:pos="1899"/>
        <w:tab w:val="right" w:pos="1418"/>
        <w:tab w:val="left" w:pos="1503"/>
      </w:tabs>
    </w:pPr>
  </w:style>
  <w:style w:type="paragraph" w:customStyle="1" w:styleId="Lagtext">
    <w:name w:val="Lagtext"/>
    <w:basedOn w:val="Lagtextrubrik"/>
    <w:next w:val="Lagtextindrag"/>
    <w:rsid w:val="008C0AF9"/>
    <w:pPr>
      <w:spacing w:before="0"/>
    </w:pPr>
    <w:rPr>
      <w:sz w:val="19"/>
    </w:rPr>
  </w:style>
  <w:style w:type="paragraph" w:customStyle="1" w:styleId="Lagtextindrag">
    <w:name w:val="Lagtext_indrag"/>
    <w:basedOn w:val="Lagtext"/>
    <w:rsid w:val="008C0AF9"/>
    <w:pPr>
      <w:ind w:firstLine="170"/>
    </w:pPr>
  </w:style>
  <w:style w:type="paragraph" w:customStyle="1" w:styleId="Lagtextrubrik">
    <w:name w:val="Lagtext_rubrik"/>
    <w:basedOn w:val="Normal"/>
    <w:next w:val="Normal"/>
    <w:rsid w:val="008C0AF9"/>
    <w:pPr>
      <w:suppressAutoHyphens/>
      <w:spacing w:line="220" w:lineRule="exact"/>
    </w:pPr>
    <w:rPr>
      <w:i/>
      <w:sz w:val="21"/>
    </w:rPr>
  </w:style>
  <w:style w:type="paragraph" w:styleId="Normaltindrag">
    <w:name w:val="Normal Indent"/>
    <w:aliases w:val="Normal_indrag,Normal Indrag"/>
    <w:basedOn w:val="Normal"/>
    <w:rsid w:val="008C0AF9"/>
    <w:pPr>
      <w:spacing w:before="0"/>
      <w:ind w:firstLine="227"/>
    </w:pPr>
  </w:style>
  <w:style w:type="paragraph" w:customStyle="1" w:styleId="NormalA4fot">
    <w:name w:val="Normal_A4fot"/>
    <w:basedOn w:val="Normal"/>
    <w:semiHidden/>
    <w:rsid w:val="008C0AF9"/>
    <w:pPr>
      <w:spacing w:before="240" w:line="240" w:lineRule="auto"/>
      <w:jc w:val="center"/>
    </w:pPr>
  </w:style>
  <w:style w:type="paragraph" w:customStyle="1" w:styleId="NormalA4sidnr">
    <w:name w:val="Normal_A4sidnr"/>
    <w:basedOn w:val="Normal"/>
    <w:semiHidden/>
    <w:rsid w:val="008C0AF9"/>
    <w:pPr>
      <w:spacing w:after="240"/>
      <w:jc w:val="center"/>
    </w:pPr>
  </w:style>
  <w:style w:type="paragraph" w:customStyle="1" w:styleId="NormalS5sidnrH">
    <w:name w:val="Normal_S5sidnrH"/>
    <w:basedOn w:val="Normal"/>
    <w:semiHidden/>
    <w:rsid w:val="008C0AF9"/>
    <w:pPr>
      <w:spacing w:before="0" w:line="240" w:lineRule="auto"/>
      <w:ind w:right="57"/>
      <w:jc w:val="right"/>
    </w:pPr>
  </w:style>
  <w:style w:type="paragraph" w:customStyle="1" w:styleId="NormalS5sidnrV">
    <w:name w:val="Normal_S5sidnrV"/>
    <w:basedOn w:val="NormalS5sidnrH"/>
    <w:semiHidden/>
    <w:rsid w:val="008C0AF9"/>
    <w:pPr>
      <w:tabs>
        <w:tab w:val="right" w:pos="1814"/>
        <w:tab w:val="left" w:pos="1899"/>
      </w:tabs>
      <w:ind w:right="0"/>
      <w:jc w:val="left"/>
    </w:pPr>
  </w:style>
  <w:style w:type="paragraph" w:customStyle="1" w:styleId="Normal00">
    <w:name w:val="Normal00"/>
    <w:basedOn w:val="Normal"/>
    <w:semiHidden/>
    <w:rsid w:val="008C0AF9"/>
    <w:pPr>
      <w:spacing w:before="0" w:line="240" w:lineRule="auto"/>
      <w:jc w:val="left"/>
    </w:pPr>
  </w:style>
  <w:style w:type="paragraph" w:customStyle="1" w:styleId="PunktlistaBomb">
    <w:name w:val="Punktlista_Bomb"/>
    <w:aliases w:val="Bomb"/>
    <w:basedOn w:val="Normal"/>
    <w:rsid w:val="008C0AF9"/>
    <w:pPr>
      <w:numPr>
        <w:numId w:val="2"/>
      </w:numPr>
    </w:pPr>
  </w:style>
  <w:style w:type="paragraph" w:customStyle="1" w:styleId="PunktlistaNummer">
    <w:name w:val="Punktlista_Nummer"/>
    <w:aliases w:val="Nummerlista"/>
    <w:basedOn w:val="Normal"/>
    <w:rsid w:val="008C0AF9"/>
    <w:pPr>
      <w:numPr>
        <w:numId w:val="3"/>
      </w:numPr>
    </w:pPr>
  </w:style>
  <w:style w:type="paragraph" w:customStyle="1" w:styleId="PunktlistaTankstreck">
    <w:name w:val="Punktlista_Tankstreck"/>
    <w:aliases w:val="Tankstreck"/>
    <w:basedOn w:val="Normal"/>
    <w:rsid w:val="008C0AF9"/>
    <w:pPr>
      <w:numPr>
        <w:numId w:val="4"/>
      </w:numPr>
    </w:pPr>
  </w:style>
  <w:style w:type="paragraph" w:customStyle="1" w:styleId="RubrikSammanf">
    <w:name w:val="RubrikSammanf"/>
    <w:basedOn w:val="Rubrik1"/>
    <w:next w:val="Normal"/>
    <w:rsid w:val="008C0AF9"/>
  </w:style>
  <w:style w:type="paragraph" w:customStyle="1" w:styleId="RubrikInnehllsf">
    <w:name w:val="RubrikInnehållsf"/>
    <w:basedOn w:val="RubrikSammanf"/>
    <w:next w:val="Normal"/>
    <w:rsid w:val="008C0AF9"/>
  </w:style>
  <w:style w:type="paragraph" w:customStyle="1" w:styleId="Tabellochbildrubrik">
    <w:name w:val="Tabell och bildrubrik"/>
    <w:basedOn w:val="Normal"/>
    <w:next w:val="Normal"/>
    <w:rsid w:val="008C0AF9"/>
    <w:pPr>
      <w:suppressAutoHyphens/>
      <w:spacing w:before="300" w:line="200" w:lineRule="exact"/>
      <w:jc w:val="left"/>
    </w:pPr>
    <w:rPr>
      <w:caps/>
      <w:sz w:val="14"/>
    </w:rPr>
  </w:style>
  <w:style w:type="paragraph" w:customStyle="1" w:styleId="Underskrifter">
    <w:name w:val="Underskrifter"/>
    <w:basedOn w:val="Normal"/>
    <w:rsid w:val="008C0AF9"/>
    <w:pPr>
      <w:keepNext/>
      <w:keepLines/>
      <w:suppressAutoHyphens/>
      <w:spacing w:before="0" w:after="40" w:line="250" w:lineRule="exact"/>
    </w:pPr>
    <w:rPr>
      <w:i/>
    </w:rPr>
  </w:style>
  <w:style w:type="paragraph" w:customStyle="1" w:styleId="UnderskriftDatum">
    <w:name w:val="UnderskriftDatum"/>
    <w:basedOn w:val="Underskrifter"/>
    <w:next w:val="Underskrifter"/>
    <w:rsid w:val="008C0AF9"/>
    <w:pPr>
      <w:spacing w:before="250" w:after="125"/>
    </w:pPr>
    <w:rPr>
      <w:i w:val="0"/>
    </w:rPr>
  </w:style>
  <w:style w:type="paragraph" w:styleId="Sidhuvud">
    <w:name w:val="header"/>
    <w:basedOn w:val="Normal"/>
    <w:semiHidden/>
    <w:rsid w:val="008C0AF9"/>
    <w:pPr>
      <w:tabs>
        <w:tab w:val="center" w:pos="4536"/>
        <w:tab w:val="right" w:pos="9072"/>
      </w:tabs>
    </w:pPr>
  </w:style>
  <w:style w:type="paragraph" w:styleId="Sidfot">
    <w:name w:val="footer"/>
    <w:basedOn w:val="Normal"/>
    <w:semiHidden/>
    <w:rsid w:val="008C0AF9"/>
    <w:pPr>
      <w:tabs>
        <w:tab w:val="center" w:pos="4536"/>
        <w:tab w:val="right" w:pos="9072"/>
      </w:tabs>
    </w:pPr>
  </w:style>
  <w:style w:type="paragraph" w:styleId="Innehll1">
    <w:name w:val="toc 1"/>
    <w:basedOn w:val="Normal"/>
    <w:next w:val="Innehll2"/>
    <w:semiHidden/>
    <w:rsid w:val="008C0AF9"/>
    <w:pPr>
      <w:tabs>
        <w:tab w:val="right" w:leader="dot" w:pos="5953"/>
      </w:tabs>
      <w:suppressAutoHyphens/>
      <w:spacing w:before="0"/>
      <w:ind w:right="567"/>
      <w:jc w:val="left"/>
    </w:pPr>
  </w:style>
  <w:style w:type="paragraph" w:styleId="Innehll2">
    <w:name w:val="toc 2"/>
    <w:basedOn w:val="Innehll1"/>
    <w:next w:val="Innehll3"/>
    <w:semiHidden/>
    <w:rsid w:val="008C0AF9"/>
    <w:pPr>
      <w:ind w:left="284"/>
    </w:pPr>
  </w:style>
  <w:style w:type="paragraph" w:styleId="Innehll3">
    <w:name w:val="toc 3"/>
    <w:basedOn w:val="Innehll2"/>
    <w:next w:val="Innehll4"/>
    <w:semiHidden/>
    <w:rsid w:val="008C0AF9"/>
    <w:pPr>
      <w:ind w:left="567"/>
    </w:pPr>
  </w:style>
  <w:style w:type="paragraph" w:styleId="Innehll4">
    <w:name w:val="toc 4"/>
    <w:basedOn w:val="Innehll3"/>
    <w:next w:val="Normal"/>
    <w:semiHidden/>
    <w:rsid w:val="008C0AF9"/>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8C0AF9"/>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8C0AF9"/>
    <w:rPr>
      <w:color w:val="0000FF"/>
      <w:u w:val="single"/>
    </w:rPr>
  </w:style>
  <w:style w:type="paragraph" w:styleId="Indragetstycke">
    <w:name w:val="Block Text"/>
    <w:basedOn w:val="Normal"/>
    <w:semiHidden/>
    <w:rsid w:val="008C0AF9"/>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8C0AF9"/>
  </w:style>
  <w:style w:type="paragraph" w:styleId="Lista">
    <w:name w:val="List"/>
    <w:basedOn w:val="Normal"/>
    <w:semiHidden/>
    <w:rsid w:val="008C0AF9"/>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8C0AF9"/>
    <w:rPr>
      <w:szCs w:val="24"/>
    </w:rPr>
  </w:style>
  <w:style w:type="paragraph" w:styleId="Numreradlista">
    <w:name w:val="List Number"/>
    <w:basedOn w:val="Normal"/>
    <w:semiHidden/>
    <w:rsid w:val="008C0AF9"/>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C0AF9"/>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8C0AF9"/>
  </w:style>
  <w:style w:type="character" w:styleId="Sidnummer">
    <w:name w:val="page number"/>
    <w:basedOn w:val="Standardstycketeckensnitt"/>
    <w:semiHidden/>
    <w:rsid w:val="008C0AF9"/>
  </w:style>
  <w:style w:type="paragraph" w:styleId="Signatur">
    <w:name w:val="Signature"/>
    <w:basedOn w:val="Normal"/>
    <w:semiHidden/>
    <w:rsid w:val="008C0AF9"/>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8C0AF9"/>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4267</Words>
  <Characters>25352</Characters>
  <Application>Microsoft Office Word</Application>
  <DocSecurity>4</DocSecurity>
  <Lines>478</Lines>
  <Paragraphs>157</Paragraphs>
  <ScaleCrop>false</ScaleCrop>
  <HeadingPairs>
    <vt:vector size="2" baseType="variant">
      <vt:variant>
        <vt:lpstr>Rubrik</vt:lpstr>
      </vt:variant>
      <vt:variant>
        <vt:i4>1</vt:i4>
      </vt:variant>
    </vt:vector>
  </HeadingPairs>
  <TitlesOfParts>
    <vt:vector size="1" baseType="lpstr">
      <vt:lpstr>MJ2</vt:lpstr>
    </vt:vector>
  </TitlesOfParts>
  <Company>Riksdagen</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dc:title>
  <dc:subject>MJ2</dc:subject>
  <dc:creator>Riksdagen</dc:creator>
  <cp:keywords>Riksdagen</cp:keywords>
  <dc:description/>
  <cp:lastModifiedBy>Lars Brink</cp:lastModifiedBy>
  <cp:revision>2</cp:revision>
  <cp:lastPrinted>2005-10-03T08:44:00Z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mot2000_416_2005-09-27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2004/05:173 En nationell strategi för havsmiljön</vt:lpwstr>
  </property>
  <property fmtid="{D5CDD505-2E9C-101B-9397-08002B2CF9AE}" pid="11" name="SvarFrasKort">
    <vt:lpwstr>med anledning av skr. 2004/05:173</vt:lpwstr>
  </property>
  <property fmtid="{D5CDD505-2E9C-101B-9397-08002B2CF9AE}" pid="12" name="Svar">
    <vt:lpwstr>skrivelse</vt:lpwstr>
  </property>
  <property fmtid="{D5CDD505-2E9C-101B-9397-08002B2CF9AE}" pid="13" name="SvarNr">
    <vt:lpwstr>2004/05:173</vt:lpwstr>
  </property>
  <property fmtid="{D5CDD505-2E9C-101B-9397-08002B2CF9AE}" pid="14" name="RubrikSvar">
    <vt:lpwstr>En nationell strategi för havsmiljön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 Gunnar Persson m.fl. (kd)</vt:lpwstr>
  </property>
  <property fmtid="{D5CDD505-2E9C-101B-9397-08002B2CF9AE}" pid="26" name="MotionarLista">
    <vt:lpwstr>Persson, Sven Gunnar (kd)\von der Esch, Björn (kd)\Kihlström, Dan (kd)\Marcelind, Ragnwi (kd)\Gylling, Johnny (kd)\Enochson, Annelie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 Björn von der Esch (kd), Dan Kihlström (kd), Ragnwi Marcelind (kd), Johnny Gylling (kd), Annelie Enochson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martin.wisell@riksdagen.se</vt:lpwstr>
  </property>
  <property fmtid="{D5CDD505-2E9C-101B-9397-08002B2CF9AE}" pid="45" name="ReservUID">
    <vt:lpwstr>peter jansson</vt:lpwstr>
  </property>
  <property fmtid="{D5CDD505-2E9C-101B-9397-08002B2CF9AE}" pid="46" name="MotionID">
    <vt:lpwstr>20052006000001070100000001770075</vt:lpwstr>
  </property>
  <property fmtid="{D5CDD505-2E9C-101B-9397-08002B2CF9AE}" pid="47" name="datum">
    <vt:lpwstr>050928</vt:lpwstr>
  </property>
  <property fmtid="{D5CDD505-2E9C-101B-9397-08002B2CF9AE}" pid="48" name="avsändar-e-post">
    <vt:lpwstr>martin.wisell@riksdagen.se</vt:lpwstr>
  </property>
  <property fmtid="{D5CDD505-2E9C-101B-9397-08002B2CF9AE}" pid="49" name="id">
    <vt:lpwstr>20052006000001070100000001770075</vt:lpwstr>
  </property>
  <property fmtid="{D5CDD505-2E9C-101B-9397-08002B2CF9AE}" pid="50" name="nummer">
    <vt:lpwstr>2</vt:lpwstr>
  </property>
  <property fmtid="{D5CDD505-2E9C-101B-9397-08002B2CF9AE}" pid="51" name="utskottsbeteckning">
    <vt:lpwstr>MJ</vt:lpwstr>
  </property>
</Properties>
</file>