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420B65FA534A219E6C8C4A5DC7705E"/>
        </w:placeholder>
        <w:text/>
      </w:sdtPr>
      <w:sdtEndPr/>
      <w:sdtContent>
        <w:p w:rsidRPr="009B062B" w:rsidR="00AF30DD" w:rsidP="001A4F81" w:rsidRDefault="00AF30DD" w14:paraId="19B50BB5" w14:textId="77777777">
          <w:pPr>
            <w:pStyle w:val="Rubrik1"/>
            <w:spacing w:after="300"/>
          </w:pPr>
          <w:r w:rsidRPr="009B062B">
            <w:t>Förslag till riksdagsbeslut</w:t>
          </w:r>
        </w:p>
      </w:sdtContent>
    </w:sdt>
    <w:sdt>
      <w:sdtPr>
        <w:alias w:val="Yrkande 1"/>
        <w:tag w:val="5e88de39-631c-4735-93e6-8a63c3597a1e"/>
        <w:id w:val="894475613"/>
        <w:lock w:val="sdtLocked"/>
      </w:sdtPr>
      <w:sdtEndPr/>
      <w:sdtContent>
        <w:p w:rsidR="00316B85" w:rsidRDefault="00697619" w14:paraId="19B50BB6" w14:textId="5BA3551D">
          <w:pPr>
            <w:pStyle w:val="Frslagstext"/>
            <w:numPr>
              <w:ilvl w:val="0"/>
              <w:numId w:val="0"/>
            </w:numPr>
          </w:pPr>
          <w:r>
            <w:t>Riksdagen anvisar anslagen för 2022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72CB1C9C43E4000B21688BA14D07FC8"/>
        </w:placeholder>
        <w:text/>
      </w:sdtPr>
      <w:sdtEndPr/>
      <w:sdtContent>
        <w:p w:rsidRPr="001A4F81" w:rsidR="006D79C9" w:rsidP="00333E95" w:rsidRDefault="00CC0003" w14:paraId="19B50BB7" w14:textId="77777777">
          <w:pPr>
            <w:pStyle w:val="Rubrik1"/>
          </w:pPr>
          <w:r>
            <w:t>Anslagsfördelning</w:t>
          </w:r>
        </w:p>
      </w:sdtContent>
    </w:sdt>
    <w:p w:rsidRPr="00AC7025" w:rsidR="00CC0003" w:rsidP="00AC7025" w:rsidRDefault="00CC0003" w14:paraId="19B50BB8" w14:textId="77777777">
      <w:pPr>
        <w:pStyle w:val="Tabellrubrik"/>
      </w:pPr>
      <w:r w:rsidRPr="00AC7025">
        <w:t>Tabell 1 Anslagsförslag 2022 för utgiftsområde 21 Energi</w:t>
      </w:r>
    </w:p>
    <w:p w:rsidRPr="00AC7025" w:rsidR="00CC0003" w:rsidP="00AC7025" w:rsidRDefault="00CC0003" w14:paraId="19B50BBA" w14:textId="77777777">
      <w:pPr>
        <w:pStyle w:val="Tabellunderrubrik"/>
      </w:pPr>
      <w:r w:rsidRPr="00AC702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A4F81" w:rsidR="00CC0003" w:rsidTr="00A11526" w14:paraId="19B50BB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4F81" w:rsidR="00CC0003" w:rsidP="00A11526" w:rsidRDefault="00CC0003" w14:paraId="19B50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F81" w:rsidR="00CC0003" w:rsidP="00A11526" w:rsidRDefault="00CC0003" w14:paraId="19B50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4F81" w:rsidR="00CC0003" w:rsidP="00A11526" w:rsidRDefault="00CC0003" w14:paraId="19B50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Avvikelse från regeringen</w:t>
            </w:r>
          </w:p>
        </w:tc>
      </w:tr>
      <w:tr w:rsidRPr="001A4F81" w:rsidR="00CC0003" w:rsidTr="00A11526" w14:paraId="19B50BC3"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419 387</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2 000 000</w:t>
            </w:r>
          </w:p>
        </w:tc>
      </w:tr>
      <w:tr w:rsidRPr="001A4F81" w:rsidR="00CC0003" w:rsidTr="00A11526" w14:paraId="19B50BC8"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118 000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CD"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Insatser för förnybar elproduktion</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D2"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1 432 723</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D7"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600 000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DC"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184 294</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E1"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1 077 600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E6"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361 000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EB"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F0"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ED" w14:textId="7938BF5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2644AC">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F5"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71 592</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r>
      <w:tr w:rsidRPr="001A4F81" w:rsidR="00CC0003" w:rsidTr="00A11526" w14:paraId="19B50BFA"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Sol- och vindkraft på offentliga byggnader</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1 000 000</w:t>
            </w:r>
          </w:p>
        </w:tc>
      </w:tr>
      <w:tr w:rsidRPr="001A4F81" w:rsidR="00CC0003" w:rsidTr="00A11526" w14:paraId="19B50BFF" w14:textId="77777777">
        <w:trPr>
          <w:trHeight w:val="170"/>
        </w:trPr>
        <w:tc>
          <w:tcPr>
            <w:tcW w:w="340" w:type="dxa"/>
            <w:shd w:val="clear" w:color="auto" w:fill="FFFFFF"/>
            <w:tcMar>
              <w:top w:w="68" w:type="dxa"/>
              <w:left w:w="28" w:type="dxa"/>
              <w:bottom w:w="0" w:type="dxa"/>
              <w:right w:w="28" w:type="dxa"/>
            </w:tcMar>
            <w:hideMark/>
          </w:tcPr>
          <w:p w:rsidRPr="001A4F81" w:rsidR="00CC0003" w:rsidP="00A11526" w:rsidRDefault="00CC0003" w14:paraId="19B50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A4F81" w:rsidR="00CC0003" w:rsidP="00A11526" w:rsidRDefault="00CC0003" w14:paraId="19B50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Kreditgarantier för elnätsinvesteringar</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A4F81" w:rsidR="00CC0003" w:rsidP="00A11526" w:rsidRDefault="00CC0003" w14:paraId="19B50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A4F81">
              <w:rPr>
                <w:rFonts w:ascii="Times New Roman" w:hAnsi="Times New Roman" w:eastAsia="Times New Roman" w:cs="Times New Roman"/>
                <w:color w:val="000000"/>
                <w:kern w:val="0"/>
                <w:sz w:val="20"/>
                <w:szCs w:val="20"/>
                <w:lang w:eastAsia="sv-SE"/>
                <w14:numSpacing w14:val="default"/>
              </w:rPr>
              <w:t>5 000</w:t>
            </w:r>
          </w:p>
        </w:tc>
      </w:tr>
      <w:tr w:rsidRPr="001A4F81" w:rsidR="00CC0003" w:rsidTr="00A11526" w14:paraId="19B50C0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4F81" w:rsidR="00CC0003" w:rsidP="00A11526" w:rsidRDefault="00CC0003" w14:paraId="19B50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A4F81" w:rsidR="00CC0003" w:rsidP="00A11526" w:rsidRDefault="00CC0003" w14:paraId="19B50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4 454 924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A4F81" w:rsidR="00CC0003" w:rsidP="00A11526" w:rsidRDefault="00CC0003" w14:paraId="19B50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A4F81">
              <w:rPr>
                <w:rFonts w:ascii="Times New Roman" w:hAnsi="Times New Roman" w:eastAsia="Times New Roman" w:cs="Times New Roman"/>
                <w:b/>
                <w:bCs/>
                <w:color w:val="000000"/>
                <w:kern w:val="0"/>
                <w:sz w:val="20"/>
                <w:szCs w:val="20"/>
                <w:lang w:eastAsia="sv-SE"/>
                <w14:numSpacing w14:val="default"/>
              </w:rPr>
              <w:t>3 005 000</w:t>
            </w:r>
          </w:p>
        </w:tc>
      </w:tr>
    </w:tbl>
    <w:p w:rsidRPr="00AC7025" w:rsidR="00CC0003" w:rsidP="00AC7025" w:rsidRDefault="00CC0003" w14:paraId="19B50C05" w14:textId="77777777">
      <w:pPr>
        <w:pStyle w:val="Rubrik2"/>
      </w:pPr>
      <w:r w:rsidRPr="00AC7025">
        <w:lastRenderedPageBreak/>
        <w:t>Sammanfattning</w:t>
      </w:r>
    </w:p>
    <w:p w:rsidRPr="001A4F81" w:rsidR="00422B9E" w:rsidP="008E0FE2" w:rsidRDefault="00734445" w14:paraId="19B50C06" w14:textId="7CF7DC22">
      <w:pPr>
        <w:pStyle w:val="Normalutanindragellerluft"/>
      </w:pPr>
      <w:r w:rsidRPr="001A4F81">
        <w:t>Vänsterpartiets huvudmål med energipolitiken är stora reformer som syftar till att bygga ut den förnybara energin och ställa om</w:t>
      </w:r>
      <w:r w:rsidRPr="001A4F81" w:rsidR="00CC0003">
        <w:t xml:space="preserve"> från</w:t>
      </w:r>
      <w:r w:rsidRPr="001A4F81">
        <w:t xml:space="preserve"> fossila bränslen till förnybara. Transport- och industrisektorernas klimatomställning sker till en stor del genom elektrifiering. Inom energiområdet finns utrymme för satsningar som inte bara är viktiga för klimat</w:t>
      </w:r>
      <w:r w:rsidR="00AC7025">
        <w:softHyphen/>
      </w:r>
      <w:r w:rsidRPr="001A4F81">
        <w:t>omställningen utan som även skapar arbetstillfällen och får fart på ekonomin. Våra budgetsatsningar omfattar tre olika stödformer som underlättar omställningen till förnybar energi och säkrar den lokala energiförsörjningen.</w:t>
      </w:r>
    </w:p>
    <w:p w:rsidRPr="001A4F81" w:rsidR="00734445" w:rsidP="00AC7025" w:rsidRDefault="00734445" w14:paraId="19B50C07" w14:textId="1E282DC3">
      <w:pPr>
        <w:pStyle w:val="Rubrik2"/>
      </w:pPr>
      <w:r w:rsidRPr="001A4F81">
        <w:t>Anslag 1</w:t>
      </w:r>
      <w:r w:rsidR="002644AC">
        <w:t>:</w:t>
      </w:r>
      <w:r w:rsidRPr="001A4F81">
        <w:t xml:space="preserve">1 Statens energimyndighet  </w:t>
      </w:r>
    </w:p>
    <w:p w:rsidRPr="001A4F81" w:rsidR="006713A6" w:rsidP="006713A6" w:rsidRDefault="006713A6" w14:paraId="19B50C08" w14:textId="4BC4F292">
      <w:pPr>
        <w:pStyle w:val="Normalutanindragellerluft"/>
      </w:pPr>
      <w:r w:rsidRPr="001A4F81">
        <w:t>Energiomställningen måste ske i hela landet. För att främja lokala initiativ lanserar Vänsterpartiet ett nytt stöd för produktion av förnybar el. Det är avsett för investeringar som främjar lokalsamhällen och lokala företag. Syftet är att sänka tröskeln för inves</w:t>
      </w:r>
      <w:r w:rsidR="00AC7025">
        <w:softHyphen/>
      </w:r>
      <w:r w:rsidRPr="001A4F81">
        <w:t>teringar. Stödet kan uppgå till 10</w:t>
      </w:r>
      <w:r w:rsidR="002644AC">
        <w:t>–</w:t>
      </w:r>
      <w:r w:rsidRPr="001A4F81">
        <w:t>20</w:t>
      </w:r>
      <w:r w:rsidRPr="001A4F81" w:rsidR="002020E4">
        <w:t xml:space="preserve"> procent</w:t>
      </w:r>
      <w:r w:rsidRPr="001A4F81">
        <w:t xml:space="preserve"> av investeringsbeloppet beroende på risknivån som investeringen bedöms ligga på. Energimyndigheten får i uppdrag att ta fram kriterier för stödet och fördela det utifrån ansökningar. Stödet uppgår till 2</w:t>
      </w:r>
      <w:r w:rsidRPr="001A4F81" w:rsidR="002020E4">
        <w:t> </w:t>
      </w:r>
      <w:r w:rsidRPr="001A4F81">
        <w:t>000 m</w:t>
      </w:r>
      <w:r w:rsidRPr="001A4F81" w:rsidR="002020E4">
        <w:t>iljoner kronor</w:t>
      </w:r>
      <w:r w:rsidRPr="001A4F81">
        <w:t xml:space="preserve"> årligen.</w:t>
      </w:r>
    </w:p>
    <w:p w:rsidRPr="001A4F81" w:rsidR="006713A6" w:rsidP="00AC7025" w:rsidRDefault="006713A6" w14:paraId="19B50C09" w14:textId="77777777">
      <w:pPr>
        <w:pStyle w:val="Rubrik2"/>
      </w:pPr>
      <w:r w:rsidRPr="001A4F81">
        <w:t>Nytt anslag: Sol- och vindkraft på offentliga byggnader</w:t>
      </w:r>
    </w:p>
    <w:p w:rsidRPr="001A4F81" w:rsidR="006713A6" w:rsidP="006713A6" w:rsidRDefault="006713A6" w14:paraId="19B50C0A" w14:textId="74419CFD">
      <w:pPr>
        <w:pStyle w:val="Normalutanindragellerluft"/>
      </w:pPr>
      <w:r w:rsidRPr="001A4F81">
        <w:t xml:space="preserve">Vänsterpartiet anser att det allmänna ska gå före i arbetet med energiomställningen. För att underlätta för investeringar och minska kommuners och regioners risker i samband med dessa fortsätter vi med vår satsning på ett riktat stöd för investeringar i förnybar energiproduktion i offentliga byggnader. Stödet är avsett för investeringar i solel, solvärme och hel- eller delägd vindkraft och kan beviljas </w:t>
      </w:r>
      <w:r w:rsidR="002644AC">
        <w:t xml:space="preserve">för </w:t>
      </w:r>
      <w:r w:rsidRPr="001A4F81">
        <w:t>upp till 50</w:t>
      </w:r>
      <w:r w:rsidRPr="001A4F81" w:rsidR="00173841">
        <w:t xml:space="preserve"> procent</w:t>
      </w:r>
      <w:r w:rsidRPr="001A4F81">
        <w:t xml:space="preserve"> av investeringskostnaden. Energimyndigheten får i uppdrag att ta fram kriterier och bevilja stödet utifrån ansökningar. Stödet uppgår till 1</w:t>
      </w:r>
      <w:r w:rsidRPr="001A4F81" w:rsidR="00173841">
        <w:t> </w:t>
      </w:r>
      <w:r w:rsidRPr="001A4F81">
        <w:t xml:space="preserve">000 </w:t>
      </w:r>
      <w:r w:rsidRPr="001A4F81" w:rsidR="00173841">
        <w:t>miljoner kronor</w:t>
      </w:r>
      <w:r w:rsidRPr="001A4F81">
        <w:t xml:space="preserve"> årligen.</w:t>
      </w:r>
    </w:p>
    <w:p w:rsidRPr="001A4F81" w:rsidR="006713A6" w:rsidP="00AC7025" w:rsidRDefault="006713A6" w14:paraId="19B50C0B" w14:textId="3F0A422A">
      <w:pPr>
        <w:pStyle w:val="Rubrik2"/>
      </w:pPr>
      <w:r w:rsidRPr="001A4F81">
        <w:t xml:space="preserve">Nytt anslag: Kreditgarantier för </w:t>
      </w:r>
      <w:r w:rsidR="002644AC">
        <w:t>elnätsinvesteringar</w:t>
      </w:r>
    </w:p>
    <w:p w:rsidRPr="001A4F81" w:rsidR="006713A6" w:rsidP="006713A6" w:rsidRDefault="006713A6" w14:paraId="19B50C0C" w14:textId="1D95C3B9">
      <w:pPr>
        <w:pStyle w:val="Normalutanindragellerluft"/>
      </w:pPr>
      <w:r w:rsidRPr="001A4F81">
        <w:t>Förutom en ökad utbyggnad av förnybar energi förutsätter elektrifiering att överförings</w:t>
      </w:r>
      <w:r w:rsidR="00AC7025">
        <w:softHyphen/>
      </w:r>
      <w:r w:rsidRPr="001A4F81">
        <w:t xml:space="preserve">kapaciteten byggs ut för att undvika uppkomst av effektbrist som redan nu är ett problem på några håll i landet. Det årliga investeringsbehovet på </w:t>
      </w:r>
      <w:r w:rsidR="002644AC">
        <w:t xml:space="preserve">de </w:t>
      </w:r>
      <w:r w:rsidRPr="001A4F81">
        <w:t>regionala och lokala elnäten uppskattas till minst 10</w:t>
      </w:r>
      <w:r w:rsidR="002644AC">
        <w:t> </w:t>
      </w:r>
      <w:r w:rsidRPr="001A4F81">
        <w:t xml:space="preserve">miljarder kronor. Att ha tillräcklig överföringskapacitet är särskilt viktigt vid gröna industrisatsningar som skapar nya arbetstillfällen. </w:t>
      </w:r>
    </w:p>
    <w:p w:rsidRPr="001A4F81" w:rsidR="006713A6" w:rsidP="006713A6" w:rsidRDefault="006713A6" w14:paraId="19B50C0D" w14:textId="413A8472">
      <w:r w:rsidRPr="001A4F81">
        <w:t>För att förbättra överföringskapaciteten på lokal nivå lanserar Vänsterpartiet en ny stödform som underlättar investeringar i elnäten. Syftet är att stärka överföringskapaci</w:t>
      </w:r>
      <w:r w:rsidR="00AC7025">
        <w:softHyphen/>
      </w:r>
      <w:r w:rsidRPr="001A4F81">
        <w:t>teten i de lokala och regionala elnäten. Stödet ges i form av kreditgarantier för elnäts</w:t>
      </w:r>
      <w:r w:rsidR="00AC7025">
        <w:softHyphen/>
      </w:r>
      <w:r w:rsidRPr="001A4F81">
        <w:t>investeringar som säkerställer lokal elförsörjning och gynnar lokalsamhällen och lokala företag. Garantin villkoras med att investeringen inte leder till höjda elnätsavgifter och med att elnätsägaren har gjort sina reinvesteringar enligt plan. För att säkra detta ska elnätsägare uppvisa en godkänd investeringsplan. Riksgäldskontoret ges i uppdrag att administrera och bevilja garantierna utifrån ansökningar och Energimyndigheten ges i uppdrag att ta fram villkor för godkända investeringsplaner. Kreditgarantin kan uppgå till 80</w:t>
      </w:r>
      <w:r w:rsidRPr="001A4F81" w:rsidR="00A04BE0">
        <w:t xml:space="preserve"> procent</w:t>
      </w:r>
      <w:r w:rsidRPr="001A4F81">
        <w:t xml:space="preserve"> av investeringskostnaden. Det årliga utrymmet för krediter beräknas uppgå till 8</w:t>
      </w:r>
      <w:r w:rsidR="002644AC">
        <w:t> </w:t>
      </w:r>
      <w:r w:rsidRPr="001A4F81">
        <w:t>miljarder kronor och budgetpåverkan för 2022 är 5</w:t>
      </w:r>
      <w:r w:rsidR="002644AC">
        <w:t> </w:t>
      </w:r>
      <w:r w:rsidRPr="001A4F81">
        <w:t>miljoner kronor.</w:t>
      </w:r>
    </w:p>
    <w:sdt>
      <w:sdtPr>
        <w:alias w:val="CC_Underskrifter"/>
        <w:tag w:val="CC_Underskrifter"/>
        <w:id w:val="583496634"/>
        <w:lock w:val="sdtContentLocked"/>
        <w:placeholder>
          <w:docPart w:val="8E5EE2A4C02C4759A9F32FF47093C705"/>
        </w:placeholder>
      </w:sdtPr>
      <w:sdtEndPr/>
      <w:sdtContent>
        <w:p w:rsidR="001A4F81" w:rsidP="001A4F81" w:rsidRDefault="001A4F81" w14:paraId="19B50C0F" w14:textId="77777777"/>
        <w:p w:rsidRPr="008E0FE2" w:rsidR="004801AC" w:rsidP="001A4F81" w:rsidRDefault="00AC7025" w14:paraId="19B50C10" w14:textId="77777777"/>
      </w:sdtContent>
    </w:sdt>
    <w:tbl>
      <w:tblPr>
        <w:tblW w:w="5000" w:type="pct"/>
        <w:tblLook w:val="04A0" w:firstRow="1" w:lastRow="0" w:firstColumn="1" w:lastColumn="0" w:noHBand="0" w:noVBand="1"/>
        <w:tblCaption w:val="underskrifter"/>
      </w:tblPr>
      <w:tblGrid>
        <w:gridCol w:w="4252"/>
        <w:gridCol w:w="4252"/>
      </w:tblGrid>
      <w:tr w:rsidR="00D13B07" w14:paraId="1C4E463B" w14:textId="77777777">
        <w:trPr>
          <w:cantSplit/>
        </w:trPr>
        <w:tc>
          <w:tcPr>
            <w:tcW w:w="50" w:type="pct"/>
            <w:vAlign w:val="bottom"/>
          </w:tcPr>
          <w:p w:rsidR="00D13B07" w:rsidRDefault="002644AC" w14:paraId="476D9AEF" w14:textId="77777777">
            <w:pPr>
              <w:pStyle w:val="Underskrifter"/>
            </w:pPr>
            <w:r>
              <w:t>Nooshi Dadgostar (V)</w:t>
            </w:r>
          </w:p>
        </w:tc>
        <w:tc>
          <w:tcPr>
            <w:tcW w:w="50" w:type="pct"/>
            <w:vAlign w:val="bottom"/>
          </w:tcPr>
          <w:p w:rsidR="00D13B07" w:rsidRDefault="002644AC" w14:paraId="32A325BD" w14:textId="77777777">
            <w:pPr>
              <w:pStyle w:val="Underskrifter"/>
            </w:pPr>
            <w:r>
              <w:t>Hanna Gunnarsson (V)</w:t>
            </w:r>
          </w:p>
        </w:tc>
      </w:tr>
      <w:tr w:rsidR="00D13B07" w14:paraId="1C89CB65" w14:textId="77777777">
        <w:trPr>
          <w:cantSplit/>
        </w:trPr>
        <w:tc>
          <w:tcPr>
            <w:tcW w:w="50" w:type="pct"/>
            <w:vAlign w:val="bottom"/>
          </w:tcPr>
          <w:p w:rsidR="00D13B07" w:rsidRDefault="002644AC" w14:paraId="37EB86DF" w14:textId="77777777">
            <w:pPr>
              <w:pStyle w:val="Underskrifter"/>
            </w:pPr>
            <w:r>
              <w:t>Tony Haddou (V)</w:t>
            </w:r>
          </w:p>
        </w:tc>
        <w:tc>
          <w:tcPr>
            <w:tcW w:w="50" w:type="pct"/>
            <w:vAlign w:val="bottom"/>
          </w:tcPr>
          <w:p w:rsidR="00D13B07" w:rsidRDefault="002644AC" w14:paraId="61A1F03A" w14:textId="77777777">
            <w:pPr>
              <w:pStyle w:val="Underskrifter"/>
            </w:pPr>
            <w:r>
              <w:t>Maj Karlsson (V)</w:t>
            </w:r>
          </w:p>
        </w:tc>
      </w:tr>
      <w:tr w:rsidR="00D13B07" w14:paraId="4E83D6D5" w14:textId="77777777">
        <w:trPr>
          <w:cantSplit/>
        </w:trPr>
        <w:tc>
          <w:tcPr>
            <w:tcW w:w="50" w:type="pct"/>
            <w:vAlign w:val="bottom"/>
          </w:tcPr>
          <w:p w:rsidR="00D13B07" w:rsidRDefault="002644AC" w14:paraId="6D4CB1DD" w14:textId="77777777">
            <w:pPr>
              <w:pStyle w:val="Underskrifter"/>
            </w:pPr>
            <w:r>
              <w:t>Karin Rågsjö (V)</w:t>
            </w:r>
          </w:p>
        </w:tc>
        <w:tc>
          <w:tcPr>
            <w:tcW w:w="50" w:type="pct"/>
            <w:vAlign w:val="bottom"/>
          </w:tcPr>
          <w:p w:rsidR="00D13B07" w:rsidRDefault="002644AC" w14:paraId="325052C3" w14:textId="77777777">
            <w:pPr>
              <w:pStyle w:val="Underskrifter"/>
            </w:pPr>
            <w:r>
              <w:t>Håkan Svenneling (V)</w:t>
            </w:r>
          </w:p>
        </w:tc>
      </w:tr>
      <w:tr w:rsidR="00D13B07" w14:paraId="6D520B2E" w14:textId="77777777">
        <w:trPr>
          <w:cantSplit/>
        </w:trPr>
        <w:tc>
          <w:tcPr>
            <w:tcW w:w="50" w:type="pct"/>
            <w:vAlign w:val="bottom"/>
          </w:tcPr>
          <w:p w:rsidR="00D13B07" w:rsidRDefault="002644AC" w14:paraId="32D59AF9" w14:textId="77777777">
            <w:pPr>
              <w:pStyle w:val="Underskrifter"/>
            </w:pPr>
            <w:r>
              <w:t>Jessica Wetterling (V)</w:t>
            </w:r>
          </w:p>
        </w:tc>
        <w:tc>
          <w:tcPr>
            <w:tcW w:w="50" w:type="pct"/>
            <w:vAlign w:val="bottom"/>
          </w:tcPr>
          <w:p w:rsidR="00D13B07" w:rsidRDefault="002644AC" w14:paraId="47A70405" w14:textId="77777777">
            <w:pPr>
              <w:pStyle w:val="Underskrifter"/>
            </w:pPr>
            <w:r>
              <w:t>Birger Lahti (V)</w:t>
            </w:r>
          </w:p>
        </w:tc>
      </w:tr>
    </w:tbl>
    <w:p w:rsidR="00AC0F90" w:rsidRDefault="00AC0F90" w14:paraId="19B50C20" w14:textId="77777777"/>
    <w:sectPr w:rsidR="00AC0F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0C22" w14:textId="77777777" w:rsidR="00734445" w:rsidRDefault="00734445" w:rsidP="000C1CAD">
      <w:pPr>
        <w:spacing w:line="240" w:lineRule="auto"/>
      </w:pPr>
      <w:r>
        <w:separator/>
      </w:r>
    </w:p>
  </w:endnote>
  <w:endnote w:type="continuationSeparator" w:id="0">
    <w:p w14:paraId="19B50C23" w14:textId="77777777" w:rsidR="00734445" w:rsidRDefault="00734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31" w14:textId="77777777" w:rsidR="00262EA3" w:rsidRPr="001A4F81" w:rsidRDefault="00262EA3" w:rsidP="001A4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0C20" w14:textId="77777777" w:rsidR="00734445" w:rsidRDefault="00734445" w:rsidP="000C1CAD">
      <w:pPr>
        <w:spacing w:line="240" w:lineRule="auto"/>
      </w:pPr>
      <w:r>
        <w:separator/>
      </w:r>
    </w:p>
  </w:footnote>
  <w:footnote w:type="continuationSeparator" w:id="0">
    <w:p w14:paraId="19B50C21" w14:textId="77777777" w:rsidR="00734445" w:rsidRDefault="007344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B50C32" wp14:editId="19B50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B50C36" w14:textId="77777777" w:rsidR="00262EA3" w:rsidRDefault="00AC7025" w:rsidP="008103B5">
                          <w:pPr>
                            <w:jc w:val="right"/>
                          </w:pPr>
                          <w:sdt>
                            <w:sdtPr>
                              <w:alias w:val="CC_Noformat_Partikod"/>
                              <w:tag w:val="CC_Noformat_Partikod"/>
                              <w:id w:val="-53464382"/>
                              <w:placeholder>
                                <w:docPart w:val="00C4210BC39C468DAF4DF6E5FD64C838"/>
                              </w:placeholder>
                              <w:text/>
                            </w:sdtPr>
                            <w:sdtEndPr/>
                            <w:sdtContent>
                              <w:r w:rsidR="00734445">
                                <w:t>V</w:t>
                              </w:r>
                            </w:sdtContent>
                          </w:sdt>
                          <w:sdt>
                            <w:sdtPr>
                              <w:alias w:val="CC_Noformat_Partinummer"/>
                              <w:tag w:val="CC_Noformat_Partinummer"/>
                              <w:id w:val="-1709555926"/>
                              <w:placeholder>
                                <w:docPart w:val="3A1B48607BAD474EBB8D083C54F4DA89"/>
                              </w:placeholder>
                              <w:text/>
                            </w:sdtPr>
                            <w:sdtEndPr/>
                            <w:sdtContent>
                              <w:r w:rsidR="00734445">
                                <w:t>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50C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B50C36" w14:textId="77777777" w:rsidR="00262EA3" w:rsidRDefault="00AC7025" w:rsidP="008103B5">
                    <w:pPr>
                      <w:jc w:val="right"/>
                    </w:pPr>
                    <w:sdt>
                      <w:sdtPr>
                        <w:alias w:val="CC_Noformat_Partikod"/>
                        <w:tag w:val="CC_Noformat_Partikod"/>
                        <w:id w:val="-53464382"/>
                        <w:placeholder>
                          <w:docPart w:val="00C4210BC39C468DAF4DF6E5FD64C838"/>
                        </w:placeholder>
                        <w:text/>
                      </w:sdtPr>
                      <w:sdtEndPr/>
                      <w:sdtContent>
                        <w:r w:rsidR="00734445">
                          <w:t>V</w:t>
                        </w:r>
                      </w:sdtContent>
                    </w:sdt>
                    <w:sdt>
                      <w:sdtPr>
                        <w:alias w:val="CC_Noformat_Partinummer"/>
                        <w:tag w:val="CC_Noformat_Partinummer"/>
                        <w:id w:val="-1709555926"/>
                        <w:placeholder>
                          <w:docPart w:val="3A1B48607BAD474EBB8D083C54F4DA89"/>
                        </w:placeholder>
                        <w:text/>
                      </w:sdtPr>
                      <w:sdtEndPr/>
                      <w:sdtContent>
                        <w:r w:rsidR="00734445">
                          <w:t>453</w:t>
                        </w:r>
                      </w:sdtContent>
                    </w:sdt>
                  </w:p>
                </w:txbxContent>
              </v:textbox>
              <w10:wrap anchorx="page"/>
            </v:shape>
          </w:pict>
        </mc:Fallback>
      </mc:AlternateContent>
    </w:r>
  </w:p>
  <w:p w14:paraId="19B50C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26" w14:textId="77777777" w:rsidR="00262EA3" w:rsidRDefault="00262EA3" w:rsidP="008563AC">
    <w:pPr>
      <w:jc w:val="right"/>
    </w:pPr>
  </w:p>
  <w:p w14:paraId="19B50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C2A" w14:textId="77777777" w:rsidR="00262EA3" w:rsidRDefault="00AC7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50C34" wp14:editId="19B50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50C2B" w14:textId="77777777" w:rsidR="00262EA3" w:rsidRDefault="00AC7025" w:rsidP="00A314CF">
    <w:pPr>
      <w:pStyle w:val="FSHNormal"/>
      <w:spacing w:before="40"/>
    </w:pPr>
    <w:sdt>
      <w:sdtPr>
        <w:alias w:val="CC_Noformat_Motionstyp"/>
        <w:tag w:val="CC_Noformat_Motionstyp"/>
        <w:id w:val="1162973129"/>
        <w:lock w:val="sdtContentLocked"/>
        <w15:appearance w15:val="hidden"/>
        <w:text/>
      </w:sdtPr>
      <w:sdtEndPr/>
      <w:sdtContent>
        <w:r w:rsidR="004923B5">
          <w:t>Partimotion</w:t>
        </w:r>
      </w:sdtContent>
    </w:sdt>
    <w:r w:rsidR="00821B36">
      <w:t xml:space="preserve"> </w:t>
    </w:r>
    <w:sdt>
      <w:sdtPr>
        <w:alias w:val="CC_Noformat_Partikod"/>
        <w:tag w:val="CC_Noformat_Partikod"/>
        <w:id w:val="1471015553"/>
        <w:text/>
      </w:sdtPr>
      <w:sdtEndPr/>
      <w:sdtContent>
        <w:r w:rsidR="00734445">
          <w:t>V</w:t>
        </w:r>
      </w:sdtContent>
    </w:sdt>
    <w:sdt>
      <w:sdtPr>
        <w:alias w:val="CC_Noformat_Partinummer"/>
        <w:tag w:val="CC_Noformat_Partinummer"/>
        <w:id w:val="-2014525982"/>
        <w:text/>
      </w:sdtPr>
      <w:sdtEndPr/>
      <w:sdtContent>
        <w:r w:rsidR="00734445">
          <w:t>453</w:t>
        </w:r>
      </w:sdtContent>
    </w:sdt>
  </w:p>
  <w:p w14:paraId="19B50C2C" w14:textId="77777777" w:rsidR="00262EA3" w:rsidRPr="008227B3" w:rsidRDefault="00AC7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50C2D" w14:textId="77777777" w:rsidR="00262EA3" w:rsidRPr="008227B3" w:rsidRDefault="00AC7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3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3B5">
          <w:t>:3190</w:t>
        </w:r>
      </w:sdtContent>
    </w:sdt>
  </w:p>
  <w:p w14:paraId="19B50C2E" w14:textId="77777777" w:rsidR="00262EA3" w:rsidRDefault="00AC7025" w:rsidP="00E03A3D">
    <w:pPr>
      <w:pStyle w:val="Motionr"/>
    </w:pPr>
    <w:sdt>
      <w:sdtPr>
        <w:alias w:val="CC_Noformat_Avtext"/>
        <w:tag w:val="CC_Noformat_Avtext"/>
        <w:id w:val="-2020768203"/>
        <w:lock w:val="sdtContentLocked"/>
        <w:placeholder>
          <w:docPart w:val="88102BC6F39E468EAEC18FA9E1819238"/>
        </w:placeholder>
        <w15:appearance w15:val="hidden"/>
        <w:text/>
      </w:sdtPr>
      <w:sdtEndPr/>
      <w:sdtContent>
        <w:r w:rsidR="004923B5">
          <w:t>av Nooshi Dadgostar m.fl. (V)</w:t>
        </w:r>
      </w:sdtContent>
    </w:sdt>
  </w:p>
  <w:sdt>
    <w:sdtPr>
      <w:alias w:val="CC_Noformat_Rubtext"/>
      <w:tag w:val="CC_Noformat_Rubtext"/>
      <w:id w:val="-218060500"/>
      <w:lock w:val="sdtLocked"/>
      <w:text/>
    </w:sdtPr>
    <w:sdtEndPr/>
    <w:sdtContent>
      <w:p w14:paraId="19B50C2F" w14:textId="77777777" w:rsidR="00262EA3" w:rsidRDefault="00734445"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9B50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44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4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8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E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C"/>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8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58"/>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B5"/>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9E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3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19"/>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45"/>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2F"/>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E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9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25"/>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0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0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B50BB4"/>
  <w15:chartTrackingRefBased/>
  <w15:docId w15:val="{92599C2D-C852-4C8A-B52F-DD5F4F9C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6500">
      <w:bodyDiv w:val="1"/>
      <w:marLeft w:val="0"/>
      <w:marRight w:val="0"/>
      <w:marTop w:val="0"/>
      <w:marBottom w:val="0"/>
      <w:divBdr>
        <w:top w:val="none" w:sz="0" w:space="0" w:color="auto"/>
        <w:left w:val="none" w:sz="0" w:space="0" w:color="auto"/>
        <w:bottom w:val="none" w:sz="0" w:space="0" w:color="auto"/>
        <w:right w:val="none" w:sz="0" w:space="0" w:color="auto"/>
      </w:divBdr>
      <w:divsChild>
        <w:div w:id="1099064523">
          <w:marLeft w:val="0"/>
          <w:marRight w:val="0"/>
          <w:marTop w:val="0"/>
          <w:marBottom w:val="0"/>
          <w:divBdr>
            <w:top w:val="none" w:sz="0" w:space="0" w:color="auto"/>
            <w:left w:val="none" w:sz="0" w:space="0" w:color="auto"/>
            <w:bottom w:val="none" w:sz="0" w:space="0" w:color="auto"/>
            <w:right w:val="none" w:sz="0" w:space="0" w:color="auto"/>
          </w:divBdr>
        </w:div>
        <w:div w:id="1920096040">
          <w:marLeft w:val="0"/>
          <w:marRight w:val="0"/>
          <w:marTop w:val="0"/>
          <w:marBottom w:val="0"/>
          <w:divBdr>
            <w:top w:val="none" w:sz="0" w:space="0" w:color="auto"/>
            <w:left w:val="none" w:sz="0" w:space="0" w:color="auto"/>
            <w:bottom w:val="none" w:sz="0" w:space="0" w:color="auto"/>
            <w:right w:val="none" w:sz="0" w:space="0" w:color="auto"/>
          </w:divBdr>
        </w:div>
        <w:div w:id="93467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20B65FA534A219E6C8C4A5DC7705E"/>
        <w:category>
          <w:name w:val="Allmänt"/>
          <w:gallery w:val="placeholder"/>
        </w:category>
        <w:types>
          <w:type w:val="bbPlcHdr"/>
        </w:types>
        <w:behaviors>
          <w:behavior w:val="content"/>
        </w:behaviors>
        <w:guid w:val="{C187E789-4E52-461C-A6CA-B55B8488DCB5}"/>
      </w:docPartPr>
      <w:docPartBody>
        <w:p w:rsidR="00AE3776" w:rsidRDefault="00D436F8">
          <w:pPr>
            <w:pStyle w:val="70420B65FA534A219E6C8C4A5DC7705E"/>
          </w:pPr>
          <w:r w:rsidRPr="005A0A93">
            <w:rPr>
              <w:rStyle w:val="Platshllartext"/>
            </w:rPr>
            <w:t>Förslag till riksdagsbeslut</w:t>
          </w:r>
        </w:p>
      </w:docPartBody>
    </w:docPart>
    <w:docPart>
      <w:docPartPr>
        <w:name w:val="A72CB1C9C43E4000B21688BA14D07FC8"/>
        <w:category>
          <w:name w:val="Allmänt"/>
          <w:gallery w:val="placeholder"/>
        </w:category>
        <w:types>
          <w:type w:val="bbPlcHdr"/>
        </w:types>
        <w:behaviors>
          <w:behavior w:val="content"/>
        </w:behaviors>
        <w:guid w:val="{D94AAD9C-E2D1-4BAA-A746-4301FA9AE121}"/>
      </w:docPartPr>
      <w:docPartBody>
        <w:p w:rsidR="00AE3776" w:rsidRDefault="00D436F8">
          <w:pPr>
            <w:pStyle w:val="A72CB1C9C43E4000B21688BA14D07FC8"/>
          </w:pPr>
          <w:r w:rsidRPr="005A0A93">
            <w:rPr>
              <w:rStyle w:val="Platshllartext"/>
            </w:rPr>
            <w:t>Motivering</w:t>
          </w:r>
        </w:p>
      </w:docPartBody>
    </w:docPart>
    <w:docPart>
      <w:docPartPr>
        <w:name w:val="00C4210BC39C468DAF4DF6E5FD64C838"/>
        <w:category>
          <w:name w:val="Allmänt"/>
          <w:gallery w:val="placeholder"/>
        </w:category>
        <w:types>
          <w:type w:val="bbPlcHdr"/>
        </w:types>
        <w:behaviors>
          <w:behavior w:val="content"/>
        </w:behaviors>
        <w:guid w:val="{6D23974F-20C9-456E-8E5B-4EA70538657E}"/>
      </w:docPartPr>
      <w:docPartBody>
        <w:p w:rsidR="00AE3776" w:rsidRDefault="00D436F8">
          <w:pPr>
            <w:pStyle w:val="00C4210BC39C468DAF4DF6E5FD64C838"/>
          </w:pPr>
          <w:r>
            <w:rPr>
              <w:rStyle w:val="Platshllartext"/>
            </w:rPr>
            <w:t xml:space="preserve"> </w:t>
          </w:r>
        </w:p>
      </w:docPartBody>
    </w:docPart>
    <w:docPart>
      <w:docPartPr>
        <w:name w:val="3A1B48607BAD474EBB8D083C54F4DA89"/>
        <w:category>
          <w:name w:val="Allmänt"/>
          <w:gallery w:val="placeholder"/>
        </w:category>
        <w:types>
          <w:type w:val="bbPlcHdr"/>
        </w:types>
        <w:behaviors>
          <w:behavior w:val="content"/>
        </w:behaviors>
        <w:guid w:val="{0C8EE8CD-C1F3-436F-B355-F56F818ED58D}"/>
      </w:docPartPr>
      <w:docPartBody>
        <w:p w:rsidR="00AE3776" w:rsidRDefault="00D436F8">
          <w:pPr>
            <w:pStyle w:val="3A1B48607BAD474EBB8D083C54F4DA89"/>
          </w:pPr>
          <w:r>
            <w:t xml:space="preserve"> </w:t>
          </w:r>
        </w:p>
      </w:docPartBody>
    </w:docPart>
    <w:docPart>
      <w:docPartPr>
        <w:name w:val="88102BC6F39E468EAEC18FA9E1819238"/>
        <w:category>
          <w:name w:val="Allmänt"/>
          <w:gallery w:val="placeholder"/>
        </w:category>
        <w:types>
          <w:type w:val="bbPlcHdr"/>
        </w:types>
        <w:behaviors>
          <w:behavior w:val="content"/>
        </w:behaviors>
        <w:guid w:val="{1CEDDBA8-A678-4432-915E-62B6F6443EB0}"/>
      </w:docPartPr>
      <w:docPartBody>
        <w:p w:rsidR="00AE3776" w:rsidRDefault="00D436F8" w:rsidP="00D436F8">
          <w:pPr>
            <w:pStyle w:val="88102BC6F39E468EAEC18FA9E18192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5EE2A4C02C4759A9F32FF47093C705"/>
        <w:category>
          <w:name w:val="Allmänt"/>
          <w:gallery w:val="placeholder"/>
        </w:category>
        <w:types>
          <w:type w:val="bbPlcHdr"/>
        </w:types>
        <w:behaviors>
          <w:behavior w:val="content"/>
        </w:behaviors>
        <w:guid w:val="{9BD6E9E5-B1D5-443E-A20C-4880199B2EE6}"/>
      </w:docPartPr>
      <w:docPartBody>
        <w:p w:rsidR="00723A7E" w:rsidRDefault="00723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F8"/>
    <w:rsid w:val="00723A7E"/>
    <w:rsid w:val="00AE3776"/>
    <w:rsid w:val="00D43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36F8"/>
    <w:rPr>
      <w:color w:val="F4B083" w:themeColor="accent2" w:themeTint="99"/>
    </w:rPr>
  </w:style>
  <w:style w:type="paragraph" w:customStyle="1" w:styleId="70420B65FA534A219E6C8C4A5DC7705E">
    <w:name w:val="70420B65FA534A219E6C8C4A5DC7705E"/>
  </w:style>
  <w:style w:type="paragraph" w:customStyle="1" w:styleId="A72CB1C9C43E4000B21688BA14D07FC8">
    <w:name w:val="A72CB1C9C43E4000B21688BA14D07FC8"/>
  </w:style>
  <w:style w:type="paragraph" w:customStyle="1" w:styleId="00C4210BC39C468DAF4DF6E5FD64C838">
    <w:name w:val="00C4210BC39C468DAF4DF6E5FD64C838"/>
  </w:style>
  <w:style w:type="paragraph" w:customStyle="1" w:styleId="3A1B48607BAD474EBB8D083C54F4DA89">
    <w:name w:val="3A1B48607BAD474EBB8D083C54F4DA89"/>
  </w:style>
  <w:style w:type="paragraph" w:customStyle="1" w:styleId="88102BC6F39E468EAEC18FA9E1819238">
    <w:name w:val="88102BC6F39E468EAEC18FA9E1819238"/>
    <w:rsid w:val="00D43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9C3B8-3F00-4117-81A6-A230142C61D2}"/>
</file>

<file path=customXml/itemProps2.xml><?xml version="1.0" encoding="utf-8"?>
<ds:datastoreItem xmlns:ds="http://schemas.openxmlformats.org/officeDocument/2006/customXml" ds:itemID="{611D0561-D010-4ABE-9DC4-E0561AD65FA8}"/>
</file>

<file path=customXml/itemProps3.xml><?xml version="1.0" encoding="utf-8"?>
<ds:datastoreItem xmlns:ds="http://schemas.openxmlformats.org/officeDocument/2006/customXml" ds:itemID="{27C4A3AC-0F35-45C4-A8B3-231429F0A3FA}"/>
</file>

<file path=docProps/app.xml><?xml version="1.0" encoding="utf-8"?>
<Properties xmlns="http://schemas.openxmlformats.org/officeDocument/2006/extended-properties" xmlns:vt="http://schemas.openxmlformats.org/officeDocument/2006/docPropsVTypes">
  <Template>Normal</Template>
  <TotalTime>119</TotalTime>
  <Pages>3</Pages>
  <Words>614</Words>
  <Characters>3756</Characters>
  <Application>Microsoft Office Word</Application>
  <DocSecurity>0</DocSecurity>
  <Lines>125</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V453 Utgiftsområde 21 Energi</vt:lpstr>
      <vt:lpstr>
      </vt:lpstr>
    </vt:vector>
  </TitlesOfParts>
  <Company>Sveriges riksdag</Company>
  <LinksUpToDate>false</LinksUpToDate>
  <CharactersWithSpaces>4278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