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80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14 mars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 tisdagen den 15, onsdagen den 16, torsdagen den 17 och fredagen den 18 februari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Alexandra Völker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10-11 mars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16 mars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17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2021/22:39 Torsdagen den 24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2021/22:356 av Maria Gardfjell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artskyddsproposition för stärkt artskydd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2021/22:387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Huaweis process i ICSID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2021/22:389 av Alexander Christiansson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Brottsligheten mot näringslivet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2021/22:395 av Mikael Eskilandersson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kusingifte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2021/22:FPM66 Standardiseringsstrategin </w:t>
            </w:r>
            <w:r>
              <w:rPr>
                <w:i/>
                <w:iCs/>
                <w:rtl w:val="0"/>
              </w:rPr>
              <w:t>COM(2022) 30, COM(2022) 31, COM(2022) 32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2022:4 Den statliga lönegarantin – förekomst av missbruk och myndigheternas kontrollarbete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2021/22:108 Tillträdesförbud till badanläggningar och bibliotek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2021/22:4408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2021/22:4416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2021/22:119 Modernare regler för användningen av tvångsmedel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2021/22:4407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2021/22:137 Upphävande av covid-19-lagen och lagen om tillfälliga smittskyddsåtgärder på serveringsställen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2021/22:4435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2021/22:4436 av Acko Ankarberg Johansson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14 mars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2022-03-14</SAFIR_Sammantradesdatum_Doc>
    <SAFIR_SammantradeID xmlns="C07A1A6C-0B19-41D9-BDF8-F523BA3921EB">1583f880-c9eb-4988-981e-c880d8d2cbc8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7E672-EE07-435A-8A43-B29ECB8604E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14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