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523" w:rsidRPr="00FA74DA" w:rsidRDefault="00571523">
      <w:pPr>
        <w:pStyle w:val="Hemstlrubrik"/>
      </w:pPr>
      <w:r w:rsidRPr="00FA74DA">
        <w:t>Förslag till riksdagsbeslut</w:t>
      </w:r>
    </w:p>
    <w:p w:rsidR="00571523" w:rsidRPr="00FA74DA" w:rsidRDefault="00571523">
      <w:pPr>
        <w:pStyle w:val="Hemstlatt"/>
        <w:numPr>
          <w:ilvl w:val="0"/>
          <w:numId w:val="1"/>
        </w:numPr>
      </w:pPr>
      <w:r w:rsidRPr="00FA74DA">
        <w:t>Riksdagen tillkännager för regeringen som sin mening vad som anförs i motionen om att införa en nordisk public serv</w:t>
      </w:r>
      <w:r w:rsidRPr="00FA74DA">
        <w:t>i</w:t>
      </w:r>
      <w:r w:rsidRPr="00FA74DA">
        <w:t>ce-princip som innebär att alla hushåll i Norden ska ha tekniska möjli</w:t>
      </w:r>
      <w:r w:rsidRPr="00FA74DA">
        <w:t>g</w:t>
      </w:r>
      <w:r w:rsidRPr="00FA74DA">
        <w:t>heter att ta emot minst en public service-kanal från vart och ett av de nordiska grannländerna.</w:t>
      </w:r>
    </w:p>
    <w:p w:rsidR="00571523" w:rsidRPr="00FA74DA" w:rsidRDefault="00571523">
      <w:pPr>
        <w:pStyle w:val="Hemstlatt"/>
        <w:numPr>
          <w:ilvl w:val="0"/>
          <w:numId w:val="1"/>
        </w:numPr>
      </w:pPr>
      <w:r w:rsidRPr="00FA74DA">
        <w:t>Riksdagen begär att regeringen återkommer till riksdagen med förslag om hur utbudet av nordisk grannlands-tv kan göras tillgänglig för alla hushåll i Sverige.</w:t>
      </w:r>
    </w:p>
    <w:p w:rsidR="00571523" w:rsidRPr="00FA74DA" w:rsidRDefault="00571523">
      <w:pPr>
        <w:pStyle w:val="Hemstlatt"/>
        <w:numPr>
          <w:ilvl w:val="0"/>
          <w:numId w:val="1"/>
        </w:numPr>
      </w:pPr>
      <w:r w:rsidRPr="00FA74DA">
        <w:t>Riksdagen tillkännager för regeringen som sin mening vad som anförs i motionen om att en överenskommelse ska träffas mellan Sverige och Finland som säkerställer att tillgången till Finlands tv i Sv</w:t>
      </w:r>
      <w:r w:rsidRPr="00FA74DA">
        <w:t>e</w:t>
      </w:r>
      <w:r w:rsidRPr="00FA74DA">
        <w:t>rige och SVT:s sändningar i Finland blir minst lika stor som hi</w:t>
      </w:r>
      <w:r w:rsidRPr="00FA74DA">
        <w:t>t</w:t>
      </w:r>
      <w:r w:rsidRPr="00FA74DA">
        <w:t>tills.</w:t>
      </w:r>
    </w:p>
    <w:p w:rsidR="00571523" w:rsidRPr="00FA74DA" w:rsidRDefault="00571523">
      <w:pPr>
        <w:pStyle w:val="Hemstlatt"/>
        <w:numPr>
          <w:ilvl w:val="0"/>
          <w:numId w:val="1"/>
        </w:numPr>
      </w:pPr>
      <w:r w:rsidRPr="00FA74DA">
        <w:t>Riksdagen tillkännager för regeringen som sin mening vad som anförs i motionen om att medborgarnas frihet att välja i utbudet av tv-kanaler måste stärkas så att dagens konkurrensbegränsningar unda</w:t>
      </w:r>
      <w:r w:rsidRPr="00FA74DA">
        <w:t>n</w:t>
      </w:r>
      <w:r w:rsidRPr="00FA74DA">
        <w:t>röjs.</w:t>
      </w:r>
      <w:r w:rsidRPr="00FA74DA">
        <w:rPr>
          <w:vertAlign w:val="superscript"/>
        </w:rPr>
        <w:t>1</w:t>
      </w:r>
    </w:p>
    <w:p w:rsidR="00571523" w:rsidRPr="00FA74DA" w:rsidRDefault="00571523">
      <w:pPr>
        <w:pStyle w:val="Yrkandehnv"/>
        <w:spacing w:before="190"/>
        <w:rPr>
          <w:noProof w:val="0"/>
          <w:sz w:val="19"/>
          <w:vertAlign w:val="superscript"/>
        </w:rPr>
      </w:pPr>
    </w:p>
    <w:p w:rsidR="00571523" w:rsidRPr="00FA74DA" w:rsidRDefault="00571523">
      <w:pPr>
        <w:pStyle w:val="Yrkandehnv"/>
        <w:spacing w:before="190"/>
        <w:rPr>
          <w:noProof w:val="0"/>
          <w:sz w:val="19"/>
          <w:vertAlign w:val="superscript"/>
        </w:rPr>
      </w:pPr>
    </w:p>
    <w:p w:rsidR="00571523" w:rsidRPr="00FA74DA" w:rsidRDefault="00571523">
      <w:pPr>
        <w:pStyle w:val="Yrkandehnv"/>
        <w:spacing w:before="190"/>
        <w:rPr>
          <w:noProof w:val="0"/>
          <w:sz w:val="19"/>
          <w:vertAlign w:val="superscript"/>
        </w:rPr>
      </w:pPr>
    </w:p>
    <w:p w:rsidR="00571523" w:rsidRPr="00FA74DA" w:rsidRDefault="00571523">
      <w:pPr>
        <w:pStyle w:val="Yrkandehnv"/>
        <w:spacing w:before="190"/>
        <w:rPr>
          <w:noProof w:val="0"/>
          <w:sz w:val="19"/>
          <w:vertAlign w:val="superscript"/>
        </w:rPr>
      </w:pPr>
    </w:p>
    <w:p w:rsidR="00571523" w:rsidRPr="00FA74DA" w:rsidRDefault="00571523">
      <w:pPr>
        <w:pStyle w:val="Yrkandehnv"/>
        <w:spacing w:before="190"/>
        <w:rPr>
          <w:noProof w:val="0"/>
          <w:sz w:val="19"/>
          <w:vertAlign w:val="superscript"/>
        </w:rPr>
      </w:pPr>
    </w:p>
    <w:p w:rsidR="00571523" w:rsidRPr="00FA74DA" w:rsidRDefault="00571523">
      <w:pPr>
        <w:pStyle w:val="Yrkandehnv"/>
        <w:spacing w:before="190"/>
        <w:rPr>
          <w:noProof w:val="0"/>
          <w:sz w:val="19"/>
          <w:vertAlign w:val="superscript"/>
        </w:rPr>
      </w:pPr>
    </w:p>
    <w:p w:rsidR="00571523" w:rsidRPr="00FA74DA" w:rsidRDefault="00571523">
      <w:pPr>
        <w:pStyle w:val="Yrkandehnv"/>
        <w:spacing w:before="190"/>
        <w:rPr>
          <w:noProof w:val="0"/>
          <w:sz w:val="19"/>
          <w:vertAlign w:val="superscript"/>
        </w:rPr>
      </w:pPr>
    </w:p>
    <w:p w:rsidR="00571523" w:rsidRPr="00FA74DA" w:rsidRDefault="00571523">
      <w:pPr>
        <w:pStyle w:val="Yrkandehnv"/>
        <w:spacing w:before="190"/>
        <w:rPr>
          <w:noProof w:val="0"/>
          <w:sz w:val="19"/>
          <w:vertAlign w:val="superscript"/>
        </w:rPr>
      </w:pPr>
    </w:p>
    <w:p w:rsidR="00571523" w:rsidRPr="00FA74DA" w:rsidRDefault="00571523">
      <w:r w:rsidRPr="00FA74DA">
        <w:rPr>
          <w:vertAlign w:val="superscript"/>
        </w:rPr>
        <w:t>1</w:t>
      </w:r>
      <w:r w:rsidRPr="00FA74DA">
        <w:t xml:space="preserve"> Yrkande 4 hänvisat till KU.</w:t>
      </w:r>
    </w:p>
    <w:p w:rsidR="00571523" w:rsidRPr="00FA74DA" w:rsidRDefault="00571523">
      <w:pPr>
        <w:pStyle w:val="Rubrik1"/>
        <w:pageBreakBefore/>
        <w:spacing w:before="0"/>
      </w:pPr>
      <w:r w:rsidRPr="00FA74DA">
        <w:lastRenderedPageBreak/>
        <w:t>Motivering</w:t>
      </w:r>
    </w:p>
    <w:p w:rsidR="00571523" w:rsidRPr="00FA74DA" w:rsidRDefault="00571523">
      <w:pPr>
        <w:autoSpaceDE w:val="0"/>
        <w:autoSpaceDN w:val="0"/>
        <w:adjustRightInd w:val="0"/>
        <w:rPr>
          <w:color w:val="000000"/>
        </w:rPr>
      </w:pPr>
      <w:r w:rsidRPr="00FA74DA">
        <w:rPr>
          <w:color w:val="000000"/>
        </w:rPr>
        <w:t>Digitaliseringen av tv-distributionen har på ett positivt sätt påverkat det no</w:t>
      </w:r>
      <w:r w:rsidRPr="00FA74DA">
        <w:rPr>
          <w:color w:val="000000"/>
        </w:rPr>
        <w:t>r</w:t>
      </w:r>
      <w:r w:rsidRPr="00FA74DA">
        <w:rPr>
          <w:color w:val="000000"/>
        </w:rPr>
        <w:t>diska tv-utbytet. Digitaliseringen av kabel-tv och satellit-tv har medfört en ökad efterfrågan på program till ett allt större utbud av kanaler. Genom att också marknätet digitaliseras ökar tillgängligheten till programkanaler även i hushåll som valt mottagning från denna plattform för distribution.</w:t>
      </w:r>
    </w:p>
    <w:p w:rsidR="00571523" w:rsidRPr="00FA74DA" w:rsidRDefault="00571523">
      <w:pPr>
        <w:pStyle w:val="Normaltindrag"/>
      </w:pPr>
      <w:r w:rsidRPr="00FA74DA">
        <w:t>Denna utveckling har lett till att public service-företagen i Norden ökat u</w:t>
      </w:r>
      <w:r w:rsidRPr="00FA74DA">
        <w:t>t</w:t>
      </w:r>
      <w:r w:rsidRPr="00FA74DA">
        <w:t>bytet av program. Enligt uppgift sänder SVT i Sverige, DR i Danmark, NRK i Norge och YLE i Finland nu flera program än någonsin producerade i nordi</w:t>
      </w:r>
      <w:r w:rsidRPr="00FA74DA">
        <w:t>s</w:t>
      </w:r>
      <w:r w:rsidRPr="00FA74DA">
        <w:t>ka grannländer. Sannolikt kommer detta grannlandsutbyte att växa sig än större.</w:t>
      </w:r>
    </w:p>
    <w:p w:rsidR="00571523" w:rsidRPr="00FA74DA" w:rsidRDefault="00571523">
      <w:pPr>
        <w:pStyle w:val="Normaltindrag"/>
      </w:pPr>
      <w:r w:rsidRPr="00FA74DA">
        <w:t>Hittills har möjligheterna att direkt följa grannlands-tv varit förbehållet hushåll i gränstrakterna som kunnat se ”over-spill” från grannlandets sän</w:t>
      </w:r>
      <w:r w:rsidRPr="00FA74DA">
        <w:t>d</w:t>
      </w:r>
      <w:r w:rsidRPr="00FA74DA">
        <w:t>ningar i deras marknät. När sändningarna nu blir digitaliserade kan denna möjlighet påverkas både positivt och negativt. De tekniska och ekonomiska möjligheterna att distribuera grannlands-tv via marknätet förbättras. Men för att dessa bättre möjligheter ska tas till vara krävs också politiska ställningst</w:t>
      </w:r>
      <w:r w:rsidRPr="00FA74DA">
        <w:t>a</w:t>
      </w:r>
      <w:r w:rsidRPr="00FA74DA">
        <w:t>ganden.</w:t>
      </w:r>
    </w:p>
    <w:p w:rsidR="00571523" w:rsidRPr="00FA74DA" w:rsidRDefault="00571523">
      <w:pPr>
        <w:pStyle w:val="Normaltindrag"/>
      </w:pPr>
      <w:r w:rsidRPr="00FA74DA">
        <w:t xml:space="preserve">Det är närmast obegripligt att det fortfarande inte är möjligt att se finsk tv via marknätet i Tornedalen eller att norsk tv inte går att se i Jämtland med sina urgamla förbindelser med grannarna </w:t>
      </w:r>
      <w:r w:rsidRPr="00FA74DA">
        <w:t>i väster. I Gävleborg med många sverigefinländare vore det också självklart att det skulle vara möjligt att ta del av Finlands tv-utbud. Tekniskt kan detta inte längre vara några problem, det är politiska hinder som måste undanröjas.</w:t>
      </w:r>
    </w:p>
    <w:p w:rsidR="00571523" w:rsidRPr="00FA74DA" w:rsidRDefault="00571523">
      <w:pPr>
        <w:pStyle w:val="Normaltindrag"/>
      </w:pPr>
      <w:r w:rsidRPr="00FA74DA">
        <w:t>De villkor som formulerats i tillstånd för public service-tv i Norden gäller inomstatliga förhållanden. I en tid när internationalisering och kommersialis</w:t>
      </w:r>
      <w:r w:rsidRPr="00FA74DA">
        <w:t>e</w:t>
      </w:r>
      <w:r w:rsidRPr="00FA74DA">
        <w:t>ring kan sägas ha blivit de viktigaste drivkrafterna på tv-området är det hög tid att politiskt bana väg för en public service-princip som har räckvidd också utanför enskilda staters gränser, i första hand på nordisk nivå.</w:t>
      </w:r>
    </w:p>
    <w:p w:rsidR="00571523" w:rsidRPr="00FA74DA" w:rsidRDefault="00571523">
      <w:pPr>
        <w:pStyle w:val="Normaltindrag"/>
      </w:pPr>
      <w:r w:rsidRPr="00FA74DA">
        <w:t>Enligt vår mening bör regeringen ges i uppdrag att i överläggningar med de nordiska grannländerna söka nå en överenskommelse om en nordisk public service-princip innebärande att alla hushåll i Norden ska ha tekniska möjli</w:t>
      </w:r>
      <w:r w:rsidRPr="00FA74DA">
        <w:t>g</w:t>
      </w:r>
      <w:r w:rsidRPr="00FA74DA">
        <w:t>heter att ta emot minst en public service-kanal från vart och ett av de nordiska grannländerna. Strävan bör vara att detta ska organiseras så att det kan ske till lägsta möjliga kostnad för stat och tv-tittare.</w:t>
      </w:r>
    </w:p>
    <w:p w:rsidR="00571523" w:rsidRPr="00FA74DA" w:rsidRDefault="00571523">
      <w:pPr>
        <w:pStyle w:val="Normaltindrag"/>
      </w:pPr>
      <w:r w:rsidRPr="00FA74DA">
        <w:t>Oberoende av resultatet av dessa överläggningar bör det i Sverige formas en politik som gör det möjligt för alla hushåll i Norden att ta emot minst en public service-kanal från vart och ett av de nordiska grannländerna. Då public service-företagen inte själva har något incitament att åstadkomma dett</w:t>
      </w:r>
      <w:r w:rsidRPr="00FA74DA">
        <w:t>a och de kommersiella tv-företagen söker begränsa utbudet av konkurrerande kan</w:t>
      </w:r>
      <w:r w:rsidRPr="00FA74DA">
        <w:t>a</w:t>
      </w:r>
      <w:r w:rsidRPr="00FA74DA">
        <w:t>ler via de plattformar de kan styra över, eller påverka utbudet i, är detta helt beroende av politiska initiativ.</w:t>
      </w:r>
    </w:p>
    <w:p w:rsidR="00571523" w:rsidRPr="00FA74DA" w:rsidRDefault="00571523">
      <w:pPr>
        <w:pStyle w:val="Normaltindrag"/>
      </w:pPr>
      <w:r w:rsidRPr="00FA74DA">
        <w:t>Som framhållits i denna motion förbättras de tekniska och ekonomiska möjligheterna att distribuera grannlands-tv tack vare digitaliseringen. Öve</w:t>
      </w:r>
      <w:r w:rsidRPr="00FA74DA">
        <w:t>r</w:t>
      </w:r>
      <w:r w:rsidRPr="00FA74DA">
        <w:t>gången till digital-tv är dock inte tidsmässigt synkroniserad i Norden. Det kan därför uppstå problem i själva övergången för dem som sedan länge haft til</w:t>
      </w:r>
      <w:r w:rsidRPr="00FA74DA">
        <w:t>l</w:t>
      </w:r>
      <w:r w:rsidRPr="00FA74DA">
        <w:t>gång till dansk, norsk eller finländsk tv via det analoga marknätet. Riksdagen bör därför uppmana regeringen att skyndsamt ta initiativ till överläggningar med grannländernas regeringar i syfte att om möjligt undvika eller i varje fall minimera dessa övergångsproblem.</w:t>
      </w:r>
    </w:p>
    <w:p w:rsidR="00571523" w:rsidRPr="00FA74DA" w:rsidRDefault="00571523">
      <w:pPr>
        <w:pStyle w:val="Normaltindrag"/>
      </w:pPr>
      <w:r w:rsidRPr="00FA74DA">
        <w:t>För de utsändningar av Finlands tv som i enlighet med praxis skett sedan 1980-talet, ef</w:t>
      </w:r>
      <w:r w:rsidRPr="00FA74DA">
        <w:t>ter en överenskommelse mellan Finlands och Sveriges statsm</w:t>
      </w:r>
      <w:r w:rsidRPr="00FA74DA">
        <w:t>i</w:t>
      </w:r>
      <w:r w:rsidRPr="00FA74DA">
        <w:t>nistrar, gäller särskilda villkor. Det är angeläget att en ny överenskommelse kan träffas som säkerställer att tillgången till Finlands tv i Sverige och SVT:s sändningar i Finland blir minst lika stor som hittills. Helst bör denna överen</w:t>
      </w:r>
      <w:r w:rsidRPr="00FA74DA">
        <w:t>s</w:t>
      </w:r>
      <w:r w:rsidRPr="00FA74DA">
        <w:t>kommelse leda till att utbudet kan erbjudas alla tittare i Sverige via det digit</w:t>
      </w:r>
      <w:r w:rsidRPr="00FA74DA">
        <w:t>a</w:t>
      </w:r>
      <w:r w:rsidRPr="00FA74DA">
        <w:t>la marknätet.</w:t>
      </w:r>
    </w:p>
    <w:p w:rsidR="00571523" w:rsidRPr="00FA74DA" w:rsidRDefault="00571523">
      <w:pPr>
        <w:pStyle w:val="Normaltindrag"/>
      </w:pPr>
      <w:r w:rsidRPr="00FA74DA">
        <w:t>I vissa fall har sändningar av nordisk grannlands-tv skett men sedan up</w:t>
      </w:r>
      <w:r w:rsidRPr="00FA74DA">
        <w:t>p</w:t>
      </w:r>
      <w:r w:rsidRPr="00FA74DA">
        <w:t>hört till följd av att satellitföretag och kabel-tv-företag anser sig ha suverän rätt att bestämma innehållet i distributionen oavsett sändande programföretags eller än mera tittarnas önskemål.</w:t>
      </w:r>
    </w:p>
    <w:p w:rsidR="00571523" w:rsidRPr="00FA74DA" w:rsidRDefault="00571523">
      <w:pPr>
        <w:pStyle w:val="Normaltindrag"/>
      </w:pPr>
      <w:r w:rsidRPr="00FA74DA">
        <w:t>Enligt vår mening finns det skäl att främja medborgarnas valfrihet när det gäller leverantör av tv-program på samma sätt som skett när det gäller la</w:t>
      </w:r>
      <w:r w:rsidRPr="00FA74DA">
        <w:t>g</w:t>
      </w:r>
      <w:r w:rsidRPr="00FA74DA">
        <w:t>stiftningen för distribution av elektricitet och fast telefoni. Med tanke på i</w:t>
      </w:r>
      <w:r w:rsidRPr="00FA74DA">
        <w:t>n</w:t>
      </w:r>
      <w:r w:rsidRPr="00FA74DA">
        <w:t>formations- och yttrandefrihetens grundläggande betydelse för ett fritt sa</w:t>
      </w:r>
      <w:r w:rsidRPr="00FA74DA">
        <w:t>m</w:t>
      </w:r>
      <w:r w:rsidRPr="00FA74DA">
        <w:t>hällsskick finns särskilt starka skäl när det gäller distributionen av tv-program.</w:t>
      </w:r>
    </w:p>
    <w:p w:rsidR="00571523" w:rsidRPr="00FA74DA" w:rsidRDefault="00571523">
      <w:pPr>
        <w:pStyle w:val="Normaltindrag"/>
      </w:pPr>
      <w:r w:rsidRPr="00FA74DA">
        <w:t>Lagstiftningen bör säkerställa att den konkurrensbegränsande effekt som uppstår genom att vertikal integration tillåts på tv-området undanröjs. På samma sätt som ägare av distributionsnät för el eller fast telefoni idag är sky</w:t>
      </w:r>
      <w:r w:rsidRPr="00FA74DA">
        <w:t>l</w:t>
      </w:r>
      <w:r w:rsidRPr="00FA74DA">
        <w:t>diga att upplåta sina nät för operatörer utan konkurrenssnedvridande villkor bör strävan vara att säkerställa detta också när det gäller tv-distribution.</w:t>
      </w:r>
    </w:p>
    <w:p w:rsidR="00571523" w:rsidRPr="00FA74DA" w:rsidRDefault="00571523">
      <w:pPr>
        <w:pStyle w:val="Normaltindrag"/>
      </w:pPr>
      <w:r w:rsidRPr="00FA74DA">
        <w:t>Enligt vår mening är en lagstiftning som stärker medborgarnas valfrihet angelägen. Vi är väl medvetna om att en sådan lagstiftning kräver ett grun</w:t>
      </w:r>
      <w:r w:rsidRPr="00FA74DA">
        <w:t>d</w:t>
      </w:r>
      <w:r w:rsidRPr="00FA74DA">
        <w:t>ligt övervägande och sannolikt även ett initiativ till såväl grundlagsändring som ändring av rådande direktiv inom EU på detta område. Ansträngningarna att stärka informationsfriheten och medborgarnas valfrihet bör inte minska, utan hellre ökas, av dessa förhållanden.</w:t>
      </w:r>
    </w:p>
    <w:p w:rsidR="00571523" w:rsidRPr="00FA74DA" w:rsidRDefault="00571523">
      <w:pPr>
        <w:pStyle w:val="Normaltindrag"/>
      </w:pPr>
      <w:r w:rsidRPr="00FA74DA">
        <w:t>Informationsfriheten är viktigare för ett fritt samhällsskick än distrib</w:t>
      </w:r>
      <w:r w:rsidRPr="00FA74DA">
        <w:t>u</w:t>
      </w:r>
      <w:r w:rsidRPr="00FA74DA">
        <w:t>tionsföretags rätt att avgöra vad som får distribueras via de sändarnät för tv som de förfogar över. Medborgarnas valfrihet att välja i utbudet av tv-kanaler är så viktig att den konkurrensbegränsning som sker genom att vertikal inte-</w:t>
      </w:r>
      <w:r w:rsidRPr="00FA74DA">
        <w:t>g</w:t>
      </w:r>
      <w:r w:rsidRPr="00FA74DA">
        <w:t xml:space="preserve">ration alltjämt tillåts när det gäller television bör undanröjas. Riksdagen bör ge regeringen detta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4DA">
        <w:trPr>
          <w:cantSplit/>
        </w:trPr>
        <w:tc>
          <w:tcPr>
            <w:tcW w:w="3046" w:type="dxa"/>
          </w:tcPr>
          <w:p w:rsidR="00571523" w:rsidRPr="00FA74DA" w:rsidRDefault="00571523">
            <w:pPr>
              <w:pStyle w:val="UnderskriftDatum"/>
              <w:spacing w:before="240"/>
            </w:pPr>
            <w:r w:rsidRPr="00FA74DA">
              <w:t>Stockholm den 2 oktober 2008</w:t>
            </w:r>
          </w:p>
        </w:tc>
        <w:tc>
          <w:tcPr>
            <w:tcW w:w="3047" w:type="dxa"/>
          </w:tcPr>
          <w:p w:rsidR="00571523" w:rsidRPr="00FA74DA" w:rsidRDefault="00571523">
            <w:pPr>
              <w:pStyle w:val="Underskrifter"/>
              <w:spacing w:before="240"/>
            </w:pPr>
          </w:p>
        </w:tc>
      </w:tr>
      <w:tr w:rsidR="00000000" w:rsidRPr="00FA74DA">
        <w:trPr>
          <w:cantSplit/>
        </w:trPr>
        <w:tc>
          <w:tcPr>
            <w:tcW w:w="3046" w:type="dxa"/>
          </w:tcPr>
          <w:p w:rsidR="00571523" w:rsidRPr="00FA74DA" w:rsidRDefault="00571523">
            <w:pPr>
              <w:pStyle w:val="Underskrifter"/>
            </w:pPr>
            <w:r w:rsidRPr="00FA74DA">
              <w:t>Sven Bergström (c)</w:t>
            </w:r>
          </w:p>
        </w:tc>
        <w:tc>
          <w:tcPr>
            <w:tcW w:w="3046" w:type="dxa"/>
          </w:tcPr>
          <w:p w:rsidR="00571523" w:rsidRPr="00FA74DA" w:rsidRDefault="00571523">
            <w:pPr>
              <w:pStyle w:val="Underskrifter"/>
            </w:pPr>
            <w:r w:rsidRPr="00FA74DA">
              <w:t>Erik A Eriksson (c)</w:t>
            </w:r>
          </w:p>
        </w:tc>
      </w:tr>
    </w:tbl>
    <w:p w:rsidR="00571523" w:rsidRPr="00FA74DA" w:rsidRDefault="00571523">
      <w:pPr>
        <w:pStyle w:val="Normaltindrag"/>
      </w:pPr>
    </w:p>
    <w:sectPr w:rsidR="00571523" w:rsidRPr="00FA74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523" w:rsidRPr="00FA74DA" w:rsidRDefault="00571523">
      <w:r w:rsidRPr="00FA74DA">
        <w:separator/>
      </w:r>
    </w:p>
  </w:endnote>
  <w:endnote w:type="continuationSeparator" w:id="0">
    <w:p w:rsidR="00571523" w:rsidRPr="00FA74DA" w:rsidRDefault="00571523">
      <w:r w:rsidRPr="00FA74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523" w:rsidRPr="00FA74DA" w:rsidRDefault="00FA74DA">
    <w:pPr>
      <w:pStyle w:val="Sidfot"/>
    </w:pPr>
    <w:r w:rsidRPr="00FA74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15181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523" w:rsidRDefault="005715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1523" w:rsidRDefault="005715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523" w:rsidRPr="00FA74DA" w:rsidRDefault="00FA74DA">
    <w:pPr>
      <w:pStyle w:val="Sidfot"/>
    </w:pPr>
    <w:r w:rsidRPr="00FA74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95307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523" w:rsidRDefault="005715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1523" w:rsidRDefault="005715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523" w:rsidRPr="00FA74DA" w:rsidRDefault="00FA74DA">
    <w:pPr>
      <w:pStyle w:val="Sidfot"/>
    </w:pPr>
    <w:r w:rsidRPr="00FA74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0905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523" w:rsidRDefault="005715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1523" w:rsidRDefault="005715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523" w:rsidRPr="00FA74DA" w:rsidRDefault="00571523">
      <w:r w:rsidRPr="00FA74DA">
        <w:separator/>
      </w:r>
    </w:p>
  </w:footnote>
  <w:footnote w:type="continuationSeparator" w:id="0">
    <w:p w:rsidR="00571523" w:rsidRPr="00FA74DA" w:rsidRDefault="00571523">
      <w:r w:rsidRPr="00FA74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523" w:rsidRPr="00FA74DA" w:rsidRDefault="00FA74DA">
    <w:pPr>
      <w:pStyle w:val="Sidhuvud"/>
    </w:pPr>
    <w:r w:rsidRPr="00FA74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1368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523" w:rsidRDefault="005715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1523" w:rsidRDefault="005715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523" w:rsidRPr="00FA74DA" w:rsidRDefault="00FA74DA">
    <w:pPr>
      <w:pStyle w:val="Sidhuvud"/>
    </w:pPr>
    <w:r w:rsidRPr="00FA74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5921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523" w:rsidRDefault="005715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1523" w:rsidRDefault="005715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523" w:rsidRPr="00FA74DA" w:rsidRDefault="00571523">
    <w:pPr>
      <w:pStyle w:val="FSHNormal"/>
      <w:tabs>
        <w:tab w:val="right" w:pos="5840"/>
      </w:tabs>
    </w:pPr>
    <w:r w:rsidRPr="00FA74DA">
      <w:br/>
    </w:r>
    <w:r w:rsidRPr="00FA74DA">
      <w:fldChar w:fldCharType="begin" w:fldLock="1"/>
    </w:r>
    <w:r w:rsidRPr="00FA74DA">
      <w:instrText xml:space="preserve"> DOCPROPERTY</w:instrText>
    </w:r>
    <w:r w:rsidRPr="00FA74DA">
      <w:rPr>
        <w:sz w:val="18"/>
      </w:rPr>
      <w:instrText xml:space="preserve"> "YearUser" *\charformat </w:instrText>
    </w:r>
    <w:r w:rsidRPr="00FA74DA">
      <w:fldChar w:fldCharType="separate"/>
    </w:r>
    <w:r w:rsidRPr="00FA74DA">
      <w:t>2008/09</w:t>
    </w:r>
    <w:r w:rsidRPr="00FA74DA">
      <w:fldChar w:fldCharType="end"/>
    </w:r>
    <w:r w:rsidRPr="00FA74DA">
      <w:t xml:space="preserve"> </w:t>
    </w:r>
    <w:r w:rsidRPr="00FA74DA">
      <w:tab/>
      <w:t xml:space="preserve">mnr: </w:t>
    </w:r>
    <w:r w:rsidRPr="00FA74DA">
      <w:fldChar w:fldCharType="begin" w:fldLock="1"/>
    </w:r>
    <w:r w:rsidRPr="00FA74DA">
      <w:instrText xml:space="preserve"> DOCPROPERTY</w:instrText>
    </w:r>
    <w:r w:rsidRPr="00FA74DA">
      <w:rPr>
        <w:sz w:val="18"/>
      </w:rPr>
      <w:instrText xml:space="preserve"> "Motionsnummer" *\charformat </w:instrText>
    </w:r>
    <w:r w:rsidRPr="00FA74DA">
      <w:fldChar w:fldCharType="separate"/>
    </w:r>
    <w:r w:rsidRPr="00FA74DA">
      <w:t>Kr314</w:t>
    </w:r>
    <w:r w:rsidRPr="00FA74DA">
      <w:fldChar w:fldCharType="end"/>
    </w:r>
    <w:r w:rsidRPr="00FA74DA">
      <w:br/>
    </w:r>
    <w:r w:rsidRPr="00FA74DA">
      <w:fldChar w:fldCharType="begin" w:fldLock="1"/>
    </w:r>
    <w:r w:rsidRPr="00FA74DA">
      <w:instrText xml:space="preserve"> DOCPROPERTY</w:instrText>
    </w:r>
    <w:r w:rsidRPr="00FA74DA">
      <w:rPr>
        <w:sz w:val="18"/>
      </w:rPr>
      <w:instrText xml:space="preserve"> "Samling" *\charformat </w:instrText>
    </w:r>
    <w:r w:rsidRPr="00FA74DA">
      <w:fldChar w:fldCharType="end"/>
    </w:r>
    <w:r w:rsidRPr="00FA74DA">
      <w:tab/>
      <w:t xml:space="preserve">pnr: </w:t>
    </w:r>
    <w:r w:rsidRPr="00FA74DA">
      <w:fldChar w:fldCharType="begin" w:fldLock="1"/>
    </w:r>
    <w:r w:rsidRPr="00FA74DA">
      <w:instrText xml:space="preserve"> DOCPROPERTY</w:instrText>
    </w:r>
    <w:r w:rsidRPr="00FA74DA">
      <w:rPr>
        <w:sz w:val="18"/>
      </w:rPr>
      <w:instrText xml:space="preserve"> "Partinummer" *\charformat </w:instrText>
    </w:r>
    <w:r w:rsidRPr="00FA74DA">
      <w:fldChar w:fldCharType="separate"/>
    </w:r>
    <w:r w:rsidRPr="00FA74DA">
      <w:t>c415</w:t>
    </w:r>
    <w:r w:rsidRPr="00FA74DA">
      <w:fldChar w:fldCharType="end"/>
    </w:r>
  </w:p>
  <w:p w:rsidR="00571523" w:rsidRPr="00FA74DA" w:rsidRDefault="00571523">
    <w:pPr>
      <w:pStyle w:val="FSHRub1"/>
    </w:pPr>
    <w:r w:rsidRPr="00FA74DA">
      <w:t>Motion till riksdagen</w:t>
    </w:r>
    <w:r w:rsidRPr="00FA74DA">
      <w:br/>
    </w:r>
    <w:r w:rsidRPr="00FA74DA">
      <w:fldChar w:fldCharType="begin" w:fldLock="1"/>
    </w:r>
    <w:r w:rsidRPr="00FA74DA">
      <w:instrText xml:space="preserve"> DOCPROPERTY "YearUser" *\charformat </w:instrText>
    </w:r>
    <w:r w:rsidRPr="00FA74DA">
      <w:fldChar w:fldCharType="separate"/>
    </w:r>
    <w:r w:rsidRPr="00FA74DA">
      <w:t>2008/09</w:t>
    </w:r>
    <w:r w:rsidRPr="00FA74DA">
      <w:fldChar w:fldCharType="end"/>
    </w:r>
    <w:r w:rsidRPr="00FA74DA">
      <w:t>:</w:t>
    </w:r>
    <w:r w:rsidRPr="00FA74DA">
      <w:fldChar w:fldCharType="begin" w:fldLock="1"/>
    </w:r>
    <w:r w:rsidRPr="00FA74DA">
      <w:instrText xml:space="preserve"> DOCPROPERTY "Motionsnummer" *\charformat </w:instrText>
    </w:r>
    <w:r w:rsidRPr="00FA74DA">
      <w:fldChar w:fldCharType="separate"/>
    </w:r>
    <w:r w:rsidRPr="00FA74DA">
      <w:t>Kr314</w:t>
    </w:r>
    <w:r w:rsidRPr="00FA74DA">
      <w:fldChar w:fldCharType="end"/>
    </w:r>
  </w:p>
  <w:p w:rsidR="00571523" w:rsidRPr="00FA74DA" w:rsidRDefault="00571523">
    <w:pPr>
      <w:pStyle w:val="FSHNormalS5"/>
    </w:pPr>
    <w:r w:rsidRPr="00FA74DA">
      <w:fldChar w:fldCharType="begin" w:fldLock="1"/>
    </w:r>
    <w:r w:rsidRPr="00FA74DA">
      <w:instrText xml:space="preserve"> DOCPROPERTY "MotionarText" *\charformat </w:instrText>
    </w:r>
    <w:r w:rsidRPr="00FA74DA">
      <w:fldChar w:fldCharType="separate"/>
    </w:r>
    <w:r w:rsidRPr="00FA74DA">
      <w:t>av Sven Bergström och Erik A Eriksson (c)</w:t>
    </w:r>
    <w:r w:rsidRPr="00FA74DA">
      <w:fldChar w:fldCharType="end"/>
    </w:r>
    <w:r w:rsidRPr="00FA74DA">
      <w:br/>
    </w:r>
    <w:r w:rsidRPr="00FA74DA">
      <w:fldChar w:fldCharType="begin" w:fldLock="1"/>
    </w:r>
    <w:r w:rsidRPr="00FA74DA">
      <w:instrText xml:space="preserve"> DOCPROPERTY "SvarFrasKort" *\charformat </w:instrText>
    </w:r>
    <w:r w:rsidRPr="00FA74DA">
      <w:fldChar w:fldCharType="end"/>
    </w:r>
  </w:p>
  <w:p w:rsidR="00571523" w:rsidRPr="00FA74DA" w:rsidRDefault="00571523">
    <w:pPr>
      <w:pStyle w:val="FSHTitel"/>
    </w:pPr>
    <w:r w:rsidRPr="00FA74DA">
      <w:fldChar w:fldCharType="begin" w:fldLock="1"/>
    </w:r>
    <w:r w:rsidRPr="00FA74DA">
      <w:instrText xml:space="preserve"> DOCPROPERTY</w:instrText>
    </w:r>
    <w:r w:rsidRPr="00FA74DA">
      <w:rPr>
        <w:sz w:val="18"/>
      </w:rPr>
      <w:instrText xml:space="preserve"> "RubrikSvar" *\charformat </w:instrText>
    </w:r>
    <w:r w:rsidRPr="00FA74DA">
      <w:fldChar w:fldCharType="separate"/>
    </w:r>
    <w:r w:rsidRPr="00FA74DA">
      <w:t>Bättre samarbete inom public service-tv-samarbete i Norden</w:t>
    </w:r>
    <w:r w:rsidRPr="00FA74DA">
      <w:fldChar w:fldCharType="end"/>
    </w:r>
  </w:p>
  <w:p w:rsidR="00571523" w:rsidRPr="00FA74DA" w:rsidRDefault="00571523">
    <w:pPr>
      <w:pStyle w:val="Normal00"/>
    </w:pPr>
  </w:p>
  <w:p w:rsidR="00571523" w:rsidRPr="00FA74DA" w:rsidRDefault="005715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C94389"/>
    <w:multiLevelType w:val="hybridMultilevel"/>
    <w:tmpl w:val="3C420E2C"/>
    <w:lvl w:ilvl="0" w:tplc="6E9816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53E1A3A"/>
    <w:multiLevelType w:val="hybridMultilevel"/>
    <w:tmpl w:val="429CEEC8"/>
    <w:lvl w:ilvl="0" w:tplc="72C6A5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1A33D72"/>
    <w:multiLevelType w:val="hybridMultilevel"/>
    <w:tmpl w:val="AF0AA144"/>
    <w:lvl w:ilvl="0" w:tplc="3DBE2A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4260126">
    <w:abstractNumId w:val="8"/>
  </w:num>
  <w:num w:numId="2" w16cid:durableId="1359046443">
    <w:abstractNumId w:val="9"/>
  </w:num>
  <w:num w:numId="3" w16cid:durableId="611938826">
    <w:abstractNumId w:val="8"/>
  </w:num>
  <w:num w:numId="4" w16cid:durableId="1083376908">
    <w:abstractNumId w:val="9"/>
  </w:num>
  <w:num w:numId="5" w16cid:durableId="1410887550">
    <w:abstractNumId w:val="16"/>
  </w:num>
  <w:num w:numId="6" w16cid:durableId="2048335421">
    <w:abstractNumId w:val="10"/>
  </w:num>
  <w:num w:numId="7" w16cid:durableId="876284020">
    <w:abstractNumId w:val="13"/>
  </w:num>
  <w:num w:numId="8" w16cid:durableId="1963263441">
    <w:abstractNumId w:val="15"/>
  </w:num>
  <w:num w:numId="9" w16cid:durableId="1195843859">
    <w:abstractNumId w:val="8"/>
  </w:num>
  <w:num w:numId="10" w16cid:durableId="373584537">
    <w:abstractNumId w:val="3"/>
  </w:num>
  <w:num w:numId="11" w16cid:durableId="945619761">
    <w:abstractNumId w:val="2"/>
  </w:num>
  <w:num w:numId="12" w16cid:durableId="754129126">
    <w:abstractNumId w:val="1"/>
  </w:num>
  <w:num w:numId="13" w16cid:durableId="1965581002">
    <w:abstractNumId w:val="0"/>
  </w:num>
  <w:num w:numId="14" w16cid:durableId="612706739">
    <w:abstractNumId w:val="9"/>
  </w:num>
  <w:num w:numId="15" w16cid:durableId="1834223498">
    <w:abstractNumId w:val="7"/>
  </w:num>
  <w:num w:numId="16" w16cid:durableId="1689721880">
    <w:abstractNumId w:val="6"/>
  </w:num>
  <w:num w:numId="17" w16cid:durableId="1797140887">
    <w:abstractNumId w:val="5"/>
  </w:num>
  <w:num w:numId="18" w16cid:durableId="663047779">
    <w:abstractNumId w:val="4"/>
  </w:num>
  <w:num w:numId="19" w16cid:durableId="2038850178">
    <w:abstractNumId w:val="12"/>
  </w:num>
  <w:num w:numId="20" w16cid:durableId="1430274471">
    <w:abstractNumId w:val="11"/>
  </w:num>
  <w:num w:numId="21" w16cid:durableId="1684042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02A731C-6BF1-4A07-88F2-23ECBB444940},{FF60551E-2B1C-4263-ABB0-A34164FEBF37}"/>
  </w:docVars>
  <w:rsids>
    <w:rsidRoot w:val="003C2195"/>
    <w:rsid w:val="003C2195"/>
    <w:rsid w:val="00571523"/>
    <w:rsid w:val="00FA74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976F59-2EE2-45C3-B98B-272F594C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5856</Characters>
  <Application>Microsoft Office Word</Application>
  <DocSecurity>4</DocSecurity>
  <Lines>112</Lines>
  <Paragraphs>28</Paragraphs>
  <ScaleCrop>false</ScaleCrop>
  <HeadingPairs>
    <vt:vector size="2" baseType="variant">
      <vt:variant>
        <vt:lpstr>Rubrik</vt:lpstr>
      </vt:variant>
      <vt:variant>
        <vt:i4>1</vt:i4>
      </vt:variant>
    </vt:vector>
  </HeadingPairs>
  <TitlesOfParts>
    <vt:vector size="1" baseType="lpstr">
      <vt:lpstr>c415</vt:lpstr>
    </vt:vector>
  </TitlesOfParts>
  <Company>Riksdagen</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c415</dc:title>
  <dc:subject>c415</dc:subject>
  <dc:creator>Riksdagen</dc:creator>
  <cp:keywords>Riksdagen</cp:keywords>
  <dc:description>TKG-ktrl, MSMQ4mb, PersReg-Distribution mm b-&gt;ny fplogga c-&gt;nygamla s-rosen</dc:description>
  <cp:lastModifiedBy>Lars Brink</cp:lastModifiedBy>
  <cp:revision>2</cp:revision>
  <cp:lastPrinted>2009-02-02T13:50:00Z</cp:lastPrinted>
  <dcterms:created xsi:type="dcterms:W3CDTF">2025-12-17T17:28:00Z</dcterms:created>
  <dcterms:modified xsi:type="dcterms:W3CDTF">2025-12-17T17:28:00Z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Bättre samarbete inom public service-tv-samarbete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samarbete inom public service-tv-samarbete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Erik A Eriksson (c)</vt:lpwstr>
  </property>
  <property fmtid="{D5CDD505-2E9C-101B-9397-08002B2CF9AE}" pid="26" name="MotionarLista">
    <vt:lpwstr>Bergström, Sven (c)\Eriksson, Erik 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Kr314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20082009000000000099000004150069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20082009000000000099000004150069</vt:lpwstr>
  </property>
  <property fmtid="{D5CDD505-2E9C-101B-9397-08002B2CF9AE}" pid="50" name="nummer">
    <vt:lpwstr>314</vt:lpwstr>
  </property>
  <property fmtid="{D5CDD505-2E9C-101B-9397-08002B2CF9AE}" pid="51" name="utskottsbeteckning">
    <vt:lpwstr>Kr</vt:lpwstr>
  </property>
  <property fmtid="{D5CDD505-2E9C-101B-9397-08002B2CF9AE}" pid="52" name="GlobalUID">
    <vt:lpwstr>{8587CBEF-8D84-4106-A2E9-DE5AEFAB91DC}</vt:lpwstr>
  </property>
  <property fmtid="{D5CDD505-2E9C-101B-9397-08002B2CF9AE}" pid="53" name="Överföringar">
    <vt:i4>0</vt:i4>
  </property>
  <property fmtid="{D5CDD505-2E9C-101B-9397-08002B2CF9AE}" pid="54" name="Checksum">
    <vt:lpwstr>*0019545354417*</vt:lpwstr>
  </property>
  <property fmtid="{D5CDD505-2E9C-101B-9397-08002B2CF9AE}" pid="55" name="skuggnummer">
    <vt:lpwstr>2595</vt:lpwstr>
  </property>
  <property fmtid="{D5CDD505-2E9C-101B-9397-08002B2CF9AE}" pid="56" name="urixVersion">
    <vt:lpwstr>3.2.0.8</vt:lpwstr>
  </property>
  <property fmtid="{D5CDD505-2E9C-101B-9397-08002B2CF9AE}" pid="57" name="urixOrigin">
    <vt:lpwstr>090402 16:13:38.551</vt:lpwstr>
  </property>
  <property fmtid="{D5CDD505-2E9C-101B-9397-08002B2CF9AE}" pid="58" name="urixGuid">
    <vt:lpwstr>{9ADE5769-D471-4AA0-BB2B-228432F6C75A}</vt:lpwstr>
  </property>
</Properties>
</file>