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7E3" w:rsidRPr="00DE504E" w:rsidRDefault="000777E3" w:rsidP="00FC7876">
      <w:pPr>
        <w:pStyle w:val="Hemstlrubrik"/>
      </w:pPr>
      <w:r w:rsidRPr="00DE504E">
        <w:t>Förslag till riksdagsbeslut</w:t>
      </w:r>
    </w:p>
    <w:p w:rsidR="000777E3" w:rsidRPr="00DE504E" w:rsidRDefault="000777E3" w:rsidP="00FC7876">
      <w:pPr>
        <w:pStyle w:val="Hemstlatt"/>
      </w:pPr>
      <w:r w:rsidRPr="00DE504E">
        <w:t>Riksdagen avslår regeringens proposition om hemlig rumsavlyssning.</w:t>
      </w:r>
    </w:p>
    <w:p w:rsidR="00405B8E" w:rsidRPr="00DE504E" w:rsidRDefault="009813BD" w:rsidP="00FC7876">
      <w:pPr>
        <w:pStyle w:val="Hemstlatt"/>
      </w:pPr>
      <w:r w:rsidRPr="00DE504E">
        <w:t>Riksdagen tillkännager för regeringen som sin mening vad i motionen anförs om att införa reella rättssäkerhetsgarantier.</w:t>
      </w:r>
    </w:p>
    <w:p w:rsidR="004F3341" w:rsidRPr="00DE504E" w:rsidRDefault="004F3341" w:rsidP="00FC7876">
      <w:pPr>
        <w:pStyle w:val="Hemstlatt"/>
      </w:pPr>
      <w:r w:rsidRPr="00DE504E">
        <w:t>Riksdagen tillkännag</w:t>
      </w:r>
      <w:r w:rsidR="0042566A" w:rsidRPr="00DE504E">
        <w:t>er för regeringen som sin mening</w:t>
      </w:r>
      <w:r w:rsidRPr="00DE504E">
        <w:t xml:space="preserve"> vad i motionen anförs om att invänta </w:t>
      </w:r>
      <w:r w:rsidR="00DE7CDB" w:rsidRPr="00DE504E">
        <w:t xml:space="preserve">Integritetsskyddskommitténs </w:t>
      </w:r>
      <w:r w:rsidRPr="00DE504E">
        <w:t>betänkande.</w:t>
      </w:r>
    </w:p>
    <w:p w:rsidR="00DE7CDB" w:rsidRPr="00DE504E" w:rsidRDefault="00DE7CDB" w:rsidP="00801D71">
      <w:pPr>
        <w:pStyle w:val="Rubrik1"/>
      </w:pPr>
      <w:r w:rsidRPr="00DE504E">
        <w:t>Sammanfattning</w:t>
      </w:r>
    </w:p>
    <w:p w:rsidR="000C76BF" w:rsidRPr="00DE504E" w:rsidRDefault="00A4265B" w:rsidP="00DE7CDB">
      <w:r w:rsidRPr="00DE504E">
        <w:t xml:space="preserve">Hemlig rumsavlyssning, </w:t>
      </w:r>
      <w:r w:rsidR="00B80639" w:rsidRPr="00DE504E">
        <w:t>nedan</w:t>
      </w:r>
      <w:r w:rsidRPr="00DE504E">
        <w:t xml:space="preserve"> kallad buggning, blir om det införs i Sverige ett av de mest integritetskränkande tvångsmedel staten har till sitt förfogande. Det kommer att </w:t>
      </w:r>
      <w:r w:rsidR="00626C41" w:rsidRPr="00DE504E">
        <w:t>leda till att</w:t>
      </w:r>
      <w:r w:rsidRPr="00DE504E">
        <w:t xml:space="preserve"> fler oskyldiga än skyldiga</w:t>
      </w:r>
      <w:r w:rsidR="00626C41" w:rsidRPr="00DE504E">
        <w:t xml:space="preserve"> drabbas</w:t>
      </w:r>
      <w:r w:rsidRPr="00DE504E">
        <w:t>. Den inhämt</w:t>
      </w:r>
      <w:r w:rsidRPr="00DE504E">
        <w:t>a</w:t>
      </w:r>
      <w:r w:rsidRPr="00DE504E">
        <w:t>de informationen kan komma på avvägar och utnyttjas på ett felaktigt sätt. I sin proposition hävdar regeringen att det finns ett påtagligt behov av att införa tvångsmedlet. Mi</w:t>
      </w:r>
      <w:r w:rsidR="00DE7CDB" w:rsidRPr="00DE504E">
        <w:t>ljöpartiet de g</w:t>
      </w:r>
      <w:r w:rsidRPr="00DE504E">
        <w:t>röna delar inte regeringens up</w:t>
      </w:r>
      <w:r w:rsidR="00DE7CDB" w:rsidRPr="00DE504E">
        <w:t>pfattning utan anser liksom JO</w:t>
      </w:r>
      <w:r w:rsidRPr="00DE504E">
        <w:t xml:space="preserve"> och Lagrådet att ett behov inte är </w:t>
      </w:r>
      <w:r w:rsidR="00DE7CDB" w:rsidRPr="00DE504E">
        <w:t>på</w:t>
      </w:r>
      <w:r w:rsidRPr="00DE504E">
        <w:t>visat. Den påstådda e</w:t>
      </w:r>
      <w:r w:rsidRPr="00DE504E">
        <w:t>f</w:t>
      </w:r>
      <w:r w:rsidRPr="00DE504E">
        <w:t>fektivitetshöjningen för polisens arbete har inte motiverats, beskrivits eller undersökts. I en proportionalitetsbedömning mellan buggningens inskrän</w:t>
      </w:r>
      <w:r w:rsidRPr="00DE504E">
        <w:t>k</w:t>
      </w:r>
      <w:r w:rsidRPr="00DE504E">
        <w:t>ning av den personliga integriteten och tvångsmedlets nytta har regeringen inte lyckats visa på värdet av den föreslagna åtgärden. Dessutom påpekar vi återigen de bristande rättssäkerhetsgarantierna i regeringens lagförslag. Det är därför enligt vår mening uppenbart att förslaget om buggning medför ett klart brott mot Europakonventionen. Det förvånar oss att regeringen hänvisar till framtida rättssäkerhetsgarantier som idag inte existerar. Vi kräver återigen att regeringen inväntar Integritetsskyddskommitténs betänkande innan fler inte</w:t>
      </w:r>
      <w:r w:rsidRPr="00DE504E">
        <w:t>g</w:t>
      </w:r>
      <w:r w:rsidRPr="00DE504E">
        <w:t>ritetskränkande lagförslag läggs.</w:t>
      </w:r>
    </w:p>
    <w:p w:rsidR="00A4265B" w:rsidRPr="00DE504E" w:rsidRDefault="00A4265B" w:rsidP="00A4265B">
      <w:pPr>
        <w:pStyle w:val="Normaltindrag"/>
      </w:pPr>
      <w:r w:rsidRPr="00DE504E">
        <w:t>Det är uppenbart att denna proposition har hastats fram för att kunna bli klar inom mandatperioden. Detta har också medfört ett lagstiftningsförslag som är dåligt motiverat, saknar grundläggande analyser kring Europakonve</w:t>
      </w:r>
      <w:r w:rsidRPr="00DE504E">
        <w:t>n</w:t>
      </w:r>
      <w:r w:rsidRPr="00DE504E">
        <w:t>tionen och som bl</w:t>
      </w:r>
      <w:r w:rsidR="00DE7CDB" w:rsidRPr="00DE504E">
        <w:t>.</w:t>
      </w:r>
      <w:r w:rsidRPr="00DE504E">
        <w:t>a</w:t>
      </w:r>
      <w:r w:rsidR="00DE7CDB" w:rsidRPr="00DE504E">
        <w:t>.</w:t>
      </w:r>
      <w:r w:rsidRPr="00DE504E">
        <w:t xml:space="preserve"> till följd av detta har stött på en massiv kritik. Vi delar Lagrådets synpunkt om</w:t>
      </w:r>
      <w:r w:rsidR="00DE7CDB" w:rsidRPr="00DE504E">
        <w:t xml:space="preserve"> att detta lagförslag inte ska</w:t>
      </w:r>
      <w:r w:rsidRPr="00DE504E">
        <w:t xml:space="preserve"> genomföras.</w:t>
      </w:r>
    </w:p>
    <w:p w:rsidR="000C76BF" w:rsidRPr="00DE504E" w:rsidRDefault="000C76BF" w:rsidP="000C76BF">
      <w:pPr>
        <w:pStyle w:val="Rubrik1"/>
      </w:pPr>
      <w:r w:rsidRPr="00DE504E">
        <w:lastRenderedPageBreak/>
        <w:t xml:space="preserve">Vad </w:t>
      </w:r>
      <w:r w:rsidR="00280929" w:rsidRPr="00DE504E">
        <w:t>innebär</w:t>
      </w:r>
      <w:r w:rsidRPr="00DE504E">
        <w:t xml:space="preserve"> buggning?</w:t>
      </w:r>
    </w:p>
    <w:p w:rsidR="0043214B" w:rsidRPr="00DE504E" w:rsidRDefault="0043214B" w:rsidP="00A85578">
      <w:r w:rsidRPr="00DE504E">
        <w:t>Regeringen framför i propositionen att buggning har en stor påverkan på samhället i stort. Miljöpartiet vill för sin del understryka vad f.d. JO Claes Eklundh betonade i sitt remissyttrande över Buggningsutredningens betä</w:t>
      </w:r>
      <w:r w:rsidRPr="00DE504E">
        <w:t>n</w:t>
      </w:r>
      <w:r w:rsidRPr="00DE504E">
        <w:t xml:space="preserve">kande (SOU 1998:46), nämligen att </w:t>
      </w:r>
      <w:r w:rsidR="00A85578" w:rsidRPr="00DE504E">
        <w:t>”</w:t>
      </w:r>
      <w:r w:rsidRPr="00DE504E">
        <w:t>det rör sig i realiteten inte om en gra</w:t>
      </w:r>
      <w:r w:rsidRPr="00DE504E">
        <w:t>d</w:t>
      </w:r>
      <w:r w:rsidRPr="00DE504E">
        <w:t>skillnad utan om en artskillnad mellan buggning och ett så integritetskränka</w:t>
      </w:r>
      <w:r w:rsidRPr="00DE504E">
        <w:t>n</w:t>
      </w:r>
      <w:r w:rsidRPr="00DE504E">
        <w:t>de medel som hemlig tvångsavlyssning</w:t>
      </w:r>
      <w:r w:rsidR="00A85578" w:rsidRPr="00DE504E">
        <w:t>”</w:t>
      </w:r>
      <w:r w:rsidR="00DE7CDB" w:rsidRPr="00DE504E">
        <w:t>.</w:t>
      </w:r>
      <w:r w:rsidRPr="00DE504E">
        <w:t xml:space="preserve"> </w:t>
      </w:r>
    </w:p>
    <w:p w:rsidR="0066383C" w:rsidRPr="00DE504E" w:rsidRDefault="0043214B" w:rsidP="0066383C">
      <w:pPr>
        <w:pStyle w:val="Normaltindrag"/>
      </w:pPr>
      <w:r w:rsidRPr="00DE504E">
        <w:t>Det hemliga tvångsmedel som ligger närmast till hands att jämföra med buggning är hemlig teleavlyssning. Skillnaden dem emellan är att he</w:t>
      </w:r>
      <w:r w:rsidR="00DE7CDB" w:rsidRPr="00DE504E">
        <w:t>mlig teleavlyssning är begränsad</w:t>
      </w:r>
      <w:r w:rsidRPr="00DE504E">
        <w:t xml:space="preserve"> till att avse den del av en persons dagliga aktivit</w:t>
      </w:r>
      <w:r w:rsidRPr="00DE504E">
        <w:t>e</w:t>
      </w:r>
      <w:r w:rsidRPr="00DE504E">
        <w:t>ter som utgörs av telefonsamtal eller liknande former av kommunikation, medan buggning däremot i princip kan avse vilken plats som helst, omfatta hela dygnet och registrera varje förekommande samtal och ljud. Precis som JO påpekar i sitt remissvar ligger det i sakens natur att risken för att oskyldiga personers samtal avlyssnas</w:t>
      </w:r>
      <w:r w:rsidR="00DE7CDB" w:rsidRPr="00DE504E">
        <w:t xml:space="preserve"> är</w:t>
      </w:r>
      <w:r w:rsidRPr="00DE504E">
        <w:t xml:space="preserve"> betydligt större vid buggning än vid hemlig teleavlyssning. Buggningen, som är ett helt nytt slag</w:t>
      </w:r>
      <w:r w:rsidR="00DE7CDB" w:rsidRPr="00DE504E">
        <w:t>s</w:t>
      </w:r>
      <w:r w:rsidRPr="00DE504E">
        <w:t xml:space="preserve"> hemligt tvångsmedel, som inte tidigare lagreglerats i Sverige, kommer inte att göra skillnad på mis</w:t>
      </w:r>
      <w:r w:rsidRPr="00DE504E">
        <w:t>s</w:t>
      </w:r>
      <w:r w:rsidRPr="00DE504E">
        <w:t>tänkta och oskyldiga. Buggning enligt propositionen innebär därför en sällsynt grov form av integritetskränkning.</w:t>
      </w:r>
    </w:p>
    <w:p w:rsidR="00DD297D" w:rsidRPr="00DE504E" w:rsidRDefault="00DD297D" w:rsidP="0066383C">
      <w:pPr>
        <w:pStyle w:val="Rubrik1"/>
      </w:pPr>
      <w:r w:rsidRPr="00DE504E">
        <w:t>Behovet av buggning</w:t>
      </w:r>
    </w:p>
    <w:p w:rsidR="000C6BDC" w:rsidRPr="00DE504E" w:rsidRDefault="000C6BDC" w:rsidP="00A85578">
      <w:r w:rsidRPr="00DE504E">
        <w:t>Det påtagliga behov som regeringen menar motiverar lagförslaget om bug</w:t>
      </w:r>
      <w:r w:rsidRPr="00DE504E">
        <w:t>g</w:t>
      </w:r>
      <w:r w:rsidRPr="00DE504E">
        <w:t xml:space="preserve">ning är framkallat av den senaste tidens ökade fall av terrorism </w:t>
      </w:r>
      <w:r w:rsidR="006654C1" w:rsidRPr="00DE504E">
        <w:t xml:space="preserve">och </w:t>
      </w:r>
      <w:r w:rsidRPr="00DE504E">
        <w:t xml:space="preserve">spionage </w:t>
      </w:r>
      <w:r w:rsidR="00DE7CDB" w:rsidRPr="00DE504E">
        <w:t xml:space="preserve">i världen </w:t>
      </w:r>
      <w:r w:rsidRPr="00DE504E">
        <w:t>samt den författningshotande verksamheten.</w:t>
      </w:r>
    </w:p>
    <w:p w:rsidR="000C6BDC" w:rsidRPr="00DE504E" w:rsidRDefault="00DE7CDB" w:rsidP="0066383C">
      <w:pPr>
        <w:pStyle w:val="Normaltindrag"/>
      </w:pPr>
      <w:r w:rsidRPr="00DE504E">
        <w:t>Miljöpartiet de g</w:t>
      </w:r>
      <w:r w:rsidR="000C6BDC" w:rsidRPr="00DE504E">
        <w:t>röna ser terroristbrott som ett av de hot Sverige står inför. Utöver terroristbrott är mer akuta problem naturkatastrofer och IT-sabotage. Men fortfarande saknar vi en tydligare definition från regeringens sida av vad som kan räknas som terroristbrott. Vi upprepar därför våra farhågor att Sver</w:t>
      </w:r>
      <w:r w:rsidR="000C6BDC" w:rsidRPr="00DE504E">
        <w:t>i</w:t>
      </w:r>
      <w:r w:rsidR="000C6BDC" w:rsidRPr="00DE504E">
        <w:t xml:space="preserve">ge liksom Danmark kan komma att döma ideella organisationer som kämpar för miljön för terroristbrott. Danmark dömde Greenpeace i augusti 2005 för terroristbrott efter att de vecklat ut en banderoll på </w:t>
      </w:r>
      <w:r w:rsidRPr="00DE504E">
        <w:t xml:space="preserve">Jordbruksdepartementets </w:t>
      </w:r>
      <w:r w:rsidR="000C6BDC" w:rsidRPr="00DE504E">
        <w:t xml:space="preserve">byggnad där det stod </w:t>
      </w:r>
      <w:r w:rsidR="00A85578" w:rsidRPr="00DE504E">
        <w:t>”</w:t>
      </w:r>
      <w:r w:rsidR="000C6BDC" w:rsidRPr="00DE504E">
        <w:t>Nej till GMO-svin</w:t>
      </w:r>
      <w:r w:rsidR="00A85578" w:rsidRPr="00DE504E">
        <w:t>”</w:t>
      </w:r>
      <w:r w:rsidR="000C6BDC" w:rsidRPr="00DE504E">
        <w:t>. Vi skräms av den annalkande utvecklingen där utomparlamentariska organisationer per definition blir mis</w:t>
      </w:r>
      <w:r w:rsidR="000C6BDC" w:rsidRPr="00DE504E">
        <w:t>s</w:t>
      </w:r>
      <w:r w:rsidR="000C6BDC" w:rsidRPr="00DE504E">
        <w:t xml:space="preserve">tänkta för terroristbrott. Denna syn bekräftar regeringen i sin proposition under stycket </w:t>
      </w:r>
      <w:r w:rsidR="00A85578" w:rsidRPr="00DE504E">
        <w:t>”</w:t>
      </w:r>
      <w:r w:rsidR="000C6BDC" w:rsidRPr="00DE504E">
        <w:t>författningshotande verksamhet</w:t>
      </w:r>
      <w:r w:rsidR="00A85578" w:rsidRPr="00DE504E">
        <w:t>”</w:t>
      </w:r>
      <w:r w:rsidR="000C6BDC" w:rsidRPr="00DE504E">
        <w:t xml:space="preserve"> där myndigheten förklarar att denna inrymmer </w:t>
      </w:r>
      <w:r w:rsidR="00A85578" w:rsidRPr="00DE504E">
        <w:t>”</w:t>
      </w:r>
      <w:r w:rsidR="000C6BDC" w:rsidRPr="00DE504E">
        <w:t>den autonoma miljön</w:t>
      </w:r>
      <w:r w:rsidR="00A85578" w:rsidRPr="00DE504E">
        <w:t>”</w:t>
      </w:r>
      <w:r w:rsidR="000C6BDC" w:rsidRPr="00DE504E">
        <w:t xml:space="preserve"> där till exempel </w:t>
      </w:r>
      <w:r w:rsidR="00A85578" w:rsidRPr="00DE504E">
        <w:t>”</w:t>
      </w:r>
      <w:r w:rsidR="000C6BDC" w:rsidRPr="00DE504E">
        <w:t>utomparlament</w:t>
      </w:r>
      <w:r w:rsidR="000C6BDC" w:rsidRPr="00DE504E">
        <w:t>a</w:t>
      </w:r>
      <w:r w:rsidR="000C6BDC" w:rsidRPr="00DE504E">
        <w:t>riska</w:t>
      </w:r>
      <w:r w:rsidR="00A85578" w:rsidRPr="00DE504E">
        <w:t>”</w:t>
      </w:r>
      <w:r w:rsidR="000C6BDC" w:rsidRPr="00DE504E">
        <w:t xml:space="preserve"> aktioner är relativt vanliga arbetsmetoder. Att </w:t>
      </w:r>
      <w:r w:rsidR="00A85578" w:rsidRPr="00DE504E">
        <w:t>”</w:t>
      </w:r>
      <w:r w:rsidR="000C6BDC" w:rsidRPr="00DE504E">
        <w:t>utomparlamentarism</w:t>
      </w:r>
      <w:r w:rsidR="00A85578" w:rsidRPr="00DE504E">
        <w:t>”</w:t>
      </w:r>
      <w:r w:rsidR="000C6BDC" w:rsidRPr="00DE504E">
        <w:t xml:space="preserve"> är definitionen på all politisk verksamhet som inte pågår inom politiska part</w:t>
      </w:r>
      <w:r w:rsidR="000C6BDC" w:rsidRPr="00DE504E">
        <w:t>i</w:t>
      </w:r>
      <w:r w:rsidR="000C6BDC" w:rsidRPr="00DE504E">
        <w:t>er och i riksdagen, verkar inte hindra regeringen från att klassificera allt s</w:t>
      </w:r>
      <w:r w:rsidR="000C6BDC" w:rsidRPr="00DE504E">
        <w:t>å</w:t>
      </w:r>
      <w:r w:rsidR="000C6BDC" w:rsidRPr="00DE504E">
        <w:t xml:space="preserve">dant som </w:t>
      </w:r>
      <w:r w:rsidR="00A85578" w:rsidRPr="00DE504E">
        <w:t>”</w:t>
      </w:r>
      <w:r w:rsidR="000C6BDC" w:rsidRPr="00DE504E">
        <w:t>författningshotande verksamhet</w:t>
      </w:r>
      <w:r w:rsidR="00A85578" w:rsidRPr="00DE504E">
        <w:t>”</w:t>
      </w:r>
      <w:r w:rsidR="000C6BDC" w:rsidRPr="00DE504E">
        <w:t>. Vi kan för vår del i</w:t>
      </w:r>
      <w:r w:rsidR="00626C41" w:rsidRPr="00DE504E">
        <w:t>nte bli annat än undrande inför</w:t>
      </w:r>
      <w:r w:rsidR="000C6BDC" w:rsidRPr="00DE504E">
        <w:t xml:space="preserve"> vilken syn på demokratins institutioner detta ger uttryck för och vad i sådana fall detta innebär för organisationer som Amnesty, Greenp</w:t>
      </w:r>
      <w:r w:rsidR="000C6BDC" w:rsidRPr="00DE504E">
        <w:t>e</w:t>
      </w:r>
      <w:r w:rsidR="000C6BDC" w:rsidRPr="00DE504E">
        <w:t>ace och Förbundet Djurens Rätt. De kommer med största sannolikhet riskera att definieras som organisationer som bedriver författningshotande verksa</w:t>
      </w:r>
      <w:r w:rsidR="000C6BDC" w:rsidRPr="00DE504E">
        <w:t>m</w:t>
      </w:r>
      <w:r w:rsidR="000C6BDC" w:rsidRPr="00DE504E">
        <w:t>het.</w:t>
      </w:r>
    </w:p>
    <w:p w:rsidR="000C6BDC" w:rsidRPr="00DE504E" w:rsidRDefault="000C6BDC" w:rsidP="0066383C">
      <w:pPr>
        <w:pStyle w:val="Normaltindrag"/>
      </w:pPr>
      <w:r w:rsidRPr="00DE504E">
        <w:t>Enligt regeringen är de befintliga tvångsmedlen inte tillräckligt effektiva för att utreda mycket allvarliga brott inom den öppna polisens verksamhet</w:t>
      </w:r>
      <w:r w:rsidRPr="00DE504E">
        <w:t>s</w:t>
      </w:r>
      <w:r w:rsidRPr="00DE504E">
        <w:t xml:space="preserve">område. Då kan man fråga sig hur berättigade de nuvarande och föreslagna tvångsmedlen är när regeringen själv ifrågasätter dess effektivitet. </w:t>
      </w:r>
    </w:p>
    <w:p w:rsidR="000C6BDC" w:rsidRPr="00DE504E" w:rsidRDefault="000C6BDC" w:rsidP="0066383C">
      <w:pPr>
        <w:pStyle w:val="Normaltindrag"/>
      </w:pPr>
      <w:r w:rsidRPr="00DE504E">
        <w:t xml:space="preserve">Av regeringens skrivelse 2004/05:36 framgår att de hemliga tvångsmedlen </w:t>
      </w:r>
      <w:r w:rsidR="00A85578" w:rsidRPr="00DE504E">
        <w:t>”</w:t>
      </w:r>
      <w:r w:rsidRPr="00DE504E">
        <w:t>haft betydelse för förundersökningen</w:t>
      </w:r>
      <w:r w:rsidR="00A85578" w:rsidRPr="00DE504E">
        <w:t>”</w:t>
      </w:r>
      <w:r w:rsidR="00DE7CDB" w:rsidRPr="00DE504E">
        <w:t xml:space="preserve"> i c</w:t>
      </w:r>
      <w:r w:rsidRPr="00DE504E">
        <w:t>a 40</w:t>
      </w:r>
      <w:r w:rsidR="00DE7CDB" w:rsidRPr="00DE504E">
        <w:t> %</w:t>
      </w:r>
      <w:r w:rsidRPr="00DE504E">
        <w:t xml:space="preserve"> av fallen </w:t>
      </w:r>
      <w:r w:rsidR="00DE7CDB" w:rsidRPr="00DE504E">
        <w:t>och att förunde</w:t>
      </w:r>
      <w:r w:rsidR="00DE7CDB" w:rsidRPr="00DE504E">
        <w:t>r</w:t>
      </w:r>
      <w:r w:rsidR="00DE7CDB" w:rsidRPr="00DE504E">
        <w:t>sökningen i c</w:t>
      </w:r>
      <w:r w:rsidRPr="00DE504E">
        <w:t>a 30</w:t>
      </w:r>
      <w:r w:rsidR="00DE7CDB" w:rsidRPr="00DE504E">
        <w:t> %</w:t>
      </w:r>
      <w:r w:rsidRPr="00DE504E">
        <w:t xml:space="preserve"> av fallen har lagts ned på grund av att brott inte har ku</w:t>
      </w:r>
      <w:r w:rsidRPr="00DE504E">
        <w:t>n</w:t>
      </w:r>
      <w:r w:rsidRPr="00DE504E">
        <w:t>nat styrkas. Enligt regeringens proposition är</w:t>
      </w:r>
      <w:r w:rsidR="0066383C" w:rsidRPr="00DE504E">
        <w:t xml:space="preserve"> det bra om buggning </w:t>
      </w:r>
      <w:r w:rsidRPr="00DE504E">
        <w:t xml:space="preserve">kan hjälpa i några enstaka fall. </w:t>
      </w:r>
    </w:p>
    <w:p w:rsidR="000C6BDC" w:rsidRPr="00DE504E" w:rsidRDefault="000C6BDC" w:rsidP="0066383C">
      <w:pPr>
        <w:pStyle w:val="Normaltindrag"/>
      </w:pPr>
      <w:r w:rsidRPr="00DE504E">
        <w:t xml:space="preserve">Miljöpartiet delar inte regeringens synpunkt att det duger om buggning hjälper i </w:t>
      </w:r>
      <w:r w:rsidR="00A85578" w:rsidRPr="00DE504E">
        <w:t>”</w:t>
      </w:r>
      <w:r w:rsidRPr="00DE504E">
        <w:t>begränsad utsträckning</w:t>
      </w:r>
      <w:r w:rsidR="00A85578" w:rsidRPr="00DE504E">
        <w:t>”</w:t>
      </w:r>
      <w:r w:rsidRPr="00DE504E">
        <w:t>. Precis som regeringen själv skriver i pr</w:t>
      </w:r>
      <w:r w:rsidRPr="00DE504E">
        <w:t>o</w:t>
      </w:r>
      <w:r w:rsidRPr="00DE504E">
        <w:t>positionen har buggning en stor påverkan på samhället i stort. Vi har här samma åsikt som JO och 1979 års juristkommission (Ds 1980:2 s. 32) om att buggning är mer svårkontrollerad än övriga hemliga tvångsmedel och att buggningen kan leda till såväl ryktesspridning som bristande förtroende för polisen och andra myndigheter. Vi delar inte heller regeringens mening att tidningsredaktioner ska kunna avlyssnas eftersom det begränsar medierna och tryckfriheten på ett onödigt sätt. Hur ska meddelarfriheten kunna skyddas och efterforskningsförbudet vara en realitet, om buggning kan ske av redaktionen? Att som justitieministern hävda att terroristorganisationer skulle kunna bedr</w:t>
      </w:r>
      <w:r w:rsidRPr="00DE504E">
        <w:t>i</w:t>
      </w:r>
      <w:r w:rsidRPr="00DE504E">
        <w:t>va verksamhet under beteckning av en tidningsredaktion visar på regeringens desperation. När inga välgrundade argument finns, används vulgärretorik, skrämselp</w:t>
      </w:r>
      <w:r w:rsidR="0066383C" w:rsidRPr="00DE504E">
        <w:t>ropaganda och ett högt tonläge.</w:t>
      </w:r>
      <w:r w:rsidRPr="00DE504E">
        <w:t xml:space="preserve"> Regeringen har inte visat på vilket sätt det är motiverat att införa buggning för att i en begränsad utsträckning dra nytta av den. Detta berör proportionalitetsbedömningen som kommer nedan. </w:t>
      </w:r>
    </w:p>
    <w:p w:rsidR="009358AF" w:rsidRPr="00DE504E" w:rsidRDefault="009358AF" w:rsidP="000C6BDC">
      <w:pPr>
        <w:pStyle w:val="Rubrik1"/>
      </w:pPr>
      <w:r w:rsidRPr="00DE504E">
        <w:t>Respekten för de mänskliga rättigheterna</w:t>
      </w:r>
    </w:p>
    <w:p w:rsidR="009358AF" w:rsidRPr="00DE504E" w:rsidRDefault="009358AF" w:rsidP="00A85578">
      <w:r w:rsidRPr="00DE504E">
        <w:t xml:space="preserve">Enligt 2 kap. 6 § regeringsformen är varje medborgare gentemot det allmänna skyddad mot bl.a. hemlig avlyssning. Begränsningar i den grundläggande rättigheten medges dock i regeringsformen för ändamål som är godtagbara i ett demokratiskt samhälle. </w:t>
      </w:r>
    </w:p>
    <w:p w:rsidR="00F93E43" w:rsidRPr="00DE504E" w:rsidRDefault="00F93E43" w:rsidP="00F93E43">
      <w:pPr>
        <w:pStyle w:val="Normaltindrag"/>
      </w:pPr>
      <w:r w:rsidRPr="00DE504E">
        <w:t>Enligt artikel 8 i Europakonventionen har den enskildes rätt till respekt för sitt privatliv. Undantag från denna rättighet får dock göras om det är nödvä</w:t>
      </w:r>
      <w:r w:rsidRPr="00DE504E">
        <w:t>n</w:t>
      </w:r>
      <w:r w:rsidRPr="00DE504E">
        <w:t>digt i</w:t>
      </w:r>
      <w:r w:rsidR="00DE7CDB" w:rsidRPr="00DE504E">
        <w:t xml:space="preserve"> ett demokratiskt samhälle, </w:t>
      </w:r>
      <w:r w:rsidRPr="00DE504E">
        <w:t>har ett legitimt syfte och uppfyller proporti</w:t>
      </w:r>
      <w:r w:rsidRPr="00DE504E">
        <w:t>o</w:t>
      </w:r>
      <w:r w:rsidRPr="00DE504E">
        <w:t xml:space="preserve">nalitets- och effektivitetsprincipen. </w:t>
      </w:r>
    </w:p>
    <w:p w:rsidR="00852BBC" w:rsidRPr="00DE504E" w:rsidRDefault="00F93E43" w:rsidP="00A85578">
      <w:pPr>
        <w:pStyle w:val="Normaltindrag"/>
      </w:pPr>
      <w:r w:rsidRPr="00DE504E">
        <w:t xml:space="preserve">Det finns idag ett klassiskt </w:t>
      </w:r>
      <w:r w:rsidR="00C1589F" w:rsidRPr="00DE504E">
        <w:t>avgörande</w:t>
      </w:r>
      <w:r w:rsidRPr="00DE504E">
        <w:t xml:space="preserve"> från Europadomstolen</w:t>
      </w:r>
      <w:r w:rsidR="00C1589F" w:rsidRPr="00DE504E">
        <w:t xml:space="preserve">, </w:t>
      </w:r>
      <w:r w:rsidR="00C1589F" w:rsidRPr="00DE504E">
        <w:rPr>
          <w:i/>
        </w:rPr>
        <w:t>Klass m.fl. mot Tyskland</w:t>
      </w:r>
      <w:r w:rsidR="00C1589F" w:rsidRPr="00DE504E">
        <w:t>, angående statens användning av hemliga tvångsmedel. Eur</w:t>
      </w:r>
      <w:r w:rsidR="00C1589F" w:rsidRPr="00DE504E">
        <w:t>o</w:t>
      </w:r>
      <w:r w:rsidR="00C1589F" w:rsidRPr="00DE504E">
        <w:t xml:space="preserve">padomstolen gjorde en mycket klar poäng i detta fall för att artikel 8 ej ska anses kränkt krävs effektiva rättsmedel som tillförsäkrar den enskilde rätt till skadestånd enligt artikel 13. Således är bandet mellan artikel 8 och artikel 13 mycket starkt. I propositionen berör regeringen detta rättsfall men väljer att bara beröra frågan om upplysningsskyldighet för polisen efter att det hemliga tvångsmedlet ej längre används mot medborgaren. </w:t>
      </w:r>
      <w:r w:rsidR="00852BBC" w:rsidRPr="00DE504E">
        <w:t>Vi välkomnar att regerin</w:t>
      </w:r>
      <w:r w:rsidR="00852BBC" w:rsidRPr="00DE504E">
        <w:t>g</w:t>
      </w:r>
      <w:r w:rsidR="00852BBC" w:rsidRPr="00DE504E">
        <w:t>en ämnar införa upplysningsskyldighet men</w:t>
      </w:r>
      <w:r w:rsidR="003C1897" w:rsidRPr="00DE504E">
        <w:t xml:space="preserve"> </w:t>
      </w:r>
      <w:r w:rsidR="00852BBC" w:rsidRPr="00DE504E">
        <w:t>anser inte att det räcker med utfästelser i en sådan avgörande fråga som buggning faktiskt är för den pe</w:t>
      </w:r>
      <w:r w:rsidR="00852BBC" w:rsidRPr="00DE504E">
        <w:t>r</w:t>
      </w:r>
      <w:r w:rsidR="00852BBC" w:rsidRPr="00DE504E">
        <w:t xml:space="preserve">sonliga integriteten. I detta fall måste regeringen återkomma med ett förslag som övertygar i behovet av buggning och </w:t>
      </w:r>
      <w:r w:rsidR="003C1897" w:rsidRPr="00DE504E">
        <w:t>integritetsskydd. Det har den</w:t>
      </w:r>
      <w:r w:rsidR="00852BBC" w:rsidRPr="00DE504E">
        <w:t xml:space="preserve"> inte lyckats med.</w:t>
      </w:r>
    </w:p>
    <w:p w:rsidR="00FD1072" w:rsidRPr="00DE504E" w:rsidRDefault="00852BBC" w:rsidP="00852BBC">
      <w:pPr>
        <w:pStyle w:val="Normaltindrag"/>
      </w:pPr>
      <w:r w:rsidRPr="00DE504E">
        <w:t>I Europadomstolens rättspraxis är proportionalitetsprincipen central. Å</w:t>
      </w:r>
      <w:r w:rsidRPr="00DE504E">
        <w:t>t</w:t>
      </w:r>
      <w:r w:rsidRPr="00DE504E">
        <w:t>gärder som till sin typ är konventionsenliga kan godtas endast om de står i rimlig proportion till det intresse de är menade att tillgodose. Endast då det finns ett nödvändigt förhållande mellan dessa två faktorer är ingreppet pr</w:t>
      </w:r>
      <w:r w:rsidRPr="00DE504E">
        <w:t>o</w:t>
      </w:r>
      <w:r w:rsidRPr="00DE504E">
        <w:t xml:space="preserve">portionerligt, och endast då kan ingreppet anses nödvändigt i ett demokratiskt samhälle. Domstolen uttalar ofta att nödvändigheten ska vara </w:t>
      </w:r>
      <w:r w:rsidR="00A85578" w:rsidRPr="00DE504E">
        <w:t>”</w:t>
      </w:r>
      <w:r w:rsidRPr="00DE504E">
        <w:t>convincingly established</w:t>
      </w:r>
      <w:r w:rsidR="00A85578" w:rsidRPr="00DE504E">
        <w:t>”</w:t>
      </w:r>
      <w:r w:rsidRPr="00DE504E">
        <w:rPr>
          <w:rStyle w:val="Fotnotsreferens"/>
        </w:rPr>
        <w:footnoteReference w:id="2"/>
      </w:r>
      <w:r w:rsidRPr="00DE504E">
        <w:t>. Inskränkningen av rätten till privatliv ska även vara förutsebar i rimlig utsträckning. Vi ser dock inte hur regeringen har tagit hänsyn till pr</w:t>
      </w:r>
      <w:r w:rsidRPr="00DE504E">
        <w:t>o</w:t>
      </w:r>
      <w:r w:rsidRPr="00DE504E">
        <w:t xml:space="preserve">portionalitetsprincipen i detta fall. Förslaget om buggning har varken påvisat sig uppväga inskränkningarna i den personliga integriteten genom effektivitet eller behov. </w:t>
      </w:r>
    </w:p>
    <w:p w:rsidR="003079D4" w:rsidRPr="00DE504E" w:rsidRDefault="003216AA" w:rsidP="001F35C6">
      <w:pPr>
        <w:pStyle w:val="Rubrik1"/>
      </w:pPr>
      <w:r w:rsidRPr="00DE504E">
        <w:t>Riskerna</w:t>
      </w:r>
      <w:r w:rsidR="003079D4" w:rsidRPr="00DE504E">
        <w:t xml:space="preserve"> med tillämpningen</w:t>
      </w:r>
    </w:p>
    <w:p w:rsidR="003B6C8C" w:rsidRPr="00DE504E" w:rsidRDefault="003B6C8C" w:rsidP="00DE7CDB">
      <w:pPr>
        <w:pStyle w:val="Normaltindrag"/>
        <w:spacing w:before="125"/>
        <w:ind w:firstLine="0"/>
      </w:pPr>
      <w:r w:rsidRPr="00DE504E">
        <w:t>Tunga remissinstanser som t</w:t>
      </w:r>
      <w:r w:rsidR="00DE7CDB" w:rsidRPr="00DE504E">
        <w:t>.</w:t>
      </w:r>
      <w:r w:rsidRPr="00DE504E">
        <w:t>ex</w:t>
      </w:r>
      <w:r w:rsidR="00DE7CDB" w:rsidRPr="00DE504E">
        <w:t>.</w:t>
      </w:r>
      <w:r w:rsidRPr="00DE504E">
        <w:t xml:space="preserve"> JO </w:t>
      </w:r>
      <w:r w:rsidR="003079D4" w:rsidRPr="00DE504E">
        <w:t>och Justit</w:t>
      </w:r>
      <w:r w:rsidRPr="00DE504E">
        <w:t>i</w:t>
      </w:r>
      <w:r w:rsidR="003079D4" w:rsidRPr="00DE504E">
        <w:t>ekanslern har kritiserat försl</w:t>
      </w:r>
      <w:r w:rsidR="003079D4" w:rsidRPr="00DE504E">
        <w:t>a</w:t>
      </w:r>
      <w:r w:rsidR="003079D4" w:rsidRPr="00DE504E">
        <w:t xml:space="preserve">gets diffusa avgränsning med den </w:t>
      </w:r>
      <w:r w:rsidR="001F35C6" w:rsidRPr="00DE504E">
        <w:t>s.k.</w:t>
      </w:r>
      <w:r w:rsidR="003079D4" w:rsidRPr="00DE504E">
        <w:t xml:space="preserve"> straffvärdesventilen, misstankesgraden av </w:t>
      </w:r>
      <w:r w:rsidR="00A85578" w:rsidRPr="00DE504E">
        <w:t>”</w:t>
      </w:r>
      <w:r w:rsidR="003079D4" w:rsidRPr="00DE504E">
        <w:t>skäligen misstänkt</w:t>
      </w:r>
      <w:r w:rsidR="00A85578" w:rsidRPr="00DE504E">
        <w:t>”</w:t>
      </w:r>
      <w:r w:rsidR="003079D4" w:rsidRPr="00DE504E">
        <w:t xml:space="preserve"> och att den misstänkte ska kunna </w:t>
      </w:r>
      <w:r w:rsidR="00A85578" w:rsidRPr="00DE504E">
        <w:t>”</w:t>
      </w:r>
      <w:r w:rsidR="003079D4" w:rsidRPr="00DE504E">
        <w:t>antas</w:t>
      </w:r>
      <w:r w:rsidR="00A85578" w:rsidRPr="00DE504E">
        <w:t>”</w:t>
      </w:r>
      <w:r w:rsidR="00DE7CDB" w:rsidRPr="00DE504E">
        <w:t xml:space="preserve"> uppehålla sig på den plats</w:t>
      </w:r>
      <w:r w:rsidR="003079D4" w:rsidRPr="00DE504E">
        <w:t xml:space="preserve"> buggningen avser.</w:t>
      </w:r>
      <w:r w:rsidR="00134F49" w:rsidRPr="00DE504E">
        <w:t xml:space="preserve"> Vi ser liksom JO risken med att buggning</w:t>
      </w:r>
      <w:r w:rsidRPr="00DE504E">
        <w:t xml:space="preserve"> snarare </w:t>
      </w:r>
      <w:r w:rsidR="00134F49" w:rsidRPr="00DE504E">
        <w:t xml:space="preserve">kan komma att användas mer som ett spaningshjälpmedel än som ett medel för att utreda redan begångna brott. Vi ser </w:t>
      </w:r>
      <w:r w:rsidR="00EC5471" w:rsidRPr="00DE504E">
        <w:t>flest</w:t>
      </w:r>
      <w:r w:rsidR="00134F49" w:rsidRPr="00DE504E">
        <w:t xml:space="preserve"> fördelar med buggnin</w:t>
      </w:r>
      <w:r w:rsidR="00134F49" w:rsidRPr="00DE504E">
        <w:t>g</w:t>
      </w:r>
      <w:r w:rsidR="00134F49" w:rsidRPr="00DE504E">
        <w:t xml:space="preserve">en för </w:t>
      </w:r>
      <w:r w:rsidRPr="00DE504E">
        <w:t>dem</w:t>
      </w:r>
      <w:r w:rsidR="00134F49" w:rsidRPr="00DE504E">
        <w:t xml:space="preserve"> som förespråkar buggning som ett spaningshjälpmedel, dvs</w:t>
      </w:r>
      <w:r w:rsidR="00DE7CDB" w:rsidRPr="00DE504E">
        <w:t>.</w:t>
      </w:r>
      <w:r w:rsidR="00134F49" w:rsidRPr="00DE504E">
        <w:t xml:space="preserve"> ett medel för polisen att använda i allmänhet i sitt brottsbekämpande arbete. En sådan utveckling är oacceptabel då antalet oskyldiga som skulle drabbas av avlyssning skulle vara oöverskådligt många.</w:t>
      </w:r>
    </w:p>
    <w:p w:rsidR="003079D4" w:rsidRPr="00DE504E" w:rsidRDefault="003B6C8C" w:rsidP="003B6C8C">
      <w:pPr>
        <w:pStyle w:val="Normaltindrag"/>
      </w:pPr>
      <w:r w:rsidRPr="00DE504E">
        <w:t>Såsom Justitiekanslern har påpekat kan det uppkomma gränsdragningspr</w:t>
      </w:r>
      <w:r w:rsidRPr="00DE504E">
        <w:t>o</w:t>
      </w:r>
      <w:r w:rsidRPr="00DE504E">
        <w:t>blem då polisen ska bedöma vilket straffvärde som ett brott kan tänkas få i en domstol och på detta sätt rättfärdiga sitt krav på att få använda buggning. Här krävs det starkare rättssäkerhetsgarantier än att på pappret kräva att domstol</w:t>
      </w:r>
      <w:r w:rsidRPr="00DE504E">
        <w:t>s</w:t>
      </w:r>
      <w:r w:rsidRPr="00DE504E">
        <w:t xml:space="preserve">prövning ska ske av domare som besitter </w:t>
      </w:r>
      <w:r w:rsidR="00A85578" w:rsidRPr="00DE504E">
        <w:t>”</w:t>
      </w:r>
      <w:r w:rsidRPr="00DE504E">
        <w:t>mognad</w:t>
      </w:r>
      <w:r w:rsidR="00A85578" w:rsidRPr="00DE504E">
        <w:t>”</w:t>
      </w:r>
      <w:r w:rsidRPr="00DE504E">
        <w:t xml:space="preserve"> och </w:t>
      </w:r>
      <w:r w:rsidR="00A85578" w:rsidRPr="00DE504E">
        <w:t>”</w:t>
      </w:r>
      <w:r w:rsidRPr="00DE504E">
        <w:t>yrkeserfarenhet</w:t>
      </w:r>
      <w:r w:rsidR="00A85578" w:rsidRPr="00DE504E">
        <w:t>”</w:t>
      </w:r>
      <w:r w:rsidRPr="00DE504E">
        <w:t>. Miljöpartiet ser således ett flertal stora risker med lagförslagets tillämpning i verkligheten. Även dessa risker talar emot att bifalla propositionen i sin he</w:t>
      </w:r>
      <w:r w:rsidRPr="00DE504E">
        <w:t>l</w:t>
      </w:r>
      <w:r w:rsidRPr="00DE504E">
        <w:t>het.</w:t>
      </w:r>
    </w:p>
    <w:p w:rsidR="001F35C6" w:rsidRPr="00DE504E" w:rsidRDefault="002661AE" w:rsidP="007E79C1">
      <w:pPr>
        <w:pStyle w:val="Rubrik1"/>
      </w:pPr>
      <w:r w:rsidRPr="00DE504E">
        <w:t>Reella rättssäkerhetsgarantier</w:t>
      </w:r>
    </w:p>
    <w:p w:rsidR="00AD4FF9" w:rsidRPr="00DE504E" w:rsidRDefault="000B0B75" w:rsidP="00DE7CDB">
      <w:pPr>
        <w:pStyle w:val="Rubrik2"/>
        <w:spacing w:before="120"/>
      </w:pPr>
      <w:r w:rsidRPr="00DE504E">
        <w:t>Skadestånd</w:t>
      </w:r>
    </w:p>
    <w:p w:rsidR="00AD4FF9" w:rsidRPr="00DE504E" w:rsidRDefault="00AD4FF9" w:rsidP="00DE7CDB">
      <w:pPr>
        <w:pStyle w:val="Normaltindrag"/>
        <w:spacing w:before="125"/>
        <w:ind w:firstLine="0"/>
      </w:pPr>
      <w:r w:rsidRPr="00DE504E">
        <w:t>Enligt Europadomstolen ska det finnas tillgängligt en reell möjlighet till sk</w:t>
      </w:r>
      <w:r w:rsidRPr="00DE504E">
        <w:t>a</w:t>
      </w:r>
      <w:r w:rsidRPr="00DE504E">
        <w:t xml:space="preserve">destånd om det finns uppenbara risker att enskilda i vissa fall riskerar att bli föremål för inskränkningar av rätten till privatliv. </w:t>
      </w:r>
      <w:r w:rsidR="00C504E6" w:rsidRPr="00DE504E">
        <w:t>Med buggning finns en inte obetydl</w:t>
      </w:r>
      <w:r w:rsidR="00842E26" w:rsidRPr="00DE504E">
        <w:t xml:space="preserve">ig risk att oskyldiga drabbas. Därför är det </w:t>
      </w:r>
      <w:r w:rsidRPr="00DE504E">
        <w:t>uppenbart att Sverige måste tillgodose den enskilde med effektiva rättsmedel</w:t>
      </w:r>
      <w:r w:rsidR="00842E26" w:rsidRPr="00DE504E">
        <w:t>, dvs</w:t>
      </w:r>
      <w:r w:rsidR="00DE7CDB" w:rsidRPr="00DE504E">
        <w:t>.</w:t>
      </w:r>
      <w:r w:rsidR="00842E26" w:rsidRPr="00DE504E">
        <w:t xml:space="preserve"> skadestånd</w:t>
      </w:r>
      <w:r w:rsidRPr="00DE504E">
        <w:t xml:space="preserve"> för att lagen inte ska anses strida mot artikel 13 i Europakonventione</w:t>
      </w:r>
      <w:r w:rsidR="007A7C2C" w:rsidRPr="00DE504E">
        <w:t>n.</w:t>
      </w:r>
    </w:p>
    <w:p w:rsidR="00AD4FF9" w:rsidRPr="00DE504E" w:rsidRDefault="00AD4FF9" w:rsidP="00AD4FF9">
      <w:pPr>
        <w:pStyle w:val="Normaltindrag"/>
      </w:pPr>
      <w:r w:rsidRPr="00DE504E">
        <w:t>Regeringen har klarlagt att lagförslaget innebär en kränkning av privatlivet och därmed krävs enligt konventionsrättslig praxis att det inhemska systemet tillgodoser den enskilde med skadestånd.</w:t>
      </w:r>
      <w:r w:rsidRPr="00DE504E">
        <w:rPr>
          <w:rStyle w:val="Fotnotsreferens"/>
        </w:rPr>
        <w:footnoteReference w:id="3"/>
      </w:r>
      <w:r w:rsidRPr="00DE504E">
        <w:t xml:space="preserve"> Rätten till effektiva rättsmedel, och i det här fallet specifikt skadestånd, ska enligt Europadomstolens hävdvunna effektivitetsprincip vara mer än en papperstiger. Europakonventionen är inte menad att garantera rättigheter som är enbart teoretiska eller illusoriska, utan rättigheter som är praktiska och effektiva. Detta framgår tydligt att Europ</w:t>
      </w:r>
      <w:r w:rsidRPr="00DE504E">
        <w:t>a</w:t>
      </w:r>
      <w:r w:rsidRPr="00DE504E">
        <w:t xml:space="preserve">domstolens domar. </w:t>
      </w:r>
      <w:r w:rsidR="006C24CE" w:rsidRPr="00DE504E">
        <w:t>Konkret</w:t>
      </w:r>
      <w:r w:rsidRPr="00DE504E">
        <w:t xml:space="preserve"> innebär detta att Europadomstolen tenderar att se förbi fasader och formaliteter och fokusera på individens reella möjligheter att införliva sina rättigheter enligt Konventionen i det inhemska systemet.</w:t>
      </w:r>
    </w:p>
    <w:p w:rsidR="00AD4FF9" w:rsidRPr="00DE504E" w:rsidRDefault="00AD4FF9" w:rsidP="00AD4FF9">
      <w:pPr>
        <w:pStyle w:val="Normaltindrag"/>
      </w:pPr>
      <w:r w:rsidRPr="00DE504E">
        <w:t>Regeringen har valt att inte föreslå den mest självklara rättssäkerhetsgara</w:t>
      </w:r>
      <w:r w:rsidRPr="00DE504E">
        <w:t>n</w:t>
      </w:r>
      <w:r w:rsidRPr="00DE504E">
        <w:t>tin, nämligen rätten till skadestånd från staten i fall av otillbörligt användande av de föreslagna hemliga tvångsmedlen. Miljöpartiet ser detta som direkt stridande</w:t>
      </w:r>
      <w:r w:rsidR="00B11306" w:rsidRPr="00DE504E">
        <w:t xml:space="preserve"> mot gällande konventionsrätt och ännu en anledning till att lagfö</w:t>
      </w:r>
      <w:r w:rsidR="00B11306" w:rsidRPr="00DE504E">
        <w:t>r</w:t>
      </w:r>
      <w:r w:rsidR="00B11306" w:rsidRPr="00DE504E">
        <w:t>slaget om buggning bör avslås.</w:t>
      </w:r>
    </w:p>
    <w:p w:rsidR="008F11BE" w:rsidRPr="00DE504E" w:rsidRDefault="008F11BE" w:rsidP="008F11BE">
      <w:pPr>
        <w:pStyle w:val="Rubrik2"/>
      </w:pPr>
      <w:r w:rsidRPr="00DE504E">
        <w:t>Upplysningsskyldighet</w:t>
      </w:r>
    </w:p>
    <w:p w:rsidR="00E57ECE" w:rsidRPr="00DE504E" w:rsidRDefault="00626C41" w:rsidP="00DE7CDB">
      <w:pPr>
        <w:pStyle w:val="Normaltindrag"/>
        <w:spacing w:before="125"/>
        <w:ind w:firstLine="0"/>
      </w:pPr>
      <w:r w:rsidRPr="00DE504E">
        <w:t>Idag har bara den</w:t>
      </w:r>
      <w:r w:rsidR="008F11BE" w:rsidRPr="00DE504E">
        <w:t xml:space="preserve"> person so</w:t>
      </w:r>
      <w:r w:rsidR="00DE7CDB" w:rsidRPr="00DE504E">
        <w:t>m utsatts för exempelvis hemlig</w:t>
      </w:r>
      <w:r w:rsidR="008F11BE" w:rsidRPr="00DE504E">
        <w:t xml:space="preserve"> telefonavlyssning och senare åtalas i domstol möjlighet att ta del av den bevisning som tagits fram genom det hemliga tvångsmedlet, och ges därmed en chans att bemöta den information som tagits fram. De personer </w:t>
      </w:r>
      <w:r w:rsidR="00DE7CDB" w:rsidRPr="00DE504E">
        <w:t>f</w:t>
      </w:r>
      <w:r w:rsidR="008F11BE" w:rsidRPr="00DE504E">
        <w:t>r</w:t>
      </w:r>
      <w:r w:rsidR="00DE7CDB" w:rsidRPr="00DE504E">
        <w:t>ån vilka</w:t>
      </w:r>
      <w:r w:rsidR="008F11BE" w:rsidRPr="00DE504E">
        <w:t xml:space="preserve"> avlyssning eller li</w:t>
      </w:r>
      <w:r w:rsidR="008F11BE" w:rsidRPr="00DE504E">
        <w:t>k</w:t>
      </w:r>
      <w:r w:rsidR="008F11BE" w:rsidRPr="00DE504E">
        <w:t>nande inte lett till rättsliga åtgärder förblir dock ovetande om att de utsatts för en integritetskränkande åtgärd.  Detta är naturligtvis en orimlig situation som måste åtgärdas.</w:t>
      </w:r>
      <w:r w:rsidR="00E57ECE" w:rsidRPr="00DE504E">
        <w:t xml:space="preserve"> Miljöpartiet vill införa </w:t>
      </w:r>
      <w:r w:rsidR="00DE7CDB" w:rsidRPr="00DE504E">
        <w:t>en upplysningsskyldighet kopplad</w:t>
      </w:r>
      <w:r w:rsidR="00E57ECE" w:rsidRPr="00DE504E">
        <w:t xml:space="preserve"> till ett skadeståndsansvar för de personer som otillbörligt blivit utsatta för ett hemligt tvångsmedel.</w:t>
      </w:r>
      <w:r w:rsidRPr="00DE504E">
        <w:t xml:space="preserve"> </w:t>
      </w:r>
      <w:r w:rsidR="00EC5471" w:rsidRPr="00DE504E">
        <w:rPr>
          <w:iCs/>
          <w:color w:val="000000"/>
          <w:szCs w:val="24"/>
        </w:rPr>
        <w:t>Regeringen har avis</w:t>
      </w:r>
      <w:r w:rsidR="00DE7CDB" w:rsidRPr="00DE504E">
        <w:rPr>
          <w:iCs/>
          <w:color w:val="000000"/>
          <w:szCs w:val="24"/>
        </w:rPr>
        <w:t>erat att upplysningsskyldighet</w:t>
      </w:r>
      <w:r w:rsidR="00EC5471" w:rsidRPr="00DE504E">
        <w:rPr>
          <w:iCs/>
          <w:color w:val="000000"/>
          <w:szCs w:val="24"/>
        </w:rPr>
        <w:t xml:space="preserve"> kommer att införas men har samtidigt sagt att detta kommer att ta tid. Ett färdigt lagförslag kommer inte att finnas före denna mandatperiods slut.</w:t>
      </w:r>
    </w:p>
    <w:p w:rsidR="003C1897" w:rsidRPr="00DE504E" w:rsidRDefault="00626C41" w:rsidP="003C1897">
      <w:pPr>
        <w:pStyle w:val="Normaltindrag"/>
      </w:pPr>
      <w:r w:rsidRPr="00DE504E">
        <w:t xml:space="preserve">Vi ser positivt på regeringens löfte om att </w:t>
      </w:r>
      <w:r w:rsidR="003C1897" w:rsidRPr="00DE504E">
        <w:t>återkomma med ett förslag där upplysningsskyldighet införs för polisen i fall då buggning använd</w:t>
      </w:r>
      <w:r w:rsidRPr="00DE504E">
        <w:t>s, men det räcker inte.</w:t>
      </w:r>
      <w:r w:rsidR="003C1897" w:rsidRPr="00DE504E">
        <w:t xml:space="preserve"> Detta borde ha funnits med i det ak</w:t>
      </w:r>
      <w:r w:rsidRPr="00DE504E">
        <w:t>tuella lagstiftningsförslaget, a</w:t>
      </w:r>
      <w:r w:rsidR="003C1897" w:rsidRPr="00DE504E">
        <w:t>vsaknaden medför att propositionen måste avslås.</w:t>
      </w:r>
    </w:p>
    <w:p w:rsidR="00BB68E7" w:rsidRPr="00DE504E" w:rsidRDefault="00BB68E7" w:rsidP="00BB68E7">
      <w:pPr>
        <w:pStyle w:val="Rubrik2"/>
      </w:pPr>
      <w:r w:rsidRPr="00DE504E">
        <w:t>Offentliga ombud</w:t>
      </w:r>
    </w:p>
    <w:p w:rsidR="00BB68E7" w:rsidRPr="00DE504E" w:rsidRDefault="00BB68E7" w:rsidP="00DE7CDB">
      <w:pPr>
        <w:pStyle w:val="Normaltindrag"/>
        <w:spacing w:before="125"/>
        <w:ind w:firstLine="0"/>
      </w:pPr>
      <w:r w:rsidRPr="00DE504E">
        <w:t>Regeringen hänvisar i övrigt till rättssäkerhetsgarantier såsom att tvångsm</w:t>
      </w:r>
      <w:r w:rsidRPr="00DE504E">
        <w:t>e</w:t>
      </w:r>
      <w:r w:rsidRPr="00DE504E">
        <w:t xml:space="preserve">delsanvändningen ska domstolsprövas, </w:t>
      </w:r>
      <w:r w:rsidR="00387886" w:rsidRPr="00DE504E">
        <w:t>offentliga ombud ska bevaka den enskildes rätt, det eventuella införandet av en tvångsmedelsnämnd samt att tillstånd för avlyssning endast ska få beviljas en månad i taget.</w:t>
      </w:r>
    </w:p>
    <w:p w:rsidR="00BB68E7" w:rsidRPr="00DE504E" w:rsidRDefault="00BB68E7" w:rsidP="00BB68E7">
      <w:pPr>
        <w:pStyle w:val="Normaltindrag"/>
      </w:pPr>
      <w:r w:rsidRPr="00DE504E">
        <w:t>Vad gäller offentliga ombud visar regeringens skrivelser till riksdagen om utövande av hemliga tvångsmedel att införandet av offentliga ombud till dags dato inte ökat antalet avslag på ansökan om hemlig kameraövervakning. Vad gäller hemlig teleavlyssning och hemlig teleövervakning har endast en beg</w:t>
      </w:r>
      <w:r w:rsidRPr="00DE504E">
        <w:t>ä</w:t>
      </w:r>
      <w:r w:rsidRPr="00DE504E">
        <w:t>ran om tillstånd avslagits av domstol år 2004. Denna bifölls senare av högre instans. Under 2005 har många av de offentliga ombuden starkt kritiserat deras ytterst begränsade möjligheter att hjälpa medborgarna tillvarata sina medborgerliga fri- och rättigheter. Det har framkommit att såväl domstolens som de offentliga ombudens reella möjligheter att pröva en ansökan om e</w:t>
      </w:r>
      <w:r w:rsidRPr="00DE504E">
        <w:t>x</w:t>
      </w:r>
      <w:r w:rsidRPr="00DE504E">
        <w:t xml:space="preserve">empelvis hemlig teleavlyssning är ytterst </w:t>
      </w:r>
      <w:r w:rsidR="00254B18" w:rsidRPr="00DE504E">
        <w:t>begränsade</w:t>
      </w:r>
      <w:r w:rsidRPr="00DE504E">
        <w:t>. Det skulle till och med kunna ifrågasättas om inte den rättsliga prövningen och de offentliga omb</w:t>
      </w:r>
      <w:r w:rsidRPr="00DE504E">
        <w:t>u</w:t>
      </w:r>
      <w:r w:rsidRPr="00DE504E">
        <w:t xml:space="preserve">dens inblandning i proceduren är av rent formellt slag. </w:t>
      </w:r>
      <w:r w:rsidR="004B76A0" w:rsidRPr="00DE504E">
        <w:t>Dessutom är vi kritiska till att de offentliga ombuden utses av regeringen och inte en neutral och objektiv instans. Detta solkar trovärdigheten för rättsväsendet bland medbo</w:t>
      </w:r>
      <w:r w:rsidR="004B76A0" w:rsidRPr="00DE504E">
        <w:t>r</w:t>
      </w:r>
      <w:r w:rsidR="004B76A0" w:rsidRPr="00DE504E">
        <w:t>garna och bör omedelbart åtgärdas.</w:t>
      </w:r>
    </w:p>
    <w:p w:rsidR="00CF776E" w:rsidRPr="00DE504E" w:rsidRDefault="00CF776E" w:rsidP="00CF776E">
      <w:pPr>
        <w:pStyle w:val="Rubrik2"/>
      </w:pPr>
      <w:r w:rsidRPr="00DE504E">
        <w:t>Integritetsskyddskommittén</w:t>
      </w:r>
    </w:p>
    <w:p w:rsidR="00CF776E" w:rsidRPr="00DE504E" w:rsidRDefault="00CF776E" w:rsidP="00DE7CDB">
      <w:pPr>
        <w:pStyle w:val="Normaltindrag"/>
        <w:spacing w:before="125"/>
        <w:ind w:firstLine="0"/>
      </w:pPr>
      <w:r w:rsidRPr="00DE504E">
        <w:t xml:space="preserve">Miljöpartiet </w:t>
      </w:r>
      <w:r w:rsidR="0090721B" w:rsidRPr="00DE504E">
        <w:t>finner det</w:t>
      </w:r>
      <w:r w:rsidRPr="00DE504E">
        <w:t xml:space="preserve"> anmärkningsvärt att regeringen inte vill invänta </w:t>
      </w:r>
      <w:r w:rsidR="00DE7CDB" w:rsidRPr="00DE504E">
        <w:t>Inte</w:t>
      </w:r>
      <w:r w:rsidR="00DE7CDB" w:rsidRPr="00DE504E">
        <w:t>g</w:t>
      </w:r>
      <w:r w:rsidR="00DE7CDB" w:rsidRPr="00DE504E">
        <w:t xml:space="preserve">ritetsskyddskommitténs </w:t>
      </w:r>
      <w:r w:rsidRPr="00DE504E">
        <w:t>betänkande som väntas mars 2007, med anledning av den mängd propositioner som nu läggs fram med integritetskränkande la</w:t>
      </w:r>
      <w:r w:rsidRPr="00DE504E">
        <w:t>g</w:t>
      </w:r>
      <w:r w:rsidRPr="00DE504E">
        <w:t>stiftningsförslag som sammantaget ger en mycket tydlig bild av inskrän</w:t>
      </w:r>
      <w:r w:rsidRPr="00DE504E">
        <w:t>k</w:t>
      </w:r>
      <w:r w:rsidRPr="00DE504E">
        <w:t xml:space="preserve">ningar i den personliga integriteten och utvidgade befogenheter för polis gentemot medborgare.  </w:t>
      </w:r>
      <w:r w:rsidR="00185E73" w:rsidRPr="00DE504E">
        <w:t xml:space="preserve">Medborgarnas rättssäkerhet är i fara. </w:t>
      </w:r>
      <w:r w:rsidRPr="00DE504E">
        <w:t>Integritet</w:t>
      </w:r>
      <w:r w:rsidRPr="00DE504E">
        <w:t>s</w:t>
      </w:r>
      <w:r w:rsidRPr="00DE504E">
        <w:t>skyddskommitténs slutsatser kommer alltså inte bli föremål för avvägningar i</w:t>
      </w:r>
      <w:r w:rsidR="00185E73" w:rsidRPr="00DE504E">
        <w:t>nnan</w:t>
      </w:r>
      <w:r w:rsidRPr="00DE504E">
        <w:t xml:space="preserve"> regeringens</w:t>
      </w:r>
      <w:r w:rsidR="00185E73" w:rsidRPr="00DE504E">
        <w:t xml:space="preserve"> </w:t>
      </w:r>
      <w:r w:rsidR="00A85578" w:rsidRPr="00DE504E">
        <w:t>”</w:t>
      </w:r>
      <w:r w:rsidRPr="00DE504E">
        <w:t>antiterrorlagar</w:t>
      </w:r>
      <w:r w:rsidR="00A85578" w:rsidRPr="00DE504E">
        <w:t>”</w:t>
      </w:r>
      <w:r w:rsidR="00185E73" w:rsidRPr="00DE504E">
        <w:t xml:space="preserve"> har antagits</w:t>
      </w:r>
      <w:r w:rsidRPr="00DE504E">
        <w:t xml:space="preserve">. </w:t>
      </w:r>
      <w:r w:rsidR="00185E73" w:rsidRPr="00DE504E">
        <w:t>Miljöpartiet</w:t>
      </w:r>
      <w:r w:rsidRPr="00DE504E">
        <w:t xml:space="preserve"> ser det som ofrånkomligt att regeringen inväntar </w:t>
      </w:r>
      <w:r w:rsidR="00DE7CDB" w:rsidRPr="00DE504E">
        <w:t xml:space="preserve">Integritetskommitténs </w:t>
      </w:r>
      <w:r w:rsidRPr="00DE504E">
        <w:t>betänkande för att därefter föreslå lämpliga åtgärder för att tillförsäkra medborgarna reella rätt</w:t>
      </w:r>
      <w:r w:rsidRPr="00DE504E">
        <w:t>s</w:t>
      </w:r>
      <w:r w:rsidRPr="00DE504E">
        <w:t>säkerhetsgarantier.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7CDB" w:rsidRPr="00DE504E">
        <w:tblPrEx>
          <w:tblCellMar>
            <w:top w:w="0" w:type="dxa"/>
            <w:bottom w:w="0" w:type="dxa"/>
          </w:tblCellMar>
        </w:tblPrEx>
        <w:trPr>
          <w:cantSplit/>
        </w:trPr>
        <w:tc>
          <w:tcPr>
            <w:tcW w:w="3046" w:type="dxa"/>
          </w:tcPr>
          <w:p w:rsidR="00DE7CDB" w:rsidRPr="00DE504E" w:rsidRDefault="00DE7CDB" w:rsidP="00DE7CDB">
            <w:pPr>
              <w:pStyle w:val="UnderskriftDatum"/>
              <w:spacing w:before="240"/>
            </w:pPr>
            <w:r w:rsidRPr="00DE504E">
              <w:t>Stockholm den 18 april 2006</w:t>
            </w:r>
          </w:p>
        </w:tc>
        <w:tc>
          <w:tcPr>
            <w:tcW w:w="3047" w:type="dxa"/>
          </w:tcPr>
          <w:p w:rsidR="00DE7CDB" w:rsidRPr="00DE504E" w:rsidRDefault="00DE7CDB" w:rsidP="00DE7CDB">
            <w:pPr>
              <w:pStyle w:val="Underskrifter"/>
              <w:spacing w:before="240"/>
            </w:pPr>
          </w:p>
        </w:tc>
      </w:tr>
      <w:tr w:rsidR="00DE7CDB" w:rsidRPr="00DE504E">
        <w:tblPrEx>
          <w:tblCellMar>
            <w:top w:w="0" w:type="dxa"/>
            <w:bottom w:w="0" w:type="dxa"/>
          </w:tblCellMar>
        </w:tblPrEx>
        <w:trPr>
          <w:cantSplit/>
        </w:trPr>
        <w:tc>
          <w:tcPr>
            <w:tcW w:w="3046" w:type="dxa"/>
          </w:tcPr>
          <w:p w:rsidR="00DE7CDB" w:rsidRPr="00DE504E" w:rsidRDefault="00DE7CDB" w:rsidP="00DE7CDB">
            <w:pPr>
              <w:pStyle w:val="Underskrifter"/>
            </w:pPr>
            <w:r w:rsidRPr="00DE504E">
              <w:t>Leif Björnlod (mp)</w:t>
            </w:r>
          </w:p>
        </w:tc>
        <w:tc>
          <w:tcPr>
            <w:tcW w:w="3047" w:type="dxa"/>
          </w:tcPr>
          <w:p w:rsidR="00DE7CDB" w:rsidRPr="00DE504E" w:rsidRDefault="00DE7CDB" w:rsidP="00DE7CDB">
            <w:pPr>
              <w:pStyle w:val="Underskrifter"/>
            </w:pPr>
          </w:p>
        </w:tc>
      </w:tr>
      <w:tr w:rsidR="00DE7CDB" w:rsidRPr="00DE504E">
        <w:tblPrEx>
          <w:tblCellMar>
            <w:top w:w="0" w:type="dxa"/>
            <w:bottom w:w="0" w:type="dxa"/>
          </w:tblCellMar>
        </w:tblPrEx>
        <w:trPr>
          <w:cantSplit/>
        </w:trPr>
        <w:tc>
          <w:tcPr>
            <w:tcW w:w="3046" w:type="dxa"/>
          </w:tcPr>
          <w:p w:rsidR="00DE7CDB" w:rsidRPr="00DE504E" w:rsidRDefault="00DE7CDB" w:rsidP="00DE7CDB">
            <w:pPr>
              <w:pStyle w:val="Underskrifter"/>
            </w:pPr>
            <w:r w:rsidRPr="00DE504E">
              <w:t>Gustav Fridolin (mp)</w:t>
            </w:r>
          </w:p>
        </w:tc>
        <w:tc>
          <w:tcPr>
            <w:tcW w:w="3047" w:type="dxa"/>
          </w:tcPr>
          <w:p w:rsidR="00DE7CDB" w:rsidRPr="00DE504E" w:rsidRDefault="00DE7CDB" w:rsidP="00DE7CDB">
            <w:pPr>
              <w:pStyle w:val="Underskrifter"/>
            </w:pPr>
            <w:r w:rsidRPr="00DE504E">
              <w:t>Ulf Holm (mp)</w:t>
            </w:r>
          </w:p>
        </w:tc>
      </w:tr>
      <w:tr w:rsidR="00DE7CDB" w:rsidRPr="00DE504E">
        <w:tblPrEx>
          <w:tblCellMar>
            <w:top w:w="0" w:type="dxa"/>
            <w:bottom w:w="0" w:type="dxa"/>
          </w:tblCellMar>
        </w:tblPrEx>
        <w:trPr>
          <w:cantSplit/>
        </w:trPr>
        <w:tc>
          <w:tcPr>
            <w:tcW w:w="3046" w:type="dxa"/>
          </w:tcPr>
          <w:p w:rsidR="00DE7CDB" w:rsidRPr="00DE504E" w:rsidRDefault="00DE7CDB" w:rsidP="00DE7CDB">
            <w:pPr>
              <w:pStyle w:val="Underskrifter"/>
            </w:pPr>
            <w:r w:rsidRPr="00DE504E">
              <w:t>Mikael Johansson (mp)</w:t>
            </w:r>
          </w:p>
        </w:tc>
        <w:tc>
          <w:tcPr>
            <w:tcW w:w="3047" w:type="dxa"/>
          </w:tcPr>
          <w:p w:rsidR="00DE7CDB" w:rsidRPr="00DE504E" w:rsidRDefault="00DE7CDB" w:rsidP="00DE7CDB">
            <w:pPr>
              <w:pStyle w:val="Underskrifter"/>
            </w:pPr>
          </w:p>
        </w:tc>
      </w:tr>
    </w:tbl>
    <w:p w:rsidR="001F35C6" w:rsidRPr="00DE504E" w:rsidRDefault="001F35C6" w:rsidP="00DE7CDB">
      <w:pPr>
        <w:pStyle w:val="Normaltindrag"/>
      </w:pPr>
    </w:p>
    <w:sectPr w:rsidR="001F35C6" w:rsidRPr="00DE504E" w:rsidSect="00DE7C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732" w:rsidRPr="00DE504E" w:rsidRDefault="00D60732">
      <w:r w:rsidRPr="00DE504E">
        <w:separator/>
      </w:r>
    </w:p>
  </w:endnote>
  <w:endnote w:type="continuationSeparator" w:id="0">
    <w:p w:rsidR="00D60732" w:rsidRPr="00DE504E" w:rsidRDefault="00D60732">
      <w:r w:rsidRPr="00DE50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CDB" w:rsidRPr="00DE504E" w:rsidRDefault="00DE504E" w:rsidP="00DE7CDB">
    <w:pPr>
      <w:pStyle w:val="Sidfot"/>
    </w:pPr>
    <w:r w:rsidRPr="00DE50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3727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DB" w:rsidRDefault="00DE7CDB">
                          <w:pPr>
                            <w:pStyle w:val="NormalS5sidnrV"/>
                          </w:pPr>
                          <w:r>
                            <w:fldChar w:fldCharType="begin"/>
                          </w:r>
                          <w:r>
                            <w:instrText xml:space="preserve"> PAGE *\charformat</w:instrText>
                          </w:r>
                          <w:r>
                            <w:fldChar w:fldCharType="separate"/>
                          </w:r>
                          <w:r w:rsidR="006654C1">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CDB" w:rsidRDefault="00DE7CDB">
                    <w:pPr>
                      <w:pStyle w:val="NormalS5sidnrV"/>
                    </w:pPr>
                    <w:r>
                      <w:fldChar w:fldCharType="begin"/>
                    </w:r>
                    <w:r>
                      <w:instrText xml:space="preserve"> PAGE *\charformat</w:instrText>
                    </w:r>
                    <w:r>
                      <w:fldChar w:fldCharType="separate"/>
                    </w:r>
                    <w:r w:rsidR="006654C1">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24" w:rsidRPr="00DE504E" w:rsidRDefault="00DE504E" w:rsidP="00DE7CDB">
    <w:pPr>
      <w:pStyle w:val="Sidfot"/>
    </w:pPr>
    <w:r w:rsidRPr="00DE50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89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DB" w:rsidRDefault="00DE7CDB">
                          <w:pPr>
                            <w:pStyle w:val="NormalS5sidnrH"/>
                            <w:ind w:right="0"/>
                          </w:pPr>
                          <w:r>
                            <w:fldChar w:fldCharType="begin"/>
                          </w:r>
                          <w:r>
                            <w:instrText xml:space="preserve"> PAGE *\charformat</w:instrText>
                          </w:r>
                          <w:r>
                            <w:fldChar w:fldCharType="separate"/>
                          </w:r>
                          <w:r w:rsidR="006654C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CDB" w:rsidRDefault="00DE7CDB">
                    <w:pPr>
                      <w:pStyle w:val="NormalS5sidnrH"/>
                      <w:ind w:right="0"/>
                    </w:pPr>
                    <w:r>
                      <w:fldChar w:fldCharType="begin"/>
                    </w:r>
                    <w:r>
                      <w:instrText xml:space="preserve"> PAGE *\charformat</w:instrText>
                    </w:r>
                    <w:r>
                      <w:fldChar w:fldCharType="separate"/>
                    </w:r>
                    <w:r w:rsidR="006654C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24" w:rsidRPr="00DE504E" w:rsidRDefault="00DE504E" w:rsidP="00DE7CDB">
    <w:pPr>
      <w:pStyle w:val="Sidfot"/>
    </w:pPr>
    <w:r w:rsidRPr="00DE50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235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DB" w:rsidRDefault="00DE7CDB">
                          <w:pPr>
                            <w:pStyle w:val="NormalS5sidnrH"/>
                            <w:ind w:right="0"/>
                          </w:pPr>
                          <w:r>
                            <w:fldChar w:fldCharType="begin"/>
                          </w:r>
                          <w:r>
                            <w:instrText xml:space="preserve"> PAGE *\charformat</w:instrText>
                          </w:r>
                          <w:r>
                            <w:fldChar w:fldCharType="separate"/>
                          </w:r>
                          <w:r w:rsidR="006654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CDB" w:rsidRDefault="00DE7CDB">
                    <w:pPr>
                      <w:pStyle w:val="NormalS5sidnrH"/>
                      <w:ind w:right="0"/>
                    </w:pPr>
                    <w:r>
                      <w:fldChar w:fldCharType="begin"/>
                    </w:r>
                    <w:r>
                      <w:instrText xml:space="preserve"> PAGE *\charformat</w:instrText>
                    </w:r>
                    <w:r>
                      <w:fldChar w:fldCharType="separate"/>
                    </w:r>
                    <w:r w:rsidR="006654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732" w:rsidRPr="00DE504E" w:rsidRDefault="00D60732" w:rsidP="00A85578">
      <w:pPr>
        <w:pStyle w:val="Sidfot"/>
      </w:pPr>
    </w:p>
  </w:footnote>
  <w:footnote w:type="continuationSeparator" w:id="0">
    <w:p w:rsidR="00D60732" w:rsidRPr="00DE504E" w:rsidRDefault="00D60732" w:rsidP="00A85578">
      <w:pPr>
        <w:pStyle w:val="Sidfot"/>
      </w:pPr>
    </w:p>
  </w:footnote>
  <w:footnote w:type="continuationNotice" w:id="1">
    <w:p w:rsidR="00D60732" w:rsidRPr="00DE504E" w:rsidRDefault="00D60732"/>
  </w:footnote>
  <w:footnote w:id="2">
    <w:p w:rsidR="00942F24" w:rsidRPr="00DE504E" w:rsidRDefault="00942F24" w:rsidP="00852BBC">
      <w:pPr>
        <w:pStyle w:val="Fotnotstext"/>
        <w:rPr>
          <w:sz w:val="16"/>
          <w:szCs w:val="16"/>
        </w:rPr>
      </w:pPr>
      <w:r w:rsidRPr="00DE504E">
        <w:rPr>
          <w:rStyle w:val="Fotnotsreferens"/>
          <w:sz w:val="19"/>
          <w:szCs w:val="19"/>
        </w:rPr>
        <w:footnoteRef/>
      </w:r>
      <w:r w:rsidRPr="00DE504E">
        <w:t xml:space="preserve"> </w:t>
      </w:r>
      <w:r w:rsidRPr="00DE504E">
        <w:rPr>
          <w:sz w:val="16"/>
          <w:szCs w:val="16"/>
        </w:rPr>
        <w:t>Se t.ex. Thoma mot Luxemburg, 29 mars 2001, appl. nr. 38432/97, para. 43 och 48.</w:t>
      </w:r>
    </w:p>
  </w:footnote>
  <w:footnote w:id="3">
    <w:p w:rsidR="00942F24" w:rsidRPr="00DE504E" w:rsidRDefault="00942F24" w:rsidP="00AD4FF9">
      <w:pPr>
        <w:pStyle w:val="Fotnotstext"/>
        <w:rPr>
          <w:sz w:val="16"/>
          <w:szCs w:val="16"/>
        </w:rPr>
      </w:pPr>
      <w:r w:rsidRPr="00DE504E">
        <w:rPr>
          <w:rStyle w:val="Fotnotsreferens"/>
        </w:rPr>
        <w:footnoteRef/>
      </w:r>
      <w:r w:rsidRPr="00DE504E">
        <w:t xml:space="preserve"> </w:t>
      </w:r>
      <w:r w:rsidRPr="00DE504E">
        <w:rPr>
          <w:sz w:val="16"/>
          <w:szCs w:val="16"/>
        </w:rPr>
        <w:t>Se t.ex. Klass m.fl. mot Tyskland, 6 september 1978, appl. nr. 5029/71.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CDB" w:rsidRPr="00DE504E" w:rsidRDefault="00DE504E" w:rsidP="00DE7CDB">
    <w:pPr>
      <w:pStyle w:val="Sidhuvud"/>
    </w:pPr>
    <w:r w:rsidRPr="00DE50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4146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DB" w:rsidRDefault="00DE7CDB">
                          <w:pPr>
                            <w:pStyle w:val="KantRubrikS5V"/>
                          </w:pPr>
                          <w:r>
                            <w:fldChar w:fldCharType="begin"/>
                          </w:r>
                          <w:r>
                            <w:instrText xml:space="preserve"> DOCPROPERTY "YearUser" *\charformat </w:instrText>
                          </w:r>
                          <w:r>
                            <w:fldChar w:fldCharType="separate"/>
                          </w:r>
                          <w:r w:rsidR="006654C1">
                            <w:t>2005/06</w:t>
                          </w:r>
                          <w:r>
                            <w:fldChar w:fldCharType="end"/>
                          </w:r>
                          <w:r>
                            <w:t>:</w:t>
                          </w:r>
                          <w:r>
                            <w:fldChar w:fldCharType="begin"/>
                          </w:r>
                          <w:r>
                            <w:instrText xml:space="preserve"> DOCPROPERTY "Motionsnummer" *\charformat </w:instrText>
                          </w:r>
                          <w:r>
                            <w:fldChar w:fldCharType="separate"/>
                          </w:r>
                          <w:r w:rsidR="006654C1">
                            <w:t>Ju57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CDB" w:rsidRDefault="00DE7CDB">
                    <w:pPr>
                      <w:pStyle w:val="KantRubrikS5V"/>
                    </w:pPr>
                    <w:r>
                      <w:fldChar w:fldCharType="begin"/>
                    </w:r>
                    <w:r>
                      <w:instrText xml:space="preserve"> DOCPROPERTY "YearUser" *\charformat </w:instrText>
                    </w:r>
                    <w:r>
                      <w:fldChar w:fldCharType="separate"/>
                    </w:r>
                    <w:r w:rsidR="006654C1">
                      <w:t>2005/06</w:t>
                    </w:r>
                    <w:r>
                      <w:fldChar w:fldCharType="end"/>
                    </w:r>
                    <w:r>
                      <w:t>:</w:t>
                    </w:r>
                    <w:r>
                      <w:fldChar w:fldCharType="begin"/>
                    </w:r>
                    <w:r>
                      <w:instrText xml:space="preserve"> DOCPROPERTY "Motionsnummer" *\charformat </w:instrText>
                    </w:r>
                    <w:r>
                      <w:fldChar w:fldCharType="separate"/>
                    </w:r>
                    <w:r w:rsidR="006654C1">
                      <w:t>Ju57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F24" w:rsidRPr="00DE504E" w:rsidRDefault="00DE504E" w:rsidP="00DE7CDB">
    <w:pPr>
      <w:pStyle w:val="Sidhuvud"/>
    </w:pPr>
    <w:r w:rsidRPr="00DE50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7924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CDB" w:rsidRDefault="00DE7CDB">
                          <w:pPr>
                            <w:pStyle w:val="KantRubrikS5H"/>
                            <w:ind w:right="0"/>
                          </w:pPr>
                          <w:r>
                            <w:fldChar w:fldCharType="begin"/>
                          </w:r>
                          <w:r>
                            <w:instrText xml:space="preserve"> DOCPROPERTY "YearUser" *\charformat </w:instrText>
                          </w:r>
                          <w:r>
                            <w:fldChar w:fldCharType="separate"/>
                          </w:r>
                          <w:r w:rsidR="006654C1">
                            <w:t>2005/06</w:t>
                          </w:r>
                          <w:r>
                            <w:fldChar w:fldCharType="end"/>
                          </w:r>
                          <w:r>
                            <w:t>:</w:t>
                          </w:r>
                          <w:r>
                            <w:fldChar w:fldCharType="begin"/>
                          </w:r>
                          <w:r>
                            <w:instrText xml:space="preserve"> DOCPROPERTY "Motionsnummer" *\charformat </w:instrText>
                          </w:r>
                          <w:r>
                            <w:fldChar w:fldCharType="separate"/>
                          </w:r>
                          <w:r w:rsidR="006654C1">
                            <w:t>Ju57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CDB" w:rsidRDefault="00DE7CDB">
                    <w:pPr>
                      <w:pStyle w:val="KantRubrikS5H"/>
                      <w:ind w:right="0"/>
                    </w:pPr>
                    <w:r>
                      <w:fldChar w:fldCharType="begin"/>
                    </w:r>
                    <w:r>
                      <w:instrText xml:space="preserve"> DOCPROPERTY "YearUser" *\charformat </w:instrText>
                    </w:r>
                    <w:r>
                      <w:fldChar w:fldCharType="separate"/>
                    </w:r>
                    <w:r w:rsidR="006654C1">
                      <w:t>2005/06</w:t>
                    </w:r>
                    <w:r>
                      <w:fldChar w:fldCharType="end"/>
                    </w:r>
                    <w:r>
                      <w:t>:</w:t>
                    </w:r>
                    <w:r>
                      <w:fldChar w:fldCharType="begin"/>
                    </w:r>
                    <w:r>
                      <w:instrText xml:space="preserve"> DOCPROPERTY "Motionsnummer" *\charformat </w:instrText>
                    </w:r>
                    <w:r>
                      <w:fldChar w:fldCharType="separate"/>
                    </w:r>
                    <w:r w:rsidR="006654C1">
                      <w:t>Ju57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CDB" w:rsidRPr="00DE504E" w:rsidRDefault="00DE7CDB">
    <w:pPr>
      <w:pStyle w:val="FSHNormal"/>
      <w:tabs>
        <w:tab w:val="right" w:pos="5840"/>
      </w:tabs>
    </w:pPr>
    <w:r w:rsidRPr="00DE504E">
      <w:br/>
    </w:r>
    <w:r w:rsidRPr="00DE504E">
      <w:fldChar w:fldCharType="begin" w:fldLock="1"/>
    </w:r>
    <w:r w:rsidRPr="00DE504E">
      <w:instrText xml:space="preserve"> DOCPROPERTY</w:instrText>
    </w:r>
    <w:r w:rsidRPr="00DE504E">
      <w:rPr>
        <w:sz w:val="18"/>
      </w:rPr>
      <w:instrText xml:space="preserve"> "YearUser" *\charformat </w:instrText>
    </w:r>
    <w:r w:rsidRPr="00DE504E">
      <w:fldChar w:fldCharType="separate"/>
    </w:r>
    <w:r w:rsidR="006654C1" w:rsidRPr="00DE504E">
      <w:t>2005/06</w:t>
    </w:r>
    <w:r w:rsidRPr="00DE504E">
      <w:fldChar w:fldCharType="end"/>
    </w:r>
    <w:r w:rsidRPr="00DE504E">
      <w:t xml:space="preserve"> </w:t>
    </w:r>
    <w:r w:rsidRPr="00DE504E">
      <w:tab/>
      <w:t xml:space="preserve">mnr: </w:t>
    </w:r>
    <w:r w:rsidRPr="00DE504E">
      <w:fldChar w:fldCharType="begin" w:fldLock="1"/>
    </w:r>
    <w:r w:rsidRPr="00DE504E">
      <w:instrText xml:space="preserve"> DOCPROPERTY</w:instrText>
    </w:r>
    <w:r w:rsidRPr="00DE504E">
      <w:rPr>
        <w:sz w:val="18"/>
      </w:rPr>
      <w:instrText xml:space="preserve"> "Motionsnummer" *\charformat </w:instrText>
    </w:r>
    <w:r w:rsidRPr="00DE504E">
      <w:fldChar w:fldCharType="separate"/>
    </w:r>
    <w:r w:rsidR="006654C1" w:rsidRPr="00DE504E">
      <w:t>Ju57</w:t>
    </w:r>
    <w:r w:rsidRPr="00DE504E">
      <w:fldChar w:fldCharType="end"/>
    </w:r>
    <w:r w:rsidRPr="00DE504E">
      <w:br/>
    </w:r>
    <w:r w:rsidRPr="00DE504E">
      <w:fldChar w:fldCharType="begin" w:fldLock="1"/>
    </w:r>
    <w:r w:rsidRPr="00DE504E">
      <w:instrText xml:space="preserve"> DOCPROPERTY</w:instrText>
    </w:r>
    <w:r w:rsidRPr="00DE504E">
      <w:rPr>
        <w:sz w:val="18"/>
      </w:rPr>
      <w:instrText xml:space="preserve"> "Samling" *\charformat </w:instrText>
    </w:r>
    <w:r w:rsidRPr="00DE504E">
      <w:fldChar w:fldCharType="end"/>
    </w:r>
    <w:r w:rsidRPr="00DE504E">
      <w:tab/>
      <w:t xml:space="preserve">pnr: </w:t>
    </w:r>
    <w:r w:rsidRPr="00DE504E">
      <w:fldChar w:fldCharType="begin" w:fldLock="1"/>
    </w:r>
    <w:r w:rsidRPr="00DE504E">
      <w:instrText xml:space="preserve"> DOCPROPERTY</w:instrText>
    </w:r>
    <w:r w:rsidRPr="00DE504E">
      <w:rPr>
        <w:sz w:val="18"/>
      </w:rPr>
      <w:instrText xml:space="preserve"> "Partinummer" *\charformat </w:instrText>
    </w:r>
    <w:r w:rsidRPr="00DE504E">
      <w:fldChar w:fldCharType="separate"/>
    </w:r>
    <w:r w:rsidR="006654C1" w:rsidRPr="00DE504E">
      <w:t>mp034</w:t>
    </w:r>
    <w:r w:rsidRPr="00DE504E">
      <w:fldChar w:fldCharType="end"/>
    </w:r>
  </w:p>
  <w:p w:rsidR="00DE7CDB" w:rsidRPr="00DE504E" w:rsidRDefault="00DE7CDB">
    <w:pPr>
      <w:pStyle w:val="FSHRub1"/>
    </w:pPr>
    <w:r w:rsidRPr="00DE504E">
      <w:t>Motion till riksdagen</w:t>
    </w:r>
    <w:r w:rsidRPr="00DE504E">
      <w:br/>
    </w:r>
    <w:r w:rsidRPr="00DE504E">
      <w:fldChar w:fldCharType="begin" w:fldLock="1"/>
    </w:r>
    <w:r w:rsidRPr="00DE504E">
      <w:instrText xml:space="preserve"> DOCPROPERTY "YearUser" *\charformat </w:instrText>
    </w:r>
    <w:r w:rsidRPr="00DE504E">
      <w:fldChar w:fldCharType="separate"/>
    </w:r>
    <w:r w:rsidR="006654C1" w:rsidRPr="00DE504E">
      <w:t>2005/06</w:t>
    </w:r>
    <w:r w:rsidRPr="00DE504E">
      <w:fldChar w:fldCharType="end"/>
    </w:r>
    <w:r w:rsidRPr="00DE504E">
      <w:t>:</w:t>
    </w:r>
    <w:r w:rsidRPr="00DE504E">
      <w:fldChar w:fldCharType="begin" w:fldLock="1"/>
    </w:r>
    <w:r w:rsidRPr="00DE504E">
      <w:instrText xml:space="preserve"> DOCPROPERTY "Motionsnummer" *\charformat </w:instrText>
    </w:r>
    <w:r w:rsidRPr="00DE504E">
      <w:fldChar w:fldCharType="separate"/>
    </w:r>
    <w:r w:rsidR="006654C1" w:rsidRPr="00DE504E">
      <w:t>Ju57</w:t>
    </w:r>
    <w:r w:rsidRPr="00DE504E">
      <w:fldChar w:fldCharType="end"/>
    </w:r>
  </w:p>
  <w:p w:rsidR="00DE7CDB" w:rsidRPr="00DE504E" w:rsidRDefault="00DE7CDB">
    <w:pPr>
      <w:pStyle w:val="FSHNormalS5"/>
    </w:pPr>
    <w:r w:rsidRPr="00DE504E">
      <w:fldChar w:fldCharType="begin" w:fldLock="1"/>
    </w:r>
    <w:r w:rsidRPr="00DE504E">
      <w:instrText xml:space="preserve"> DOCPROPERTY "MotionarText" *\charformat </w:instrText>
    </w:r>
    <w:r w:rsidRPr="00DE504E">
      <w:fldChar w:fldCharType="separate"/>
    </w:r>
    <w:r w:rsidR="006654C1" w:rsidRPr="00DE504E">
      <w:t>av Leif Björnlod m.fl. (mp)</w:t>
    </w:r>
    <w:r w:rsidRPr="00DE504E">
      <w:fldChar w:fldCharType="end"/>
    </w:r>
    <w:r w:rsidRPr="00DE504E">
      <w:br/>
    </w:r>
    <w:r w:rsidRPr="00DE504E">
      <w:fldChar w:fldCharType="begin" w:fldLock="1"/>
    </w:r>
    <w:r w:rsidRPr="00DE504E">
      <w:instrText xml:space="preserve"> DOCPROPERTY "SvarFrasKort" *\charformat </w:instrText>
    </w:r>
    <w:r w:rsidRPr="00DE504E">
      <w:fldChar w:fldCharType="separate"/>
    </w:r>
    <w:r w:rsidR="006654C1" w:rsidRPr="00DE504E">
      <w:t>med anledning av prop. 2005/06:178</w:t>
    </w:r>
    <w:r w:rsidRPr="00DE504E">
      <w:fldChar w:fldCharType="end"/>
    </w:r>
  </w:p>
  <w:p w:rsidR="00DE7CDB" w:rsidRPr="00DE504E" w:rsidRDefault="00DE7CDB">
    <w:pPr>
      <w:pStyle w:val="FSHTitel"/>
    </w:pPr>
    <w:r w:rsidRPr="00DE504E">
      <w:fldChar w:fldCharType="begin" w:fldLock="1"/>
    </w:r>
    <w:r w:rsidRPr="00DE504E">
      <w:instrText xml:space="preserve"> DOCPROPERTY</w:instrText>
    </w:r>
    <w:r w:rsidRPr="00DE504E">
      <w:rPr>
        <w:sz w:val="18"/>
      </w:rPr>
      <w:instrText xml:space="preserve"> "RubrikSvar" *\charformat </w:instrText>
    </w:r>
    <w:r w:rsidRPr="00DE504E">
      <w:fldChar w:fldCharType="separate"/>
    </w:r>
    <w:r w:rsidR="006654C1" w:rsidRPr="00DE504E">
      <w:t>Hemlig rumsavlyssning</w:t>
    </w:r>
    <w:r w:rsidRPr="00DE504E">
      <w:fldChar w:fldCharType="end"/>
    </w:r>
  </w:p>
  <w:p w:rsidR="00DE7CDB" w:rsidRPr="00DE504E" w:rsidRDefault="00DE7CDB" w:rsidP="00DE7CD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1428F7"/>
    <w:multiLevelType w:val="hybridMultilevel"/>
    <w:tmpl w:val="B18CEFAC"/>
    <w:lvl w:ilvl="0" w:tplc="5DFAB97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4771066">
    <w:abstractNumId w:val="14"/>
  </w:num>
  <w:num w:numId="2" w16cid:durableId="1452163185">
    <w:abstractNumId w:val="10"/>
  </w:num>
  <w:num w:numId="3" w16cid:durableId="1597055086">
    <w:abstractNumId w:val="11"/>
  </w:num>
  <w:num w:numId="4" w16cid:durableId="1678075898">
    <w:abstractNumId w:val="12"/>
  </w:num>
  <w:num w:numId="5" w16cid:durableId="591281305">
    <w:abstractNumId w:val="8"/>
  </w:num>
  <w:num w:numId="6" w16cid:durableId="138035418">
    <w:abstractNumId w:val="3"/>
  </w:num>
  <w:num w:numId="7" w16cid:durableId="1050105690">
    <w:abstractNumId w:val="2"/>
  </w:num>
  <w:num w:numId="8" w16cid:durableId="1505513941">
    <w:abstractNumId w:val="1"/>
  </w:num>
  <w:num w:numId="9" w16cid:durableId="382603900">
    <w:abstractNumId w:val="0"/>
  </w:num>
  <w:num w:numId="10" w16cid:durableId="1249851374">
    <w:abstractNumId w:val="9"/>
  </w:num>
  <w:num w:numId="11" w16cid:durableId="1710691034">
    <w:abstractNumId w:val="7"/>
  </w:num>
  <w:num w:numId="12" w16cid:durableId="1910798745">
    <w:abstractNumId w:val="6"/>
  </w:num>
  <w:num w:numId="13" w16cid:durableId="1085296472">
    <w:abstractNumId w:val="5"/>
  </w:num>
  <w:num w:numId="14" w16cid:durableId="456921972">
    <w:abstractNumId w:val="4"/>
  </w:num>
  <w:num w:numId="15" w16cid:durableId="20393498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1"/>
  </w:docVars>
  <w:rsids>
    <w:rsidRoot w:val="00432E37"/>
    <w:rsid w:val="00040D14"/>
    <w:rsid w:val="0004381F"/>
    <w:rsid w:val="00064BC3"/>
    <w:rsid w:val="000665E6"/>
    <w:rsid w:val="00066775"/>
    <w:rsid w:val="00072FB9"/>
    <w:rsid w:val="000777E3"/>
    <w:rsid w:val="000A7DEE"/>
    <w:rsid w:val="000B0B75"/>
    <w:rsid w:val="000B398E"/>
    <w:rsid w:val="000C6BDC"/>
    <w:rsid w:val="000C76BF"/>
    <w:rsid w:val="000D676F"/>
    <w:rsid w:val="000E3EEC"/>
    <w:rsid w:val="000E48DA"/>
    <w:rsid w:val="000F5ADD"/>
    <w:rsid w:val="00100531"/>
    <w:rsid w:val="0010382E"/>
    <w:rsid w:val="00130082"/>
    <w:rsid w:val="00134F49"/>
    <w:rsid w:val="00171768"/>
    <w:rsid w:val="00185E73"/>
    <w:rsid w:val="001A56D7"/>
    <w:rsid w:val="001E0043"/>
    <w:rsid w:val="001F35C6"/>
    <w:rsid w:val="001F5533"/>
    <w:rsid w:val="00201DFB"/>
    <w:rsid w:val="00204A63"/>
    <w:rsid w:val="00212FF1"/>
    <w:rsid w:val="00230193"/>
    <w:rsid w:val="0025068A"/>
    <w:rsid w:val="00254B18"/>
    <w:rsid w:val="002661AE"/>
    <w:rsid w:val="00280929"/>
    <w:rsid w:val="002818D3"/>
    <w:rsid w:val="002943C8"/>
    <w:rsid w:val="00295E6D"/>
    <w:rsid w:val="002C2373"/>
    <w:rsid w:val="002D11A8"/>
    <w:rsid w:val="003079D4"/>
    <w:rsid w:val="003216AA"/>
    <w:rsid w:val="003866EC"/>
    <w:rsid w:val="00387886"/>
    <w:rsid w:val="003B6C8C"/>
    <w:rsid w:val="003C1897"/>
    <w:rsid w:val="003C69AE"/>
    <w:rsid w:val="003F100A"/>
    <w:rsid w:val="00405B8E"/>
    <w:rsid w:val="0042566A"/>
    <w:rsid w:val="0043214B"/>
    <w:rsid w:val="00432E37"/>
    <w:rsid w:val="00437658"/>
    <w:rsid w:val="00445271"/>
    <w:rsid w:val="00447A04"/>
    <w:rsid w:val="004A0504"/>
    <w:rsid w:val="004B76A0"/>
    <w:rsid w:val="004E38D9"/>
    <w:rsid w:val="004F3341"/>
    <w:rsid w:val="00501573"/>
    <w:rsid w:val="005605C7"/>
    <w:rsid w:val="005B145B"/>
    <w:rsid w:val="00626C41"/>
    <w:rsid w:val="0066383C"/>
    <w:rsid w:val="006654C1"/>
    <w:rsid w:val="0067402A"/>
    <w:rsid w:val="006A264F"/>
    <w:rsid w:val="006C24CE"/>
    <w:rsid w:val="00740D6D"/>
    <w:rsid w:val="00743F76"/>
    <w:rsid w:val="00761173"/>
    <w:rsid w:val="00794149"/>
    <w:rsid w:val="007A7C2C"/>
    <w:rsid w:val="007B67A7"/>
    <w:rsid w:val="007C6092"/>
    <w:rsid w:val="007E5D48"/>
    <w:rsid w:val="007E79C1"/>
    <w:rsid w:val="00801D71"/>
    <w:rsid w:val="00842E26"/>
    <w:rsid w:val="00843AC2"/>
    <w:rsid w:val="00846903"/>
    <w:rsid w:val="00852BBC"/>
    <w:rsid w:val="00867571"/>
    <w:rsid w:val="008D0AD2"/>
    <w:rsid w:val="008D231C"/>
    <w:rsid w:val="008F11BE"/>
    <w:rsid w:val="0090721B"/>
    <w:rsid w:val="009358AF"/>
    <w:rsid w:val="0093740F"/>
    <w:rsid w:val="00942F24"/>
    <w:rsid w:val="009813BD"/>
    <w:rsid w:val="009E326D"/>
    <w:rsid w:val="00A053C6"/>
    <w:rsid w:val="00A12106"/>
    <w:rsid w:val="00A4265B"/>
    <w:rsid w:val="00A85578"/>
    <w:rsid w:val="00AB5000"/>
    <w:rsid w:val="00AD0C7B"/>
    <w:rsid w:val="00AD4FF9"/>
    <w:rsid w:val="00B11306"/>
    <w:rsid w:val="00B13BF0"/>
    <w:rsid w:val="00B33C81"/>
    <w:rsid w:val="00B67E5B"/>
    <w:rsid w:val="00B80639"/>
    <w:rsid w:val="00BA6BE0"/>
    <w:rsid w:val="00BB68E7"/>
    <w:rsid w:val="00BB6D75"/>
    <w:rsid w:val="00C1285C"/>
    <w:rsid w:val="00C1589F"/>
    <w:rsid w:val="00C27B7D"/>
    <w:rsid w:val="00C30329"/>
    <w:rsid w:val="00C504E6"/>
    <w:rsid w:val="00CB3DED"/>
    <w:rsid w:val="00CE147F"/>
    <w:rsid w:val="00CE3037"/>
    <w:rsid w:val="00CF776E"/>
    <w:rsid w:val="00CF7A43"/>
    <w:rsid w:val="00D01775"/>
    <w:rsid w:val="00D1174F"/>
    <w:rsid w:val="00D51BC1"/>
    <w:rsid w:val="00D53D04"/>
    <w:rsid w:val="00D60732"/>
    <w:rsid w:val="00D6418D"/>
    <w:rsid w:val="00D9047F"/>
    <w:rsid w:val="00DC6C70"/>
    <w:rsid w:val="00DD297D"/>
    <w:rsid w:val="00DE06F8"/>
    <w:rsid w:val="00DE504E"/>
    <w:rsid w:val="00DE7CDB"/>
    <w:rsid w:val="00E22893"/>
    <w:rsid w:val="00E27702"/>
    <w:rsid w:val="00E349C2"/>
    <w:rsid w:val="00E360DE"/>
    <w:rsid w:val="00E5202F"/>
    <w:rsid w:val="00E521CB"/>
    <w:rsid w:val="00E57ECE"/>
    <w:rsid w:val="00E70085"/>
    <w:rsid w:val="00E75D28"/>
    <w:rsid w:val="00E84F25"/>
    <w:rsid w:val="00EC5471"/>
    <w:rsid w:val="00F04BC7"/>
    <w:rsid w:val="00F21B30"/>
    <w:rsid w:val="00F336E6"/>
    <w:rsid w:val="00F4340A"/>
    <w:rsid w:val="00F67D41"/>
    <w:rsid w:val="00F73E9E"/>
    <w:rsid w:val="00F93E43"/>
    <w:rsid w:val="00FA3374"/>
    <w:rsid w:val="00FC7876"/>
    <w:rsid w:val="00FC7E79"/>
    <w:rsid w:val="00FD10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D0E60F-1C4E-4D62-A2D0-CF6366EA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semiHidden/>
    <w:rsid w:val="008D0AD2"/>
    <w:rPr>
      <w:sz w:val="20"/>
    </w:rPr>
  </w:style>
  <w:style w:type="character" w:styleId="Fotnotsreferens">
    <w:name w:val="footnote reference"/>
    <w:basedOn w:val="Standardstycketeckensnitt"/>
    <w:semiHidden/>
    <w:rsid w:val="008D0AD2"/>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E7CD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2152</Words>
  <Characters>13349</Characters>
  <Application>Microsoft Office Word</Application>
  <DocSecurity>4</DocSecurity>
  <Lines>230</Lines>
  <Paragraphs>48</Paragraphs>
  <ScaleCrop>false</ScaleCrop>
  <HeadingPairs>
    <vt:vector size="2" baseType="variant">
      <vt:variant>
        <vt:lpstr>Rubrik</vt:lpstr>
      </vt:variant>
      <vt:variant>
        <vt:i4>1</vt:i4>
      </vt:variant>
    </vt:vector>
  </HeadingPairs>
  <TitlesOfParts>
    <vt:vector size="1" baseType="lpstr">
      <vt:lpstr>Ju57</vt:lpstr>
    </vt:vector>
  </TitlesOfParts>
  <Company>Riksdagen</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Ju57</dc:title>
  <dc:subject>Ju57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2006-04-24T06:41:00Z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mot2000_433_2006-04-11</vt:lpwstr>
  </property>
  <property fmtid="{D5CDD505-2E9C-101B-9397-08002B2CF9AE}" pid="3" name="version">
    <vt:lpwstr>mot2000_433_2006-04-11</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2005/06:178 Hemlig rumsavlyssning</vt:lpwstr>
  </property>
  <property fmtid="{D5CDD505-2E9C-101B-9397-08002B2CF9AE}" pid="11" name="SvarFrasKort">
    <vt:lpwstr>med anledning av prop. 2005/06:178</vt:lpwstr>
  </property>
  <property fmtid="{D5CDD505-2E9C-101B-9397-08002B2CF9AE}" pid="12" name="Svar">
    <vt:lpwstr>proposition</vt:lpwstr>
  </property>
  <property fmtid="{D5CDD505-2E9C-101B-9397-08002B2CF9AE}" pid="13" name="SvarNr">
    <vt:lpwstr>2005/06:178</vt:lpwstr>
  </property>
  <property fmtid="{D5CDD505-2E9C-101B-9397-08002B2CF9AE}" pid="14" name="RubrikSvar">
    <vt:lpwstr>Hemlig rumsavlyssning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Leif Björnlod m.fl. (mp)</vt:lpwstr>
  </property>
  <property fmtid="{D5CDD505-2E9C-101B-9397-08002B2CF9AE}" pid="26" name="MotionarLista">
    <vt:lpwstr>Björnlod, Leif (mp)\Fridolin, Gustav (mp)\Holm, Ulf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 Gustav Fridolin (mp), Ulf Holm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20052006000001090112000000340075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20052006000001090112000000340075</vt:lpwstr>
  </property>
  <property fmtid="{D5CDD505-2E9C-101B-9397-08002B2CF9AE}" pid="50" name="nummer">
    <vt:lpwstr>57</vt:lpwstr>
  </property>
  <property fmtid="{D5CDD505-2E9C-101B-9397-08002B2CF9AE}" pid="51" name="utskottsbeteckning">
    <vt:lpwstr>Ju</vt:lpwstr>
  </property>
  <property fmtid="{D5CDD505-2E9C-101B-9397-08002B2CF9AE}" pid="52" name="GlobalUID">
    <vt:lpwstr>{EEDC8E96-2D38-4B81-AFC2-61BB583A311C}</vt:lpwstr>
  </property>
  <property fmtid="{D5CDD505-2E9C-101B-9397-08002B2CF9AE}" pid="53" name="Överföringar">
    <vt:i4>0</vt:i4>
  </property>
</Properties>
</file>