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6FC" w:rsidRPr="00BC36FC" w:rsidRDefault="00BC36FC">
      <w:pPr>
        <w:pStyle w:val="Hemstlrubrik"/>
        <w:shd w:val="clear" w:color="000000" w:fill="auto"/>
      </w:pPr>
      <w:r w:rsidRPr="00BC36FC">
        <w:t>Förslag till riksdagsbeslut</w:t>
      </w:r>
    </w:p>
    <w:p w:rsidR="00BC36FC" w:rsidRPr="00BC36FC" w:rsidRDefault="00BC36FC">
      <w:pPr>
        <w:pStyle w:val="Hemstlatt"/>
        <w:numPr>
          <w:ilvl w:val="0"/>
          <w:numId w:val="1"/>
        </w:numPr>
        <w:shd w:val="clear" w:color="000000" w:fill="auto"/>
      </w:pPr>
      <w:r w:rsidRPr="00BC36FC">
        <w:t>Riksdagen anvisar med följande ändringar i fö</w:t>
      </w:r>
      <w:r w:rsidRPr="00BC36FC">
        <w:t>r</w:t>
      </w:r>
      <w:r w:rsidRPr="00BC36FC">
        <w:t>hållande till regeringens förslag anslagen under utgiftsområde 8 Migr</w:t>
      </w:r>
      <w:r w:rsidRPr="00BC36FC">
        <w:t>a</w:t>
      </w:r>
      <w:r w:rsidRPr="00BC36FC">
        <w:t>tion enligt uppställning:</w:t>
      </w:r>
    </w:p>
    <w:tbl>
      <w:tblPr>
        <w:tblpPr w:leftFromText="141" w:rightFromText="141" w:vertAnchor="text" w:horzAnchor="margin" w:tblpY="100"/>
        <w:tblW w:w="5954" w:type="dxa"/>
        <w:tblLayout w:type="fixed"/>
        <w:tblCellMar>
          <w:left w:w="70" w:type="dxa"/>
          <w:right w:w="70" w:type="dxa"/>
        </w:tblCellMar>
        <w:tblLook w:val="0000" w:firstRow="0" w:lastRow="0" w:firstColumn="0" w:lastColumn="0" w:noHBand="0" w:noVBand="0"/>
      </w:tblPr>
      <w:tblGrid>
        <w:gridCol w:w="893"/>
        <w:gridCol w:w="2703"/>
        <w:gridCol w:w="825"/>
        <w:gridCol w:w="825"/>
        <w:gridCol w:w="708"/>
      </w:tblGrid>
      <w:tr w:rsidR="00000000" w:rsidRPr="00BC36FC">
        <w:trPr>
          <w:trHeight w:val="20"/>
        </w:trPr>
        <w:tc>
          <w:tcPr>
            <w:tcW w:w="910" w:type="dxa"/>
            <w:tcBorders>
              <w:top w:val="single" w:sz="4" w:space="0" w:color="auto"/>
              <w:left w:val="nil"/>
              <w:right w:val="nil"/>
            </w:tcBorders>
            <w:noWrap/>
            <w:vAlign w:val="bottom"/>
          </w:tcPr>
          <w:p w:rsidR="00BC36FC" w:rsidRPr="00BC36FC" w:rsidRDefault="00BC36FC">
            <w:pPr>
              <w:shd w:val="clear" w:color="000000" w:fill="auto"/>
              <w:spacing w:before="60" w:line="200" w:lineRule="exact"/>
              <w:rPr>
                <w:sz w:val="16"/>
              </w:rPr>
            </w:pPr>
          </w:p>
        </w:tc>
        <w:tc>
          <w:tcPr>
            <w:tcW w:w="2760" w:type="dxa"/>
            <w:tcBorders>
              <w:top w:val="single" w:sz="4" w:space="0" w:color="auto"/>
              <w:left w:val="nil"/>
              <w:right w:val="nil"/>
            </w:tcBorders>
            <w:noWrap/>
            <w:vAlign w:val="bottom"/>
          </w:tcPr>
          <w:p w:rsidR="00BC36FC" w:rsidRPr="00BC36FC" w:rsidRDefault="00BC36FC">
            <w:pPr>
              <w:shd w:val="clear" w:color="000000" w:fill="auto"/>
              <w:spacing w:before="60" w:line="200" w:lineRule="exact"/>
              <w:rPr>
                <w:sz w:val="16"/>
              </w:rPr>
            </w:pPr>
          </w:p>
        </w:tc>
        <w:tc>
          <w:tcPr>
            <w:tcW w:w="2400" w:type="dxa"/>
            <w:gridSpan w:val="3"/>
            <w:tcBorders>
              <w:top w:val="single" w:sz="4" w:space="0" w:color="auto"/>
              <w:left w:val="nil"/>
              <w:right w:val="nil"/>
            </w:tcBorders>
            <w:noWrap/>
            <w:vAlign w:val="bottom"/>
          </w:tcPr>
          <w:p w:rsidR="00BC36FC" w:rsidRPr="00BC36FC" w:rsidRDefault="00BC36FC">
            <w:pPr>
              <w:shd w:val="clear" w:color="000000" w:fill="auto"/>
              <w:spacing w:before="60" w:line="200" w:lineRule="exact"/>
              <w:jc w:val="center"/>
              <w:rPr>
                <w:b/>
                <w:sz w:val="16"/>
              </w:rPr>
            </w:pPr>
            <w:r w:rsidRPr="00BC36FC">
              <w:rPr>
                <w:b/>
                <w:sz w:val="16"/>
              </w:rPr>
              <w:t xml:space="preserve">Anslagsförändring </w:t>
            </w:r>
            <w:r w:rsidRPr="00BC36FC">
              <w:rPr>
                <w:b/>
                <w:sz w:val="16"/>
              </w:rPr>
              <w:br/>
              <w:t>(miljoner kronor)</w:t>
            </w:r>
          </w:p>
        </w:tc>
      </w:tr>
      <w:tr w:rsidR="00000000" w:rsidRPr="00BC36FC">
        <w:trPr>
          <w:trHeight w:val="20"/>
        </w:trPr>
        <w:tc>
          <w:tcPr>
            <w:tcW w:w="910" w:type="dxa"/>
            <w:tcBorders>
              <w:left w:val="nil"/>
              <w:bottom w:val="single" w:sz="4" w:space="0" w:color="auto"/>
              <w:right w:val="nil"/>
            </w:tcBorders>
            <w:noWrap/>
            <w:vAlign w:val="bottom"/>
          </w:tcPr>
          <w:p w:rsidR="00BC36FC" w:rsidRPr="00BC36FC" w:rsidRDefault="00BC36FC">
            <w:pPr>
              <w:shd w:val="clear" w:color="000000" w:fill="auto"/>
              <w:spacing w:before="60" w:line="200" w:lineRule="exact"/>
              <w:rPr>
                <w:sz w:val="16"/>
              </w:rPr>
            </w:pPr>
          </w:p>
        </w:tc>
        <w:tc>
          <w:tcPr>
            <w:tcW w:w="2760" w:type="dxa"/>
            <w:tcBorders>
              <w:left w:val="nil"/>
              <w:bottom w:val="single" w:sz="4" w:space="0" w:color="auto"/>
              <w:right w:val="nil"/>
            </w:tcBorders>
            <w:noWrap/>
            <w:vAlign w:val="bottom"/>
          </w:tcPr>
          <w:p w:rsidR="00BC36FC" w:rsidRPr="00BC36FC" w:rsidRDefault="00BC36FC">
            <w:pPr>
              <w:shd w:val="clear" w:color="000000" w:fill="auto"/>
              <w:spacing w:before="60" w:line="200" w:lineRule="exact"/>
              <w:rPr>
                <w:sz w:val="16"/>
              </w:rPr>
            </w:pPr>
          </w:p>
        </w:tc>
        <w:tc>
          <w:tcPr>
            <w:tcW w:w="840" w:type="dxa"/>
            <w:tcBorders>
              <w:left w:val="nil"/>
              <w:bottom w:val="single" w:sz="4" w:space="0" w:color="auto"/>
              <w:right w:val="nil"/>
            </w:tcBorders>
            <w:noWrap/>
            <w:vAlign w:val="bottom"/>
          </w:tcPr>
          <w:p w:rsidR="00BC36FC" w:rsidRPr="00BC36FC" w:rsidRDefault="00BC36FC">
            <w:pPr>
              <w:shd w:val="clear" w:color="000000" w:fill="auto"/>
              <w:spacing w:before="60" w:line="200" w:lineRule="exact"/>
              <w:jc w:val="right"/>
              <w:rPr>
                <w:b/>
                <w:sz w:val="16"/>
              </w:rPr>
            </w:pPr>
            <w:r w:rsidRPr="00BC36FC">
              <w:rPr>
                <w:b/>
                <w:sz w:val="16"/>
              </w:rPr>
              <w:t>2009</w:t>
            </w:r>
          </w:p>
        </w:tc>
        <w:tc>
          <w:tcPr>
            <w:tcW w:w="840" w:type="dxa"/>
            <w:tcBorders>
              <w:left w:val="nil"/>
              <w:bottom w:val="single" w:sz="4" w:space="0" w:color="auto"/>
              <w:right w:val="nil"/>
            </w:tcBorders>
            <w:noWrap/>
            <w:vAlign w:val="bottom"/>
          </w:tcPr>
          <w:p w:rsidR="00BC36FC" w:rsidRPr="00BC36FC" w:rsidRDefault="00BC36FC">
            <w:pPr>
              <w:shd w:val="clear" w:color="000000" w:fill="auto"/>
              <w:spacing w:before="60" w:line="200" w:lineRule="exact"/>
              <w:jc w:val="right"/>
              <w:rPr>
                <w:b/>
                <w:sz w:val="16"/>
              </w:rPr>
            </w:pPr>
            <w:r w:rsidRPr="00BC36FC">
              <w:rPr>
                <w:b/>
                <w:sz w:val="16"/>
              </w:rPr>
              <w:t>2010</w:t>
            </w:r>
          </w:p>
        </w:tc>
        <w:tc>
          <w:tcPr>
            <w:tcW w:w="720" w:type="dxa"/>
            <w:tcBorders>
              <w:left w:val="nil"/>
              <w:bottom w:val="single" w:sz="4" w:space="0" w:color="auto"/>
              <w:right w:val="nil"/>
            </w:tcBorders>
            <w:noWrap/>
            <w:vAlign w:val="bottom"/>
          </w:tcPr>
          <w:p w:rsidR="00BC36FC" w:rsidRPr="00BC36FC" w:rsidRDefault="00BC36FC">
            <w:pPr>
              <w:shd w:val="clear" w:color="000000" w:fill="auto"/>
              <w:spacing w:before="60" w:line="200" w:lineRule="exact"/>
              <w:jc w:val="right"/>
              <w:rPr>
                <w:b/>
                <w:sz w:val="16"/>
              </w:rPr>
            </w:pPr>
            <w:r w:rsidRPr="00BC36FC">
              <w:rPr>
                <w:b/>
                <w:sz w:val="16"/>
              </w:rPr>
              <w:t>2011</w:t>
            </w:r>
          </w:p>
        </w:tc>
      </w:tr>
      <w:tr w:rsidR="00000000" w:rsidRPr="00BC36FC">
        <w:trPr>
          <w:trHeight w:val="20"/>
        </w:trPr>
        <w:tc>
          <w:tcPr>
            <w:tcW w:w="91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rPr>
                <w:sz w:val="16"/>
              </w:rPr>
            </w:pPr>
          </w:p>
        </w:tc>
        <w:tc>
          <w:tcPr>
            <w:tcW w:w="276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rPr>
                <w:b/>
                <w:sz w:val="16"/>
              </w:rPr>
            </w:pPr>
            <w:r w:rsidRPr="00BC36FC">
              <w:rPr>
                <w:b/>
                <w:sz w:val="16"/>
              </w:rPr>
              <w:t>Summa utgiftsområde:</w:t>
            </w:r>
          </w:p>
        </w:tc>
        <w:tc>
          <w:tcPr>
            <w:tcW w:w="84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jc w:val="right"/>
              <w:rPr>
                <w:b/>
                <w:sz w:val="16"/>
              </w:rPr>
            </w:pPr>
            <w:r w:rsidRPr="00BC36FC">
              <w:rPr>
                <w:b/>
                <w:sz w:val="16"/>
              </w:rPr>
              <w:t>80</w:t>
            </w:r>
          </w:p>
        </w:tc>
        <w:tc>
          <w:tcPr>
            <w:tcW w:w="84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jc w:val="right"/>
              <w:rPr>
                <w:b/>
                <w:sz w:val="16"/>
              </w:rPr>
            </w:pPr>
            <w:r w:rsidRPr="00BC36FC">
              <w:rPr>
                <w:b/>
                <w:sz w:val="16"/>
              </w:rPr>
              <w:t>5</w:t>
            </w:r>
          </w:p>
        </w:tc>
        <w:tc>
          <w:tcPr>
            <w:tcW w:w="72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jc w:val="right"/>
              <w:rPr>
                <w:b/>
                <w:sz w:val="16"/>
              </w:rPr>
            </w:pPr>
            <w:r w:rsidRPr="00BC36FC">
              <w:rPr>
                <w:b/>
                <w:sz w:val="16"/>
              </w:rPr>
              <w:t>5</w:t>
            </w:r>
          </w:p>
        </w:tc>
      </w:tr>
      <w:tr w:rsidR="00000000" w:rsidRPr="00BC36FC">
        <w:trPr>
          <w:trHeight w:val="20"/>
        </w:trPr>
        <w:tc>
          <w:tcPr>
            <w:tcW w:w="910" w:type="dxa"/>
            <w:tcBorders>
              <w:top w:val="nil"/>
              <w:left w:val="nil"/>
              <w:bottom w:val="single" w:sz="4" w:space="0" w:color="auto"/>
              <w:right w:val="nil"/>
            </w:tcBorders>
            <w:vAlign w:val="bottom"/>
          </w:tcPr>
          <w:p w:rsidR="00BC36FC" w:rsidRPr="00BC36FC" w:rsidRDefault="00BC36FC">
            <w:pPr>
              <w:shd w:val="clear" w:color="000000" w:fill="auto"/>
              <w:spacing w:before="60" w:line="200" w:lineRule="exact"/>
              <w:rPr>
                <w:b/>
                <w:sz w:val="16"/>
              </w:rPr>
            </w:pPr>
            <w:r w:rsidRPr="00BC36FC">
              <w:rPr>
                <w:b/>
                <w:sz w:val="16"/>
              </w:rPr>
              <w:t xml:space="preserve">Anslag </w:t>
            </w:r>
          </w:p>
        </w:tc>
        <w:tc>
          <w:tcPr>
            <w:tcW w:w="2760" w:type="dxa"/>
            <w:tcBorders>
              <w:top w:val="nil"/>
              <w:left w:val="nil"/>
              <w:bottom w:val="single" w:sz="4" w:space="0" w:color="auto"/>
              <w:right w:val="nil"/>
            </w:tcBorders>
            <w:vAlign w:val="bottom"/>
          </w:tcPr>
          <w:p w:rsidR="00BC36FC" w:rsidRPr="00BC36FC" w:rsidRDefault="00BC36FC">
            <w:pPr>
              <w:shd w:val="clear" w:color="000000" w:fill="auto"/>
              <w:spacing w:before="60" w:line="200" w:lineRule="exact"/>
              <w:rPr>
                <w:sz w:val="16"/>
              </w:rPr>
            </w:pPr>
          </w:p>
        </w:tc>
        <w:tc>
          <w:tcPr>
            <w:tcW w:w="84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 </w:t>
            </w:r>
          </w:p>
        </w:tc>
        <w:tc>
          <w:tcPr>
            <w:tcW w:w="84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 </w:t>
            </w:r>
          </w:p>
        </w:tc>
        <w:tc>
          <w:tcPr>
            <w:tcW w:w="72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 </w:t>
            </w:r>
          </w:p>
        </w:tc>
      </w:tr>
      <w:tr w:rsidR="00000000" w:rsidRPr="00BC36FC">
        <w:trPr>
          <w:trHeight w:val="20"/>
        </w:trPr>
        <w:tc>
          <w:tcPr>
            <w:tcW w:w="91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1:1</w:t>
            </w:r>
          </w:p>
        </w:tc>
        <w:tc>
          <w:tcPr>
            <w:tcW w:w="276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Migrationsverket</w:t>
            </w:r>
          </w:p>
        </w:tc>
        <w:tc>
          <w:tcPr>
            <w:tcW w:w="84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–40</w:t>
            </w:r>
          </w:p>
        </w:tc>
        <w:tc>
          <w:tcPr>
            <w:tcW w:w="84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c>
          <w:tcPr>
            <w:tcW w:w="720" w:type="dxa"/>
            <w:tcBorders>
              <w:top w:val="single" w:sz="4" w:space="0" w:color="auto"/>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r>
      <w:tr w:rsidR="00000000" w:rsidRPr="00BC36FC">
        <w:trPr>
          <w:trHeight w:val="20"/>
        </w:trPr>
        <w:tc>
          <w:tcPr>
            <w:tcW w:w="91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1:2</w:t>
            </w:r>
          </w:p>
        </w:tc>
        <w:tc>
          <w:tcPr>
            <w:tcW w:w="276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Ersättningar och bostadskostnader</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c>
          <w:tcPr>
            <w:tcW w:w="72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r>
      <w:tr w:rsidR="00000000" w:rsidRPr="00BC36FC">
        <w:trPr>
          <w:trHeight w:val="20"/>
        </w:trPr>
        <w:tc>
          <w:tcPr>
            <w:tcW w:w="91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1:3</w:t>
            </w:r>
          </w:p>
        </w:tc>
        <w:tc>
          <w:tcPr>
            <w:tcW w:w="276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Migrationspolitiska åtgärder</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250</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5</w:t>
            </w:r>
          </w:p>
        </w:tc>
        <w:tc>
          <w:tcPr>
            <w:tcW w:w="72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5</w:t>
            </w:r>
          </w:p>
        </w:tc>
      </w:tr>
      <w:tr w:rsidR="00000000" w:rsidRPr="00BC36FC">
        <w:trPr>
          <w:trHeight w:val="20"/>
        </w:trPr>
        <w:tc>
          <w:tcPr>
            <w:tcW w:w="91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1:4</w:t>
            </w:r>
          </w:p>
        </w:tc>
        <w:tc>
          <w:tcPr>
            <w:tcW w:w="276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Domstolsprövning i utlänningsärenden</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c>
          <w:tcPr>
            <w:tcW w:w="72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p>
        </w:tc>
      </w:tr>
      <w:tr w:rsidR="00000000" w:rsidRPr="00BC36FC">
        <w:trPr>
          <w:trHeight w:val="20"/>
        </w:trPr>
        <w:tc>
          <w:tcPr>
            <w:tcW w:w="910" w:type="dxa"/>
            <w:tcBorders>
              <w:top w:val="nil"/>
              <w:left w:val="nil"/>
              <w:bottom w:val="nil"/>
              <w:right w:val="nil"/>
            </w:tcBorders>
            <w:noWrap/>
          </w:tcPr>
          <w:p w:rsidR="00BC36FC" w:rsidRPr="00BC36FC" w:rsidRDefault="00BC36FC">
            <w:pPr>
              <w:shd w:val="clear" w:color="000000" w:fill="auto"/>
              <w:spacing w:before="60" w:line="200" w:lineRule="exact"/>
              <w:rPr>
                <w:sz w:val="16"/>
              </w:rPr>
            </w:pPr>
            <w:r w:rsidRPr="00BC36FC">
              <w:rPr>
                <w:sz w:val="16"/>
              </w:rPr>
              <w:t>1:5</w:t>
            </w:r>
          </w:p>
        </w:tc>
        <w:tc>
          <w:tcPr>
            <w:tcW w:w="276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Kostnader vid domstolsprövning i  utlänningsärenden</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93</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93</w:t>
            </w:r>
          </w:p>
        </w:tc>
        <w:tc>
          <w:tcPr>
            <w:tcW w:w="72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93</w:t>
            </w:r>
          </w:p>
        </w:tc>
      </w:tr>
      <w:tr w:rsidR="00000000" w:rsidRPr="00BC36FC">
        <w:trPr>
          <w:trHeight w:val="20"/>
        </w:trPr>
        <w:tc>
          <w:tcPr>
            <w:tcW w:w="91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1:6</w:t>
            </w:r>
          </w:p>
        </w:tc>
        <w:tc>
          <w:tcPr>
            <w:tcW w:w="2760" w:type="dxa"/>
            <w:tcBorders>
              <w:top w:val="nil"/>
              <w:left w:val="nil"/>
              <w:bottom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Offentligt biträde i utlänningsärenden</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–93</w:t>
            </w:r>
          </w:p>
        </w:tc>
        <w:tc>
          <w:tcPr>
            <w:tcW w:w="84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–93</w:t>
            </w:r>
          </w:p>
        </w:tc>
        <w:tc>
          <w:tcPr>
            <w:tcW w:w="720" w:type="dxa"/>
            <w:tcBorders>
              <w:top w:val="nil"/>
              <w:left w:val="nil"/>
              <w:bottom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–93</w:t>
            </w:r>
          </w:p>
        </w:tc>
      </w:tr>
      <w:tr w:rsidR="00000000" w:rsidRPr="00BC36FC">
        <w:trPr>
          <w:trHeight w:val="20"/>
        </w:trPr>
        <w:tc>
          <w:tcPr>
            <w:tcW w:w="910" w:type="dxa"/>
            <w:tcBorders>
              <w:top w:val="nil"/>
              <w:left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1:7</w:t>
            </w:r>
          </w:p>
        </w:tc>
        <w:tc>
          <w:tcPr>
            <w:tcW w:w="2760" w:type="dxa"/>
            <w:tcBorders>
              <w:top w:val="nil"/>
              <w:left w:val="nil"/>
              <w:right w:val="nil"/>
            </w:tcBorders>
            <w:noWrap/>
            <w:vAlign w:val="bottom"/>
          </w:tcPr>
          <w:p w:rsidR="00BC36FC" w:rsidRPr="00BC36FC" w:rsidRDefault="00BC36FC">
            <w:pPr>
              <w:shd w:val="clear" w:color="000000" w:fill="auto"/>
              <w:spacing w:before="60" w:line="200" w:lineRule="exact"/>
              <w:rPr>
                <w:sz w:val="16"/>
              </w:rPr>
            </w:pPr>
            <w:r w:rsidRPr="00BC36FC">
              <w:rPr>
                <w:sz w:val="16"/>
              </w:rPr>
              <w:t>Utresor för avvisade och utvisade</w:t>
            </w:r>
          </w:p>
        </w:tc>
        <w:tc>
          <w:tcPr>
            <w:tcW w:w="840" w:type="dxa"/>
            <w:tcBorders>
              <w:top w:val="nil"/>
              <w:left w:val="nil"/>
              <w:right w:val="nil"/>
            </w:tcBorders>
            <w:noWrap/>
            <w:vAlign w:val="bottom"/>
          </w:tcPr>
          <w:p w:rsidR="00BC36FC" w:rsidRPr="00BC36FC" w:rsidRDefault="00BC36FC">
            <w:pPr>
              <w:shd w:val="clear" w:color="000000" w:fill="auto"/>
              <w:spacing w:before="60" w:line="200" w:lineRule="exact"/>
              <w:jc w:val="right"/>
              <w:rPr>
                <w:sz w:val="16"/>
              </w:rPr>
            </w:pPr>
            <w:r w:rsidRPr="00BC36FC">
              <w:rPr>
                <w:sz w:val="16"/>
              </w:rPr>
              <w:t>–130</w:t>
            </w:r>
          </w:p>
        </w:tc>
        <w:tc>
          <w:tcPr>
            <w:tcW w:w="840" w:type="dxa"/>
            <w:tcBorders>
              <w:top w:val="nil"/>
              <w:left w:val="nil"/>
              <w:right w:val="nil"/>
            </w:tcBorders>
            <w:noWrap/>
            <w:vAlign w:val="bottom"/>
          </w:tcPr>
          <w:p w:rsidR="00BC36FC" w:rsidRPr="00BC36FC" w:rsidRDefault="00BC36FC">
            <w:pPr>
              <w:shd w:val="clear" w:color="000000" w:fill="auto"/>
              <w:spacing w:before="60" w:line="200" w:lineRule="exact"/>
              <w:jc w:val="right"/>
              <w:rPr>
                <w:sz w:val="16"/>
              </w:rPr>
            </w:pPr>
          </w:p>
        </w:tc>
        <w:tc>
          <w:tcPr>
            <w:tcW w:w="720" w:type="dxa"/>
            <w:tcBorders>
              <w:top w:val="nil"/>
              <w:left w:val="nil"/>
              <w:right w:val="nil"/>
            </w:tcBorders>
            <w:noWrap/>
            <w:vAlign w:val="bottom"/>
          </w:tcPr>
          <w:p w:rsidR="00BC36FC" w:rsidRPr="00BC36FC" w:rsidRDefault="00BC36FC">
            <w:pPr>
              <w:shd w:val="clear" w:color="000000" w:fill="auto"/>
              <w:spacing w:before="60" w:line="200" w:lineRule="exact"/>
              <w:jc w:val="right"/>
              <w:rPr>
                <w:sz w:val="16"/>
              </w:rPr>
            </w:pPr>
          </w:p>
        </w:tc>
      </w:tr>
      <w:tr w:rsidR="00000000" w:rsidRPr="00BC36FC">
        <w:trPr>
          <w:trHeight w:val="20"/>
        </w:trPr>
        <w:tc>
          <w:tcPr>
            <w:tcW w:w="910" w:type="dxa"/>
            <w:tcBorders>
              <w:top w:val="nil"/>
              <w:left w:val="nil"/>
              <w:bottom w:val="single" w:sz="4" w:space="0" w:color="auto"/>
              <w:right w:val="nil"/>
            </w:tcBorders>
            <w:noWrap/>
          </w:tcPr>
          <w:p w:rsidR="00BC36FC" w:rsidRPr="00BC36FC" w:rsidRDefault="00BC36FC">
            <w:pPr>
              <w:shd w:val="clear" w:color="000000" w:fill="auto"/>
              <w:spacing w:before="60" w:line="200" w:lineRule="exact"/>
              <w:rPr>
                <w:sz w:val="16"/>
              </w:rPr>
            </w:pPr>
            <w:r w:rsidRPr="00BC36FC">
              <w:rPr>
                <w:sz w:val="16"/>
              </w:rPr>
              <w:t>1:8</w:t>
            </w:r>
          </w:p>
        </w:tc>
        <w:tc>
          <w:tcPr>
            <w:tcW w:w="276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rPr>
                <w:sz w:val="16"/>
              </w:rPr>
            </w:pPr>
            <w:r w:rsidRPr="00BC36FC">
              <w:rPr>
                <w:sz w:val="16"/>
              </w:rPr>
              <w:t>Från EU-budgeten finansierade Insatser för asylsökande och flyktingar</w:t>
            </w:r>
          </w:p>
        </w:tc>
        <w:tc>
          <w:tcPr>
            <w:tcW w:w="84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rPr>
                <w:sz w:val="16"/>
              </w:rPr>
            </w:pPr>
          </w:p>
        </w:tc>
        <w:tc>
          <w:tcPr>
            <w:tcW w:w="84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rPr>
                <w:sz w:val="16"/>
              </w:rPr>
            </w:pPr>
          </w:p>
        </w:tc>
        <w:tc>
          <w:tcPr>
            <w:tcW w:w="720" w:type="dxa"/>
            <w:tcBorders>
              <w:top w:val="nil"/>
              <w:left w:val="nil"/>
              <w:bottom w:val="single" w:sz="4" w:space="0" w:color="auto"/>
              <w:right w:val="nil"/>
            </w:tcBorders>
            <w:noWrap/>
            <w:vAlign w:val="bottom"/>
          </w:tcPr>
          <w:p w:rsidR="00BC36FC" w:rsidRPr="00BC36FC" w:rsidRDefault="00BC36FC">
            <w:pPr>
              <w:shd w:val="clear" w:color="000000" w:fill="auto"/>
              <w:spacing w:before="60" w:line="200" w:lineRule="exact"/>
              <w:rPr>
                <w:sz w:val="16"/>
              </w:rPr>
            </w:pPr>
          </w:p>
        </w:tc>
      </w:tr>
    </w:tbl>
    <w:p w:rsidR="00BC36FC" w:rsidRPr="00BC36FC" w:rsidRDefault="00BC36FC">
      <w:pPr>
        <w:pStyle w:val="Hemstlatt"/>
        <w:numPr>
          <w:ilvl w:val="0"/>
          <w:numId w:val="1"/>
        </w:numPr>
        <w:shd w:val="clear" w:color="000000" w:fill="auto"/>
      </w:pPr>
      <w:r w:rsidRPr="00BC36FC">
        <w:t>Riksdagen tillkännager för regeringen som sin mening vad som anförs i motionen om att genomföra en regularisering för pappersl</w:t>
      </w:r>
      <w:r w:rsidRPr="00BC36FC">
        <w:t>ö</w:t>
      </w:r>
      <w:r w:rsidRPr="00BC36FC">
        <w:t>sa personer i Sverige.</w:t>
      </w:r>
    </w:p>
    <w:p w:rsidR="00BC36FC" w:rsidRPr="00BC36FC" w:rsidRDefault="00BC36FC">
      <w:pPr>
        <w:pStyle w:val="Hemstlatt"/>
        <w:numPr>
          <w:ilvl w:val="0"/>
          <w:numId w:val="1"/>
        </w:numPr>
        <w:shd w:val="clear" w:color="000000" w:fill="auto"/>
      </w:pPr>
      <w:r w:rsidRPr="00BC36FC">
        <w:t>Riksdagen tillkännager för regeringen som sin mening vad som anförs i motionen om att införa en rätt till hälso- och sjukvård för gömda vuxna flyktingar.</w:t>
      </w:r>
    </w:p>
    <w:p w:rsidR="00BC36FC" w:rsidRPr="00BC36FC" w:rsidRDefault="00BC36FC">
      <w:pPr>
        <w:pStyle w:val="Hemstlatt"/>
        <w:numPr>
          <w:ilvl w:val="0"/>
          <w:numId w:val="1"/>
        </w:numPr>
        <w:shd w:val="clear" w:color="000000" w:fill="auto"/>
      </w:pPr>
      <w:r w:rsidRPr="00BC36FC">
        <w:t>Riksdagen tillkännager för regeringen som sin mening vad som anförs i motionen om att migrationsdomstolarna ska utse offentliga biträden.</w:t>
      </w:r>
    </w:p>
    <w:p w:rsidR="00BC36FC" w:rsidRPr="00BC36FC" w:rsidRDefault="00BC36FC">
      <w:pPr>
        <w:pStyle w:val="Hemstlatt"/>
        <w:numPr>
          <w:ilvl w:val="0"/>
          <w:numId w:val="1"/>
        </w:numPr>
        <w:shd w:val="clear" w:color="000000" w:fill="auto"/>
      </w:pPr>
      <w:r w:rsidRPr="00BC36FC">
        <w:t>Riksdagen tillkännager för regeringen som sin mening vad som anförs i motionen om att utvisa och avvisa färre personer från Sver</w:t>
      </w:r>
      <w:r w:rsidRPr="00BC36FC">
        <w:t>i</w:t>
      </w:r>
      <w:r w:rsidRPr="00BC36FC">
        <w:t>ge.</w:t>
      </w:r>
    </w:p>
    <w:p w:rsidR="00BC36FC" w:rsidRPr="00BC36FC" w:rsidRDefault="00BC36FC">
      <w:pPr>
        <w:pStyle w:val="Rubrik1"/>
        <w:shd w:val="clear" w:color="000000" w:fill="auto"/>
      </w:pPr>
      <w:r w:rsidRPr="00BC36FC">
        <w:lastRenderedPageBreak/>
        <w:t>Ett öppet Sverige</w:t>
      </w:r>
    </w:p>
    <w:p w:rsidR="00BC36FC" w:rsidRPr="00BC36FC" w:rsidRDefault="00BC36FC">
      <w:pPr>
        <w:shd w:val="clear" w:color="000000" w:fill="auto"/>
      </w:pPr>
      <w:r w:rsidRPr="00BC36FC">
        <w:t>Miljöpartiet anser att alla människor i grunden har samma rätt till vår geme</w:t>
      </w:r>
      <w:r w:rsidRPr="00BC36FC">
        <w:t>n</w:t>
      </w:r>
      <w:r w:rsidRPr="00BC36FC">
        <w:t>samma jord. Vi har en vision om fri rörlighet för alla människor och tror på mångfald som ett positivt värde. Vi behöver öppna upp fler vägar att komma hit för att arbeta. Därför har Miljöpartiet tillsammans med regeringen lagt förslag på regler som ökar möjligheterna till arbetskraftsinvandring. Det kommer att ha stor betydelse för Sveriges förmåga att möta både dagens och framtidens utmaningar på arbetsmarknaden. På detta sätt skapas möjligheter till laglig migration. Vi vill ha en öppnare värld. Det ska</w:t>
      </w:r>
      <w:r w:rsidRPr="00BC36FC">
        <w:t xml:space="preserve"> inte vara förbehållet oss inom EU att röra sig fritt över gränser. Migration är en positiv del av en alltmer globaliserad värld. Vårt samhälle berikas och görs mer dynamiskt.</w:t>
      </w:r>
    </w:p>
    <w:p w:rsidR="00BC36FC" w:rsidRPr="00BC36FC" w:rsidRDefault="00BC36FC">
      <w:pPr>
        <w:pStyle w:val="Rubrik2"/>
        <w:shd w:val="clear" w:color="000000" w:fill="auto"/>
      </w:pPr>
      <w:r w:rsidRPr="00BC36FC">
        <w:t>Lös problemen för de gömda i Sverige</w:t>
      </w:r>
    </w:p>
    <w:p w:rsidR="00BC36FC" w:rsidRPr="00BC36FC" w:rsidRDefault="00BC36FC">
      <w:pPr>
        <w:shd w:val="clear" w:color="000000" w:fill="auto"/>
      </w:pPr>
      <w:r w:rsidRPr="00BC36FC">
        <w:t>I Sverige idag finns minst 10 000 papperslösa personer. De bor i Sverige, många gånger sedan lång tid tillbaka. De flesta arbetar endera vitt eller svart och bidrar därmed till vår samhällsekonomi. Vi anser att det är både inhumant och ett slöseri med resurser att inte ge de papperslösa en möjlighet att fortsä</w:t>
      </w:r>
      <w:r w:rsidRPr="00BC36FC">
        <w:t>t</w:t>
      </w:r>
      <w:r w:rsidRPr="00BC36FC">
        <w:t xml:space="preserve">ta att bidra till vårt samhälle och vill därför genomföra en regularisering, det vill säga en tillfällig amnesti. </w:t>
      </w:r>
    </w:p>
    <w:p w:rsidR="00BC36FC" w:rsidRPr="00BC36FC" w:rsidRDefault="00BC36FC">
      <w:pPr>
        <w:pStyle w:val="Normaltindrag"/>
        <w:shd w:val="clear" w:color="000000" w:fill="auto"/>
      </w:pPr>
      <w:r w:rsidRPr="00BC36FC">
        <w:t>Amnestin ska gälla för alla dem som fick ett avvisningsbeslut enligt den tidigare utlänningslagstiftningen men som ändå fortfarande befinner sig i landet, som inte begått grova brott under vistelsen i Sverige och som på hjäl</w:t>
      </w:r>
      <w:r w:rsidRPr="00BC36FC">
        <w:t>p</w:t>
      </w:r>
      <w:r w:rsidRPr="00BC36FC">
        <w:t xml:space="preserve">ligt sätt kan visa sin identitet. För att finansiera en regularisering år 2009 tillskjuter Miljöpartiet 245 miljoner kronor. </w:t>
      </w:r>
    </w:p>
    <w:p w:rsidR="00BC36FC" w:rsidRPr="00BC36FC" w:rsidRDefault="00BC36FC">
      <w:pPr>
        <w:pStyle w:val="Rubrik2"/>
        <w:shd w:val="clear" w:color="000000" w:fill="auto"/>
      </w:pPr>
      <w:r w:rsidRPr="00BC36FC">
        <w:t>Rätt till skola samt hälso- och sjukvård för gömda flyktingar</w:t>
      </w:r>
    </w:p>
    <w:p w:rsidR="00BC36FC" w:rsidRPr="00BC36FC" w:rsidRDefault="00BC36FC">
      <w:pPr>
        <w:shd w:val="clear" w:color="000000" w:fill="auto"/>
      </w:pPr>
      <w:r w:rsidRPr="00BC36FC">
        <w:t>Flyktingar har, fram till dess besked kommit om att de avvisas eller utvisas, rätt till betald skolgång samt hälso- och sjukvård. För barn finns det därefter en rätt till hälso- och sjukvård fullt ut, men för vuxna endast för en akut hälso- och sjukvård. Vi anser inte detta vara humant, utan anser att alla gömda fly</w:t>
      </w:r>
      <w:r w:rsidRPr="00BC36FC">
        <w:t>k</w:t>
      </w:r>
      <w:r w:rsidRPr="00BC36FC">
        <w:t>tingar skall ha rätt till hälso- och sjukvård. Vi anser att denna rätt kan införas från och med den 1 januari 2009 till en beräknad kostnad av fem miljoner kronor. Därefter uppgår kostnaden till fem miljoner kronor per år.</w:t>
      </w:r>
    </w:p>
    <w:p w:rsidR="00BC36FC" w:rsidRPr="00BC36FC" w:rsidRDefault="00BC36FC">
      <w:pPr>
        <w:pStyle w:val="Rubrik2"/>
        <w:shd w:val="clear" w:color="000000" w:fill="auto"/>
      </w:pPr>
      <w:r w:rsidRPr="00BC36FC">
        <w:t>Migrationsdomstolarna skall utse offentliga biträden</w:t>
      </w:r>
    </w:p>
    <w:p w:rsidR="00BC36FC" w:rsidRPr="00BC36FC" w:rsidRDefault="00BC36FC">
      <w:pPr>
        <w:shd w:val="clear" w:color="000000" w:fill="auto"/>
      </w:pPr>
      <w:r w:rsidRPr="00BC36FC">
        <w:t>I dag utses offentliga biträden enligt utlänningslagen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biträdet/ombudet av domstolen och inte av den handläggande myndigheten. Skälet till detta är förstås att myndighe</w:t>
      </w:r>
      <w:r w:rsidRPr="00BC36FC">
        <w:t>ten kan ha ett intresse av att en viss person utses som biträde eller ombud, liksom att myndigheten inte hanterar ärendet helt objektivt. Miljöpartiet anser därför att offentliga biträden i utlänningsärenden skall utses av Migrationsdomstolen och inte av Migr</w:t>
      </w:r>
      <w:r w:rsidRPr="00BC36FC">
        <w:t>a</w:t>
      </w:r>
      <w:r w:rsidRPr="00BC36FC">
        <w:t>tionsverket. Föreslagna medel under anslaget 1:6 kan därför flyttas till ansl</w:t>
      </w:r>
      <w:r w:rsidRPr="00BC36FC">
        <w:t>a</w:t>
      </w:r>
      <w:r w:rsidRPr="00BC36FC">
        <w:t>get 1:5.</w:t>
      </w:r>
    </w:p>
    <w:p w:rsidR="00BC36FC" w:rsidRPr="00BC36FC" w:rsidRDefault="00BC36FC">
      <w:pPr>
        <w:pStyle w:val="Rubrik2"/>
        <w:shd w:val="clear" w:color="000000" w:fill="auto"/>
      </w:pPr>
      <w:r w:rsidRPr="00BC36FC">
        <w:t>Utvisa och avvisa färre</w:t>
      </w:r>
    </w:p>
    <w:p w:rsidR="00BC36FC" w:rsidRPr="00BC36FC" w:rsidRDefault="00BC36FC">
      <w:pPr>
        <w:shd w:val="clear" w:color="000000" w:fill="auto"/>
      </w:pPr>
      <w:r w:rsidRPr="00BC36FC">
        <w:t>Ingen del av den svenska asylprocessen är så inhuman som den del där ett utvisnings- eller avvisningsbeslut skall verkställas. Många gånger sker ett otal försök att verkställa ett beslut, utan att det angivna mottagarlandet ens vill befatta sig med individen i fråga. Systemet är dessutom oerhört kostsamt och administrativt svåröverskådligt. Med anledning av att man försöker avvisa personer många gånger om utan att hemländerna vill ta emot dem, anser vi att det ska finnas ett tak för hur många gånger försök</w:t>
      </w:r>
      <w:r w:rsidRPr="00BC36FC">
        <w:t xml:space="preserve"> att utvisa en person skall få ske. Samordningen mellan polis och Migrationsverket brister också. Ett led i en effektivisering av verkställighetsprocessen kan vara att renodla ansvaret till endera myndigheten. Ett annat led kan vara att nya riktlinjer utfärdas för hur verkställighet får ske och hur många gånger ett försök kan ske. Vi bed</w:t>
      </w:r>
      <w:r w:rsidRPr="00BC36FC">
        <w:t>ö</w:t>
      </w:r>
      <w:r w:rsidRPr="00BC36FC">
        <w:t>mer att det finns stora effektiviseringsvinster att hämta här, särskilt om Sve</w:t>
      </w:r>
      <w:r w:rsidRPr="00BC36FC">
        <w:softHyphen/>
        <w:t>rige börjar tillämpa en mer human flyktingpolitik, där fler får stanna. Vi b</w:t>
      </w:r>
      <w:r w:rsidRPr="00BC36FC">
        <w:t>e</w:t>
      </w:r>
      <w:r w:rsidRPr="00BC36FC">
        <w:t>dömer att det gå</w:t>
      </w:r>
      <w:r w:rsidRPr="00BC36FC">
        <w:t>r att spara 130 miljoner kronor.</w:t>
      </w:r>
    </w:p>
    <w:p w:rsidR="00BC36FC" w:rsidRPr="00BC36FC" w:rsidRDefault="00BC36FC">
      <w:pPr>
        <w:pStyle w:val="Rubrik2"/>
        <w:shd w:val="clear" w:color="000000" w:fill="auto"/>
      </w:pPr>
      <w:r w:rsidRPr="00BC36FC">
        <w:t>Besparingar på Migrationsverket</w:t>
      </w:r>
    </w:p>
    <w:p w:rsidR="00BC36FC" w:rsidRPr="00BC36FC" w:rsidRDefault="00BC36FC">
      <w:pPr>
        <w:shd w:val="clear" w:color="000000" w:fill="auto"/>
      </w:pPr>
      <w:r w:rsidRPr="00BC36FC">
        <w:t>Miljöpartiet anser att Migrationsverkets arbete kan effektiviseras betydligt och föreslår därför en minskning av dess anslag på 40 miljoner kronor under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6FC">
        <w:trPr>
          <w:cantSplit/>
        </w:trPr>
        <w:tc>
          <w:tcPr>
            <w:tcW w:w="3046" w:type="dxa"/>
          </w:tcPr>
          <w:p w:rsidR="00BC36FC" w:rsidRPr="00BC36FC" w:rsidRDefault="00BC36FC">
            <w:pPr>
              <w:pStyle w:val="UnderskriftDatum"/>
              <w:shd w:val="clear" w:color="000000" w:fill="auto"/>
              <w:spacing w:before="240"/>
            </w:pPr>
            <w:r w:rsidRPr="00BC36FC">
              <w:t>Stockholm den 7 oktober 2008</w:t>
            </w:r>
          </w:p>
        </w:tc>
        <w:tc>
          <w:tcPr>
            <w:tcW w:w="3047" w:type="dxa"/>
          </w:tcPr>
          <w:p w:rsidR="00BC36FC" w:rsidRPr="00BC36FC" w:rsidRDefault="00BC36FC">
            <w:pPr>
              <w:pStyle w:val="Underskrifter"/>
              <w:shd w:val="clear" w:color="000000" w:fill="auto"/>
              <w:spacing w:before="240"/>
            </w:pPr>
          </w:p>
        </w:tc>
      </w:tr>
      <w:tr w:rsidR="00000000" w:rsidRPr="00BC36FC">
        <w:trPr>
          <w:cantSplit/>
        </w:trPr>
        <w:tc>
          <w:tcPr>
            <w:tcW w:w="3046" w:type="dxa"/>
          </w:tcPr>
          <w:p w:rsidR="00BC36FC" w:rsidRPr="00BC36FC" w:rsidRDefault="00BC36FC">
            <w:pPr>
              <w:pStyle w:val="Underskrifter"/>
              <w:shd w:val="clear" w:color="000000" w:fill="auto"/>
            </w:pPr>
            <w:r w:rsidRPr="00BC36FC">
              <w:t>Gunvor G Ericson (mp)</w:t>
            </w:r>
          </w:p>
        </w:tc>
        <w:tc>
          <w:tcPr>
            <w:tcW w:w="3046" w:type="dxa"/>
          </w:tcPr>
          <w:p w:rsidR="00BC36FC" w:rsidRPr="00BC36FC" w:rsidRDefault="00BC36FC">
            <w:pPr>
              <w:pStyle w:val="Underskrifter"/>
              <w:shd w:val="clear" w:color="000000" w:fill="auto"/>
            </w:pPr>
          </w:p>
        </w:tc>
      </w:tr>
      <w:tr w:rsidR="00000000" w:rsidRPr="00BC36FC">
        <w:trPr>
          <w:cantSplit/>
        </w:trPr>
        <w:tc>
          <w:tcPr>
            <w:tcW w:w="3046" w:type="dxa"/>
          </w:tcPr>
          <w:p w:rsidR="00BC36FC" w:rsidRPr="00BC36FC" w:rsidRDefault="00BC36FC">
            <w:pPr>
              <w:pStyle w:val="Underskrifter"/>
              <w:shd w:val="clear" w:color="000000" w:fill="auto"/>
            </w:pPr>
            <w:r w:rsidRPr="00BC36FC">
              <w:t>Bodil Ceballos (mp)</w:t>
            </w:r>
          </w:p>
        </w:tc>
        <w:tc>
          <w:tcPr>
            <w:tcW w:w="3046" w:type="dxa"/>
          </w:tcPr>
          <w:p w:rsidR="00BC36FC" w:rsidRPr="00BC36FC" w:rsidRDefault="00BC36FC">
            <w:pPr>
              <w:pStyle w:val="Underskrifter"/>
              <w:shd w:val="clear" w:color="000000" w:fill="auto"/>
            </w:pPr>
            <w:r w:rsidRPr="00BC36FC">
              <w:t>Thomas Nihlén (mp)</w:t>
            </w:r>
          </w:p>
        </w:tc>
      </w:tr>
    </w:tbl>
    <w:p w:rsidR="00BC36FC" w:rsidRPr="00BC36FC" w:rsidRDefault="00BC36FC">
      <w:pPr>
        <w:pStyle w:val="Normaltindrag"/>
        <w:shd w:val="clear" w:color="000000" w:fill="auto"/>
      </w:pPr>
    </w:p>
    <w:sectPr w:rsidR="00000000" w:rsidRPr="00BC36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6FC" w:rsidRPr="00BC36FC" w:rsidRDefault="00BC36FC">
      <w:r w:rsidRPr="00BC36FC">
        <w:separator/>
      </w:r>
    </w:p>
  </w:endnote>
  <w:endnote w:type="continuationSeparator" w:id="0">
    <w:p w:rsidR="00BC36FC" w:rsidRPr="00BC36FC" w:rsidRDefault="00BC36FC">
      <w:r w:rsidRPr="00BC3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6FC" w:rsidRPr="00BC36FC" w:rsidRDefault="00BC36FC">
    <w:pPr>
      <w:pStyle w:val="Sidfot"/>
    </w:pPr>
    <w:r w:rsidRPr="00BC36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23387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FC" w:rsidRDefault="00BC36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36FC" w:rsidRDefault="00BC36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6FC" w:rsidRPr="00BC36FC" w:rsidRDefault="00BC36FC">
    <w:pPr>
      <w:pStyle w:val="Sidfot"/>
    </w:pPr>
    <w:r w:rsidRPr="00BC36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4812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FC" w:rsidRDefault="00BC36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36FC" w:rsidRDefault="00BC36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6FC" w:rsidRPr="00BC36FC" w:rsidRDefault="00BC36FC">
    <w:pPr>
      <w:pStyle w:val="Sidfot"/>
    </w:pPr>
    <w:r w:rsidRPr="00BC36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7427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FC" w:rsidRDefault="00BC36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36FC" w:rsidRDefault="00BC36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6FC" w:rsidRPr="00BC36FC" w:rsidRDefault="00BC36FC">
      <w:r w:rsidRPr="00BC36FC">
        <w:separator/>
      </w:r>
    </w:p>
  </w:footnote>
  <w:footnote w:type="continuationSeparator" w:id="0">
    <w:p w:rsidR="00BC36FC" w:rsidRPr="00BC36FC" w:rsidRDefault="00BC36FC">
      <w:r w:rsidRPr="00BC3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6FC" w:rsidRPr="00BC36FC" w:rsidRDefault="00BC36FC">
    <w:pPr>
      <w:pStyle w:val="Sidhuvud"/>
    </w:pPr>
    <w:r w:rsidRPr="00BC36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378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FC" w:rsidRDefault="00BC36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6FC" w:rsidRDefault="00BC36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6FC" w:rsidRPr="00BC36FC" w:rsidRDefault="00BC36FC">
    <w:pPr>
      <w:pStyle w:val="Sidhuvud"/>
    </w:pPr>
    <w:r w:rsidRPr="00BC36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7160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FC" w:rsidRDefault="00BC36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6FC" w:rsidRDefault="00BC36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6FC" w:rsidRPr="00BC36FC" w:rsidRDefault="00BC36FC">
    <w:pPr>
      <w:pStyle w:val="FSHNormal"/>
      <w:tabs>
        <w:tab w:val="right" w:pos="5840"/>
      </w:tabs>
    </w:pPr>
    <w:r w:rsidRPr="00BC36FC">
      <w:br/>
    </w:r>
    <w:r w:rsidRPr="00BC36FC">
      <w:fldChar w:fldCharType="begin" w:fldLock="1"/>
    </w:r>
    <w:r w:rsidRPr="00BC36FC">
      <w:instrText xml:space="preserve"> DOCPROPERTY</w:instrText>
    </w:r>
    <w:r w:rsidRPr="00BC36FC">
      <w:rPr>
        <w:sz w:val="18"/>
      </w:rPr>
      <w:instrText xml:space="preserve"> "YearUser" *\charformat </w:instrText>
    </w:r>
    <w:r w:rsidRPr="00BC36FC">
      <w:fldChar w:fldCharType="separate"/>
    </w:r>
    <w:r w:rsidRPr="00BC36FC">
      <w:t>2008/09</w:t>
    </w:r>
    <w:r w:rsidRPr="00BC36FC">
      <w:fldChar w:fldCharType="end"/>
    </w:r>
    <w:r w:rsidRPr="00BC36FC">
      <w:t xml:space="preserve"> </w:t>
    </w:r>
    <w:r w:rsidRPr="00BC36FC">
      <w:tab/>
      <w:t xml:space="preserve">mnr: </w:t>
    </w:r>
    <w:r w:rsidRPr="00BC36FC">
      <w:fldChar w:fldCharType="begin" w:fldLock="1"/>
    </w:r>
    <w:r w:rsidRPr="00BC36FC">
      <w:instrText xml:space="preserve"> DOCPROPERTY</w:instrText>
    </w:r>
    <w:r w:rsidRPr="00BC36FC">
      <w:rPr>
        <w:sz w:val="18"/>
      </w:rPr>
      <w:instrText xml:space="preserve"> "Motionsnummer" *\charformat </w:instrText>
    </w:r>
    <w:r w:rsidRPr="00BC36FC">
      <w:fldChar w:fldCharType="separate"/>
    </w:r>
    <w:r w:rsidRPr="00BC36FC">
      <w:t>Sf378</w:t>
    </w:r>
    <w:r w:rsidRPr="00BC36FC">
      <w:fldChar w:fldCharType="end"/>
    </w:r>
    <w:r w:rsidRPr="00BC36FC">
      <w:br/>
    </w:r>
    <w:r w:rsidRPr="00BC36FC">
      <w:fldChar w:fldCharType="begin" w:fldLock="1"/>
    </w:r>
    <w:r w:rsidRPr="00BC36FC">
      <w:instrText xml:space="preserve"> DOCPROPERTY</w:instrText>
    </w:r>
    <w:r w:rsidRPr="00BC36FC">
      <w:rPr>
        <w:sz w:val="18"/>
      </w:rPr>
      <w:instrText xml:space="preserve"> "Samling" *\charformat </w:instrText>
    </w:r>
    <w:r w:rsidRPr="00BC36FC">
      <w:fldChar w:fldCharType="end"/>
    </w:r>
    <w:r w:rsidRPr="00BC36FC">
      <w:tab/>
      <w:t xml:space="preserve">pnr: </w:t>
    </w:r>
    <w:r w:rsidRPr="00BC36FC">
      <w:fldChar w:fldCharType="begin" w:fldLock="1"/>
    </w:r>
    <w:r w:rsidRPr="00BC36FC">
      <w:instrText xml:space="preserve"> DOCPROPERTY</w:instrText>
    </w:r>
    <w:r w:rsidRPr="00BC36FC">
      <w:rPr>
        <w:sz w:val="18"/>
      </w:rPr>
      <w:instrText xml:space="preserve"> "Partinummer" *\charformat </w:instrText>
    </w:r>
    <w:r w:rsidRPr="00BC36FC">
      <w:fldChar w:fldCharType="separate"/>
    </w:r>
    <w:r w:rsidRPr="00BC36FC">
      <w:t>mp811</w:t>
    </w:r>
    <w:r w:rsidRPr="00BC36FC">
      <w:fldChar w:fldCharType="end"/>
    </w:r>
  </w:p>
  <w:p w:rsidR="00BC36FC" w:rsidRPr="00BC36FC" w:rsidRDefault="00BC36FC">
    <w:pPr>
      <w:pStyle w:val="FSHRub1"/>
    </w:pPr>
    <w:r w:rsidRPr="00BC36FC">
      <w:t>Motion till riksdagen</w:t>
    </w:r>
    <w:r w:rsidRPr="00BC36FC">
      <w:br/>
    </w:r>
    <w:r w:rsidRPr="00BC36FC">
      <w:fldChar w:fldCharType="begin" w:fldLock="1"/>
    </w:r>
    <w:r w:rsidRPr="00BC36FC">
      <w:instrText xml:space="preserve"> DOCPROPERTY "YearUser" *\charformat </w:instrText>
    </w:r>
    <w:r w:rsidRPr="00BC36FC">
      <w:fldChar w:fldCharType="separate"/>
    </w:r>
    <w:r w:rsidRPr="00BC36FC">
      <w:t>2008/09</w:t>
    </w:r>
    <w:r w:rsidRPr="00BC36FC">
      <w:fldChar w:fldCharType="end"/>
    </w:r>
    <w:r w:rsidRPr="00BC36FC">
      <w:t>:</w:t>
    </w:r>
    <w:r w:rsidRPr="00BC36FC">
      <w:fldChar w:fldCharType="begin" w:fldLock="1"/>
    </w:r>
    <w:r w:rsidRPr="00BC36FC">
      <w:instrText xml:space="preserve"> DOCPROPERTY "Motionsnummer" *\charformat </w:instrText>
    </w:r>
    <w:r w:rsidRPr="00BC36FC">
      <w:fldChar w:fldCharType="separate"/>
    </w:r>
    <w:r w:rsidRPr="00BC36FC">
      <w:t>Sf378</w:t>
    </w:r>
    <w:r w:rsidRPr="00BC36FC">
      <w:fldChar w:fldCharType="end"/>
    </w:r>
  </w:p>
  <w:p w:rsidR="00BC36FC" w:rsidRPr="00BC36FC" w:rsidRDefault="00BC36FC">
    <w:pPr>
      <w:pStyle w:val="FSHNormalS5"/>
    </w:pPr>
    <w:r w:rsidRPr="00BC36FC">
      <w:fldChar w:fldCharType="begin" w:fldLock="1"/>
    </w:r>
    <w:r w:rsidRPr="00BC36FC">
      <w:instrText xml:space="preserve"> DOCPROPERTY "MotionarText" *\charformat </w:instrText>
    </w:r>
    <w:r w:rsidRPr="00BC36FC">
      <w:fldChar w:fldCharType="separate"/>
    </w:r>
    <w:r w:rsidRPr="00BC36FC">
      <w:t>av Gunvor G Ericson m.fl. (mp)</w:t>
    </w:r>
    <w:r w:rsidRPr="00BC36FC">
      <w:fldChar w:fldCharType="end"/>
    </w:r>
    <w:r w:rsidRPr="00BC36FC">
      <w:br/>
    </w:r>
    <w:r w:rsidRPr="00BC36FC">
      <w:fldChar w:fldCharType="begin" w:fldLock="1"/>
    </w:r>
    <w:r w:rsidRPr="00BC36FC">
      <w:instrText xml:space="preserve"> DOCPROPERTY "SvarFrasKort" *\charformat </w:instrText>
    </w:r>
    <w:r w:rsidRPr="00BC36FC">
      <w:fldChar w:fldCharType="end"/>
    </w:r>
  </w:p>
  <w:p w:rsidR="00BC36FC" w:rsidRPr="00BC36FC" w:rsidRDefault="00BC36FC">
    <w:pPr>
      <w:pStyle w:val="FSHTitel"/>
    </w:pPr>
    <w:r w:rsidRPr="00BC36FC">
      <w:fldChar w:fldCharType="begin" w:fldLock="1"/>
    </w:r>
    <w:r w:rsidRPr="00BC36FC">
      <w:instrText xml:space="preserve"> DOCPROPERTY</w:instrText>
    </w:r>
    <w:r w:rsidRPr="00BC36FC">
      <w:rPr>
        <w:sz w:val="18"/>
      </w:rPr>
      <w:instrText xml:space="preserve"> "RubrikSvar" *\charformat </w:instrText>
    </w:r>
    <w:r w:rsidRPr="00BC36FC">
      <w:fldChar w:fldCharType="separate"/>
    </w:r>
    <w:r w:rsidRPr="00BC36FC">
      <w:t>Utgiftsområde 8 Migration</w:t>
    </w:r>
    <w:r w:rsidRPr="00BC36FC">
      <w:fldChar w:fldCharType="end"/>
    </w:r>
  </w:p>
  <w:p w:rsidR="00BC36FC" w:rsidRPr="00BC36FC" w:rsidRDefault="00BC36FC">
    <w:pPr>
      <w:pStyle w:val="Normal00"/>
    </w:pPr>
  </w:p>
  <w:p w:rsidR="00BC36FC" w:rsidRPr="00BC36FC" w:rsidRDefault="00BC36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DB44D8"/>
    <w:multiLevelType w:val="hybridMultilevel"/>
    <w:tmpl w:val="ABFC84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A8A6FC3"/>
    <w:multiLevelType w:val="hybridMultilevel"/>
    <w:tmpl w:val="129662B2"/>
    <w:lvl w:ilvl="0" w:tplc="C35E64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DA3C1C"/>
    <w:multiLevelType w:val="hybridMultilevel"/>
    <w:tmpl w:val="75001404"/>
    <w:lvl w:ilvl="0" w:tplc="023E4E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1362958">
    <w:abstractNumId w:val="8"/>
  </w:num>
  <w:num w:numId="2" w16cid:durableId="1783838395">
    <w:abstractNumId w:val="9"/>
  </w:num>
  <w:num w:numId="3" w16cid:durableId="1941142143">
    <w:abstractNumId w:val="8"/>
  </w:num>
  <w:num w:numId="4" w16cid:durableId="1062409257">
    <w:abstractNumId w:val="9"/>
  </w:num>
  <w:num w:numId="5" w16cid:durableId="542598356">
    <w:abstractNumId w:val="16"/>
  </w:num>
  <w:num w:numId="6" w16cid:durableId="1858348772">
    <w:abstractNumId w:val="10"/>
  </w:num>
  <w:num w:numId="7" w16cid:durableId="975795263">
    <w:abstractNumId w:val="11"/>
  </w:num>
  <w:num w:numId="8" w16cid:durableId="1650818612">
    <w:abstractNumId w:val="14"/>
  </w:num>
  <w:num w:numId="9" w16cid:durableId="1992828244">
    <w:abstractNumId w:val="8"/>
  </w:num>
  <w:num w:numId="10" w16cid:durableId="1108279631">
    <w:abstractNumId w:val="3"/>
  </w:num>
  <w:num w:numId="11" w16cid:durableId="1400061058">
    <w:abstractNumId w:val="2"/>
  </w:num>
  <w:num w:numId="12" w16cid:durableId="2080244425">
    <w:abstractNumId w:val="1"/>
  </w:num>
  <w:num w:numId="13" w16cid:durableId="83192877">
    <w:abstractNumId w:val="0"/>
  </w:num>
  <w:num w:numId="14" w16cid:durableId="951016612">
    <w:abstractNumId w:val="9"/>
  </w:num>
  <w:num w:numId="15" w16cid:durableId="1124349474">
    <w:abstractNumId w:val="7"/>
  </w:num>
  <w:num w:numId="16" w16cid:durableId="1690252056">
    <w:abstractNumId w:val="6"/>
  </w:num>
  <w:num w:numId="17" w16cid:durableId="1281911971">
    <w:abstractNumId w:val="5"/>
  </w:num>
  <w:num w:numId="18" w16cid:durableId="84151065">
    <w:abstractNumId w:val="4"/>
  </w:num>
  <w:num w:numId="19" w16cid:durableId="1745297952">
    <w:abstractNumId w:val="12"/>
  </w:num>
  <w:num w:numId="20" w16cid:durableId="1563952612">
    <w:abstractNumId w:val="13"/>
  </w:num>
  <w:num w:numId="21" w16cid:durableId="624047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89ABCACB-191A-460E-9D0D-F493EEE6F9F1},{44E1179A-EAF6-4300-B094-8294DC01CCC9},{678A9254-59ED-452D-AB16-7DA16C224668}"/>
  </w:docVars>
  <w:rsids>
    <w:rsidRoot w:val="00517A6D"/>
    <w:rsid w:val="00517A6D"/>
    <w:rsid w:val="00BC36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6ABDF3A-4C11-4B3A-9164-04199457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4861</Characters>
  <Application>Microsoft Office Word</Application>
  <DocSecurity>4</DocSecurity>
  <Lines>147</Lines>
  <Paragraphs>69</Paragraphs>
  <ScaleCrop>false</ScaleCrop>
  <HeadingPairs>
    <vt:vector size="2" baseType="variant">
      <vt:variant>
        <vt:lpstr>Rubrik</vt:lpstr>
      </vt:variant>
      <vt:variant>
        <vt:i4>1</vt:i4>
      </vt:variant>
    </vt:vector>
  </HeadingPairs>
  <TitlesOfParts>
    <vt:vector size="1" baseType="lpstr">
      <vt:lpstr>mp811</vt:lpstr>
    </vt:vector>
  </TitlesOfParts>
  <Company>Riksdagen</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mp811</dc:title>
  <dc:subject>mp811</dc:subject>
  <dc:creator>Riksdagen</dc:creator>
  <cp:keywords>Riksdagen</cp:keywords>
  <dc:description>TKG-ktrl, MSMQ4mb, PersReg-Distribution mm b-&gt;ny fplogga c-&gt;nygamla s-rosen</dc:description>
  <cp:lastModifiedBy>Lars Brink</cp:lastModifiedBy>
  <cp:revision>2</cp:revision>
  <cp:lastPrinted>2008-11-12T12:46:00Z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(mp)\Ceballos, Bodil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20082009000001090112000008110075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20082009000001090112000008110075</vt:lpwstr>
  </property>
  <property fmtid="{D5CDD505-2E9C-101B-9397-08002B2CF9AE}" pid="50" name="nummer">
    <vt:lpwstr>378</vt:lpwstr>
  </property>
  <property fmtid="{D5CDD505-2E9C-101B-9397-08002B2CF9AE}" pid="51" name="utskottsbeteckning">
    <vt:lpwstr>Sf</vt:lpwstr>
  </property>
  <property fmtid="{D5CDD505-2E9C-101B-9397-08002B2CF9AE}" pid="52" name="GlobalUID">
    <vt:lpwstr>{986D42BE-6706-4A2D-BC29-AF9F62F98ECD}</vt:lpwstr>
  </property>
  <property fmtid="{D5CDD505-2E9C-101B-9397-08002B2CF9AE}" pid="53" name="Överföringar">
    <vt:i4>0</vt:i4>
  </property>
  <property fmtid="{D5CDD505-2E9C-101B-9397-08002B2CF9AE}" pid="54" name="Checksum">
    <vt:lpwstr>*1010936122300*</vt:lpwstr>
  </property>
  <property fmtid="{D5CDD505-2E9C-101B-9397-08002B2CF9AE}" pid="55" name="skuggnummer">
    <vt:lpwstr>3635</vt:lpwstr>
  </property>
  <property fmtid="{D5CDD505-2E9C-101B-9397-08002B2CF9AE}" pid="56" name="urixVersion">
    <vt:lpwstr>3.2.0.8</vt:lpwstr>
  </property>
  <property fmtid="{D5CDD505-2E9C-101B-9397-08002B2CF9AE}" pid="57" name="urixOrigin">
    <vt:lpwstr>090402 20:05:02.191</vt:lpwstr>
  </property>
  <property fmtid="{D5CDD505-2E9C-101B-9397-08002B2CF9AE}" pid="58" name="urixGuid">
    <vt:lpwstr>{A4E1939A-8BDB-46FC-8563-075F06275F45}</vt:lpwstr>
  </property>
</Properties>
</file>