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C4F24">
        <w:tblPrEx>
          <w:tblCellMar>
            <w:top w:w="0" w:type="dxa"/>
            <w:left w:w="0" w:type="dxa"/>
            <w:bottom w:w="0" w:type="dxa"/>
            <w:right w:w="0" w:type="dxa"/>
          </w:tblCellMar>
        </w:tblPrEx>
        <w:trPr>
          <w:gridAfter w:val="2"/>
          <w:wAfter w:w="1758" w:type="dxa"/>
          <w:cantSplit/>
          <w:trHeight w:val="1320"/>
        </w:trPr>
        <w:tc>
          <w:tcPr>
            <w:tcW w:w="5897" w:type="dxa"/>
          </w:tcPr>
          <w:p w:rsidR="00677611" w:rsidRPr="00BC4F24" w:rsidRDefault="00677611">
            <w:pPr>
              <w:pStyle w:val="HuvudRubrik"/>
            </w:pPr>
            <w:r w:rsidRPr="00BC4F24">
              <w:t>Regeringskansliet</w:t>
            </w:r>
          </w:p>
          <w:p w:rsidR="00677611" w:rsidRPr="00BC4F24" w:rsidRDefault="00677611">
            <w:pPr>
              <w:pStyle w:val="HuvudRubrik"/>
            </w:pPr>
            <w:r w:rsidRPr="00BC4F24">
              <w:t>Faktapromemoria  2005/06:FPM87</w:t>
            </w:r>
          </w:p>
        </w:tc>
      </w:tr>
      <w:tr w:rsidR="00000000" w:rsidRPr="00BC4F24">
        <w:tblPrEx>
          <w:tblCellMar>
            <w:top w:w="0" w:type="dxa"/>
            <w:left w:w="0" w:type="dxa"/>
            <w:bottom w:w="0" w:type="dxa"/>
            <w:right w:w="0" w:type="dxa"/>
          </w:tblCellMar>
        </w:tblPrEx>
        <w:trPr>
          <w:gridAfter w:val="2"/>
          <w:wAfter w:w="1758" w:type="dxa"/>
          <w:cantSplit/>
          <w:trHeight w:val="240"/>
        </w:trPr>
        <w:tc>
          <w:tcPr>
            <w:tcW w:w="5897" w:type="dxa"/>
          </w:tcPr>
          <w:p w:rsidR="00677611" w:rsidRPr="00BC4F24" w:rsidRDefault="00677611">
            <w:pPr>
              <w:pStyle w:val="HuvudRubrik"/>
              <w:rPr>
                <w:sz w:val="28"/>
              </w:rPr>
            </w:pPr>
            <w:r w:rsidRPr="00BC4F24">
              <w:t>Förordning om regler för köpkraftspariteter</w:t>
            </w:r>
          </w:p>
        </w:tc>
      </w:tr>
      <w:tr w:rsidR="00105769" w:rsidRPr="00BC4F24">
        <w:tblPrEx>
          <w:tblCellMar>
            <w:top w:w="0" w:type="dxa"/>
            <w:left w:w="0" w:type="dxa"/>
            <w:bottom w:w="0" w:type="dxa"/>
            <w:right w:w="0" w:type="dxa"/>
          </w:tblCellMar>
        </w:tblPrEx>
        <w:trPr>
          <w:cantSplit/>
          <w:trHeight w:val="285"/>
        </w:trPr>
        <w:tc>
          <w:tcPr>
            <w:tcW w:w="7655" w:type="dxa"/>
            <w:gridSpan w:val="3"/>
          </w:tcPr>
          <w:p w:rsidR="00105769" w:rsidRPr="00BC4F24" w:rsidRDefault="00105769">
            <w:pPr>
              <w:pStyle w:val="Departement"/>
              <w:rPr>
                <w:sz w:val="28"/>
              </w:rPr>
            </w:pPr>
            <w:r w:rsidRPr="00BC4F24">
              <w:t>Finansdepartementet</w:t>
            </w:r>
          </w:p>
        </w:tc>
      </w:tr>
      <w:tr w:rsidR="00105769" w:rsidRPr="00BC4F24">
        <w:tblPrEx>
          <w:tblCellMar>
            <w:top w:w="0" w:type="dxa"/>
            <w:left w:w="0" w:type="dxa"/>
            <w:bottom w:w="0" w:type="dxa"/>
            <w:right w:w="0" w:type="dxa"/>
          </w:tblCellMar>
        </w:tblPrEx>
        <w:trPr>
          <w:cantSplit/>
          <w:trHeight w:val="240"/>
        </w:trPr>
        <w:tc>
          <w:tcPr>
            <w:tcW w:w="7655" w:type="dxa"/>
            <w:gridSpan w:val="3"/>
          </w:tcPr>
          <w:p w:rsidR="00105769" w:rsidRPr="00BC4F24" w:rsidRDefault="00105769">
            <w:pPr>
              <w:pStyle w:val="Dokumentdatum"/>
            </w:pPr>
            <w:r w:rsidRPr="00BC4F24">
              <w:t>2006-05-03</w:t>
            </w:r>
          </w:p>
        </w:tc>
      </w:tr>
      <w:tr w:rsidR="00105769" w:rsidRPr="00BC4F24">
        <w:tblPrEx>
          <w:tblCellMar>
            <w:top w:w="0" w:type="dxa"/>
            <w:left w:w="0" w:type="dxa"/>
            <w:bottom w:w="0" w:type="dxa"/>
            <w:right w:w="0" w:type="dxa"/>
          </w:tblCellMar>
        </w:tblPrEx>
        <w:trPr>
          <w:cantSplit/>
          <w:trHeight w:val="726"/>
        </w:trPr>
        <w:tc>
          <w:tcPr>
            <w:tcW w:w="7655" w:type="dxa"/>
            <w:gridSpan w:val="3"/>
            <w:vAlign w:val="bottom"/>
          </w:tcPr>
          <w:p w:rsidR="00105769" w:rsidRPr="00BC4F24" w:rsidRDefault="00105769">
            <w:pPr>
              <w:pStyle w:val="Dokumentbeteckning"/>
            </w:pPr>
            <w:r w:rsidRPr="00BC4F24">
              <w:t>Dokumentbeteckning</w:t>
            </w:r>
          </w:p>
        </w:tc>
      </w:tr>
      <w:tr w:rsidR="00105769" w:rsidRPr="00BC4F24">
        <w:tblPrEx>
          <w:tblCellMar>
            <w:top w:w="0" w:type="dxa"/>
            <w:left w:w="0" w:type="dxa"/>
            <w:bottom w:w="0" w:type="dxa"/>
            <w:right w:w="0" w:type="dxa"/>
          </w:tblCellMar>
        </w:tblPrEx>
        <w:trPr>
          <w:gridAfter w:val="1"/>
          <w:wAfter w:w="1560" w:type="dxa"/>
          <w:trHeight w:val="120"/>
        </w:trPr>
        <w:tc>
          <w:tcPr>
            <w:tcW w:w="6095" w:type="dxa"/>
            <w:gridSpan w:val="2"/>
          </w:tcPr>
          <w:p w:rsidR="00105769" w:rsidRPr="00BC4F24" w:rsidRDefault="00105769" w:rsidP="00105769">
            <w:bookmarkStart w:id="0" w:name="KomNr"/>
            <w:bookmarkEnd w:id="0"/>
            <w:r w:rsidRPr="00BC4F24">
              <w:t>KOM (2006) 135</w:t>
            </w:r>
          </w:p>
        </w:tc>
      </w:tr>
      <w:tr w:rsidR="00105769" w:rsidRPr="00BC4F24">
        <w:tblPrEx>
          <w:tblCellMar>
            <w:top w:w="0" w:type="dxa"/>
            <w:left w:w="0" w:type="dxa"/>
            <w:bottom w:w="0" w:type="dxa"/>
            <w:right w:w="0" w:type="dxa"/>
          </w:tblCellMar>
        </w:tblPrEx>
        <w:trPr>
          <w:gridAfter w:val="1"/>
          <w:wAfter w:w="1560" w:type="dxa"/>
          <w:trHeight w:val="120"/>
        </w:trPr>
        <w:tc>
          <w:tcPr>
            <w:tcW w:w="6095" w:type="dxa"/>
            <w:gridSpan w:val="2"/>
          </w:tcPr>
          <w:p w:rsidR="00105769" w:rsidRPr="00BC4F24" w:rsidRDefault="00105769" w:rsidP="00105769">
            <w:pPr>
              <w:pStyle w:val="Dokumentbeteckning-titel"/>
            </w:pPr>
            <w:r w:rsidRPr="00BC4F24">
              <w:t>Förslag till Europaparlamentets och rådets förordning om fastställande av gemensamma regler för rapporteringen av grunduppgifter om köpkraftspariteter och för beräkningen och spridningen av dessa</w:t>
            </w:r>
          </w:p>
        </w:tc>
      </w:tr>
    </w:tbl>
    <w:p w:rsidR="00105769" w:rsidRPr="00BC4F24" w:rsidRDefault="00105769"/>
    <w:p w:rsidR="00105769" w:rsidRPr="00BC4F24" w:rsidRDefault="00105769">
      <w:pPr>
        <w:pStyle w:val="Rubrik1"/>
        <w:numPr>
          <w:ilvl w:val="0"/>
          <w:numId w:val="0"/>
        </w:numPr>
      </w:pPr>
      <w:r w:rsidRPr="00BC4F24">
        <w:t>Sammanfattning</w:t>
      </w:r>
    </w:p>
    <w:p w:rsidR="00105769" w:rsidRPr="00BC4F24" w:rsidRDefault="00105769">
      <w:pPr>
        <w:ind w:right="-58"/>
      </w:pPr>
      <w:r w:rsidRPr="00BC4F24">
        <w:t>Genom köpkraftspariteter omvandlas ekonomiska indikatorer uttryckta i nominell nationell valuta till en gemensam artificiell valuta, kallad köpkraftsstandard, som utjämnar olika nationella valutors köpkraft. Det huvudsakliga syftet är att få prisuppgifter som möjliggör internationella BNP-jämförelser, men köpkraftspariteter används också vid fördelning av medel från struktur- och sammanhållningsfonderna och som korrigeringskoefficienter för löner och pensioner för anställda i Europeiska gemenskapen. Dessutom används köpkraftspariteter vid prisjämförelser inom många av gemenskapens politikområden, särskilt när det gäller konsumentpriser. Den breda användningen gör att köpkraftspariteter är ekonomiskt och politiskt oumbärliga indikatorer för EU.</w:t>
      </w:r>
    </w:p>
    <w:p w:rsidR="00105769" w:rsidRPr="00BC4F24" w:rsidRDefault="00105769">
      <w:pPr>
        <w:ind w:right="-58"/>
      </w:pPr>
      <w:r w:rsidRPr="00BC4F24">
        <w:t xml:space="preserve">Syftet med förslaget är att ge en rättslig grund för de metoder och den praxis som redan idag tillämpas inom samarbetet med köpkraftspariteter. I dagsläget har kommissionen ett lagstadgat ansvar att beräkna BNP i gemensamt prisläge. Emellertid har medlemsstaterna inte något rättsligt ansvar att medverka. Systemet bygger på att alla medlemsstater medverkar och följer enhetliga metoder, vilket är en förutsättning för att få meningsfulla och korrekta resultat. </w:t>
      </w:r>
    </w:p>
    <w:p w:rsidR="00105769" w:rsidRPr="00BC4F24" w:rsidRDefault="00105769">
      <w:r w:rsidRPr="00BC4F24">
        <w:t xml:space="preserve">Förslaget slår fast gemensamma regler för rapportering av grunduppgifter om köpkraftspariteter samt för beräkning och spridning av resultaten.  Förordningen kommer enbart i liten omfattning att leda till en utökad arbetsinsats i </w:t>
      </w:r>
      <w:r w:rsidRPr="00BC4F24">
        <w:lastRenderedPageBreak/>
        <w:t xml:space="preserve">Sverige. Däremot förväntas förordningen ge bättre insyn, aktualitet och kvalitet i hela processen, både inom enskilda medlemsstater och inom kommissionen. </w:t>
      </w:r>
    </w:p>
    <w:p w:rsidR="00105769" w:rsidRPr="00BC4F24" w:rsidRDefault="00105769">
      <w:r w:rsidRPr="00BC4F24">
        <w:t>Sverige stöder förslaget.</w:t>
      </w:r>
    </w:p>
    <w:p w:rsidR="00105769" w:rsidRPr="00BC4F24" w:rsidRDefault="00105769">
      <w:pPr>
        <w:pStyle w:val="Rubrik1"/>
      </w:pPr>
      <w:r w:rsidRPr="00BC4F24">
        <w:t>Förslaget</w:t>
      </w:r>
    </w:p>
    <w:p w:rsidR="00105769" w:rsidRPr="00BC4F24" w:rsidRDefault="00105769">
      <w:pPr>
        <w:pStyle w:val="Rubrik2"/>
      </w:pPr>
      <w:r w:rsidRPr="00BC4F24">
        <w:t>Innehåll</w:t>
      </w:r>
    </w:p>
    <w:p w:rsidR="00105769" w:rsidRPr="00BC4F24" w:rsidRDefault="00105769">
      <w:r w:rsidRPr="00BC4F24">
        <w:t>Förslaget beskriver de åtaganden varje enskilt medlemsland kommer att ha beträffande överföring av grunduppgifter, granskning samt skriftligt godkännande av resultaten. De grunduppgifter som skall lämnas är</w:t>
      </w:r>
    </w:p>
    <w:p w:rsidR="00105769" w:rsidRPr="00BC4F24" w:rsidRDefault="00105769" w:rsidP="00105769"/>
    <w:p w:rsidR="00105769" w:rsidRPr="00BC4F24" w:rsidRDefault="00105769" w:rsidP="00105769">
      <w:r w:rsidRPr="00BC4F24">
        <w:t>Värdeuppgifter för BNP:s användning (årligen).</w:t>
      </w:r>
    </w:p>
    <w:p w:rsidR="00105769" w:rsidRPr="00BC4F24" w:rsidRDefault="00105769" w:rsidP="00105769">
      <w:r w:rsidRPr="00BC4F24">
        <w:t>Statistiska och imputerade hyror (årligen).</w:t>
      </w:r>
    </w:p>
    <w:p w:rsidR="00105769" w:rsidRPr="00BC4F24" w:rsidRDefault="00105769" w:rsidP="00105769">
      <w:r w:rsidRPr="00BC4F24">
        <w:t>Löner och kollektiva avgifter (årligen).</w:t>
      </w:r>
    </w:p>
    <w:p w:rsidR="00105769" w:rsidRPr="00BC4F24" w:rsidRDefault="00105769" w:rsidP="00105769">
      <w:r w:rsidRPr="00BC4F24">
        <w:t>Tidsjusteringsfaktorer (årligen).</w:t>
      </w:r>
    </w:p>
    <w:p w:rsidR="00105769" w:rsidRPr="00BC4F24" w:rsidRDefault="00105769" w:rsidP="00105769">
      <w:r w:rsidRPr="00BC4F24">
        <w:t>Priser på konsumtionsvaror och tjänster och relaterade representativitetsindikatorer (var tredje år för varje specifik produktgrupp).</w:t>
      </w:r>
    </w:p>
    <w:p w:rsidR="00105769" w:rsidRPr="00BC4F24" w:rsidRDefault="00105769" w:rsidP="00105769">
      <w:r w:rsidRPr="00BC4F24">
        <w:t>Priser på maskiner och transportmedel (åtminstone vart tredje år).</w:t>
      </w:r>
    </w:p>
    <w:p w:rsidR="00105769" w:rsidRPr="00BC4F24" w:rsidRDefault="00105769" w:rsidP="00105769">
      <w:r w:rsidRPr="00BC4F24">
        <w:t>Priser på byggnads- och anläggningsprojekt (åtminstone vart tredje år).</w:t>
      </w:r>
    </w:p>
    <w:p w:rsidR="00105769" w:rsidRPr="00BC4F24" w:rsidRDefault="00105769" w:rsidP="00105769">
      <w:r w:rsidRPr="00BC4F24">
        <w:t>Spatiala justeringsfaktorer (åtminstone vart sjätte år för varje basgrupp)</w:t>
      </w:r>
    </w:p>
    <w:p w:rsidR="00105769" w:rsidRPr="00BC4F24" w:rsidRDefault="00105769">
      <w:r w:rsidRPr="00BC4F24">
        <w:t xml:space="preserve">Kommissionen ska samordna rapporteringen av grunduppgifter, beräkna och offentliggöra köpkraftspariteterna, kvalitetssäkra köpkraftspariteterna, utveckla metoder i samråd med medlemsstaterna samt säkerställa att medlemsstaterna får möjlighet att kommentera resultaten innan de offentliggörs. Kommissionen (Eurostat) har att ta vederbörlig hänsyn till dessa kommentarer. </w:t>
      </w:r>
    </w:p>
    <w:p w:rsidR="00105769" w:rsidRPr="00BC4F24" w:rsidRDefault="00105769">
      <w:pPr>
        <w:pStyle w:val="Rubrik2"/>
      </w:pPr>
      <w:r w:rsidRPr="00BC4F24">
        <w:t>Gällande svenska regler och förslagets effekt på dessa</w:t>
      </w:r>
    </w:p>
    <w:p w:rsidR="00105769" w:rsidRPr="00BC4F24" w:rsidRDefault="00105769">
      <w:r w:rsidRPr="00BC4F24">
        <w:t>Lagen och förordningen om den officiella statistiken (SFS 2001/99 och 2001/100)</w:t>
      </w:r>
    </w:p>
    <w:p w:rsidR="00105769" w:rsidRPr="00BC4F24" w:rsidRDefault="00105769">
      <w:pPr>
        <w:pStyle w:val="Rubrik2"/>
      </w:pPr>
      <w:r w:rsidRPr="00BC4F24">
        <w:t>Budgetära konsekvenser</w:t>
      </w:r>
    </w:p>
    <w:p w:rsidR="00105769" w:rsidRPr="00BC4F24" w:rsidRDefault="00105769">
      <w:r w:rsidRPr="00BC4F24">
        <w:t>Statistiska centralbyrån har uppskattat kostnaderna för spatiala justeringsfaktorer och kvalitetskontroll till 300 000 kronor per år. Kommissionen har i sin finansieringsöversikt förutsatt att de nationella statistikkontoren ska få visst ekonomiskt stöd. Det är inte klart hur detta stöd kommer att fördelas mellan medlemsländerna. Kostnader utöver detta bidrag ska hanteras inom befintliga ramar.</w:t>
      </w:r>
    </w:p>
    <w:p w:rsidR="00105769" w:rsidRPr="00BC4F24" w:rsidRDefault="00105769">
      <w:pPr>
        <w:pStyle w:val="Rubrik1"/>
      </w:pPr>
      <w:r w:rsidRPr="00BC4F24">
        <w:t>Ståndpunkter</w:t>
      </w:r>
    </w:p>
    <w:p w:rsidR="00105769" w:rsidRPr="00BC4F24" w:rsidRDefault="00105769">
      <w:pPr>
        <w:pStyle w:val="Rubrik2"/>
      </w:pPr>
      <w:r w:rsidRPr="00BC4F24">
        <w:t>Svensk ståndpunkt</w:t>
      </w:r>
    </w:p>
    <w:p w:rsidR="00105769" w:rsidRPr="00BC4F24" w:rsidRDefault="00105769">
      <w:r w:rsidRPr="00BC4F24">
        <w:t>Sverige stöder förslaget då det är angeläget att fastställa bindande metoder och praxis för det samarbete som i dag tillämpas kring köpkraftspariteterna. Sverige ser också positivt på den ökade öppenhet om medlemsländernas beräkningar och de kvalitetsförbättringar som förslaget förväntas medföra. Det är även angeläget att klargöra och säkerställa finansiering från kommissionen.</w:t>
      </w:r>
    </w:p>
    <w:p w:rsidR="00105769" w:rsidRPr="00BC4F24" w:rsidRDefault="00105769">
      <w:pPr>
        <w:pStyle w:val="Rubrik2"/>
      </w:pPr>
      <w:r w:rsidRPr="00BC4F24">
        <w:t>Medlemsstaternas ståndpunkter</w:t>
      </w:r>
    </w:p>
    <w:p w:rsidR="00105769" w:rsidRPr="00BC4F24" w:rsidRDefault="00105769">
      <w:r w:rsidRPr="00BC4F24">
        <w:t xml:space="preserve">Flera länder har vid tidigare diskussioner understrukit behov av fortsatt finansiering från kommissionen. </w:t>
      </w:r>
    </w:p>
    <w:p w:rsidR="00105769" w:rsidRPr="00BC4F24" w:rsidRDefault="00105769">
      <w:pPr>
        <w:pStyle w:val="Rubrik2"/>
      </w:pPr>
      <w:r w:rsidRPr="00BC4F24">
        <w:t>Institutionernas ståndpunkter</w:t>
      </w:r>
    </w:p>
    <w:p w:rsidR="00105769" w:rsidRPr="00BC4F24" w:rsidRDefault="00105769">
      <w:r w:rsidRPr="00BC4F24">
        <w:t>Europaparlamentet har ännu inte berett förslaget. Yttrande från Europeiska ekonomiska och sociala kommittén har ännu inte inkommit.</w:t>
      </w:r>
    </w:p>
    <w:p w:rsidR="00105769" w:rsidRPr="00BC4F24" w:rsidRDefault="00105769">
      <w:pPr>
        <w:pStyle w:val="Rubrik2"/>
      </w:pPr>
      <w:r w:rsidRPr="00BC4F24">
        <w:t>Remissinstansernas ståndpunkter</w:t>
      </w:r>
    </w:p>
    <w:p w:rsidR="00105769" w:rsidRPr="00BC4F24" w:rsidRDefault="00105769"/>
    <w:p w:rsidR="00105769" w:rsidRPr="00BC4F24" w:rsidRDefault="00105769">
      <w:pPr>
        <w:pStyle w:val="Rubrik1"/>
      </w:pPr>
      <w:r w:rsidRPr="00BC4F24">
        <w:t>Övrigt</w:t>
      </w:r>
    </w:p>
    <w:p w:rsidR="00105769" w:rsidRPr="00BC4F24" w:rsidRDefault="00105769">
      <w:pPr>
        <w:pStyle w:val="Rubrik2"/>
      </w:pPr>
      <w:r w:rsidRPr="00BC4F24">
        <w:t>Fortsatt behandling av ärendet</w:t>
      </w:r>
    </w:p>
    <w:p w:rsidR="00105769" w:rsidRPr="00BC4F24" w:rsidRDefault="00105769">
      <w:r w:rsidRPr="00BC4F24">
        <w:t>Behandling av förslaget förväntas starta i såväl rådet som Europaparlamentet under våren 2006.</w:t>
      </w:r>
    </w:p>
    <w:p w:rsidR="00105769" w:rsidRPr="00BC4F24" w:rsidRDefault="00105769">
      <w:pPr>
        <w:pStyle w:val="Rubrik2"/>
      </w:pPr>
      <w:r w:rsidRPr="00BC4F24">
        <w:t>Rättslig grund och beslutsförfarande</w:t>
      </w:r>
    </w:p>
    <w:p w:rsidR="00105769" w:rsidRPr="00BC4F24" w:rsidRDefault="00105769">
      <w:r w:rsidRPr="00BC4F24">
        <w:t>Rättslig grund är artikel 285EG. Rådet fattar beslut med kvalificerad majoritet och medbeslutande gäller enligt artikel 251 i EG-fördraget.</w:t>
      </w:r>
    </w:p>
    <w:p w:rsidR="00105769" w:rsidRPr="00BC4F24" w:rsidRDefault="00105769">
      <w:pPr>
        <w:pStyle w:val="Rubrik2"/>
      </w:pPr>
      <w:r w:rsidRPr="00BC4F24">
        <w:t>Fackuttryck/termer</w:t>
      </w:r>
    </w:p>
    <w:p w:rsidR="00105769" w:rsidRPr="00BC4F24" w:rsidRDefault="00105769">
      <w:r w:rsidRPr="00BC4F24">
        <w:rPr>
          <w:i/>
        </w:rPr>
        <w:t>köpkraftspariteter:</w:t>
      </w:r>
      <w:r w:rsidRPr="00BC4F24">
        <w:t xml:space="preserve"> spatiala deflatorer och valutaomräknare som eliminerar effekterna av skillnader i prisnivåer mellan länder, och således gör det möjligt att göra volymjämförelser av BNP-komponenter och jämförelser av prisnivåer.</w:t>
      </w:r>
    </w:p>
    <w:p w:rsidR="00105769" w:rsidRPr="00BC4F24" w:rsidRDefault="00105769">
      <w:pPr>
        <w:rPr>
          <w:i/>
        </w:rPr>
      </w:pPr>
      <w:r w:rsidRPr="00BC4F24">
        <w:rPr>
          <w:i/>
        </w:rPr>
        <w:t>priser</w:t>
      </w:r>
      <w:r w:rsidRPr="00BC4F24">
        <w:t>: de inköpspriser som betalas av slutanvändarna</w:t>
      </w:r>
      <w:r w:rsidRPr="00BC4F24">
        <w:rPr>
          <w:i/>
        </w:rPr>
        <w:t>.</w:t>
      </w:r>
    </w:p>
    <w:p w:rsidR="00105769" w:rsidRPr="00BC4F24" w:rsidRDefault="00105769">
      <w:pPr>
        <w:rPr>
          <w:i/>
        </w:rPr>
      </w:pPr>
      <w:r w:rsidRPr="00BC4F24">
        <w:rPr>
          <w:i/>
        </w:rPr>
        <w:t xml:space="preserve">tidsjusteringsfaktorer: </w:t>
      </w:r>
      <w:r w:rsidRPr="00BC4F24">
        <w:t>faktorer som används för att omvandla de medelpriser som erhölls vid tidpunkten för undersökningen till årsmedelpriser.</w:t>
      </w:r>
    </w:p>
    <w:p w:rsidR="00105769" w:rsidRPr="00BC4F24" w:rsidRDefault="00105769">
      <w:r w:rsidRPr="00BC4F24">
        <w:rPr>
          <w:i/>
        </w:rPr>
        <w:t>spatiala justeringsfaktorer</w:t>
      </w:r>
      <w:r w:rsidRPr="00BC4F24">
        <w:t>: faktorer som används för att omvandla de medelpriser som erhölls från en eller flera platser inom medlemsstaternas ekonomiska territorium till nationella medelpriser.</w:t>
      </w:r>
    </w:p>
    <w:p w:rsidR="00105769" w:rsidRPr="00BC4F24" w:rsidRDefault="00105769"/>
    <w:sectPr w:rsidR="00105769" w:rsidRPr="00BC4F2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611" w:rsidRPr="00BC4F24" w:rsidRDefault="00677611">
      <w:r w:rsidRPr="00BC4F24">
        <w:separator/>
      </w:r>
    </w:p>
  </w:endnote>
  <w:endnote w:type="continuationSeparator" w:id="0">
    <w:p w:rsidR="00677611" w:rsidRPr="00BC4F24" w:rsidRDefault="00677611">
      <w:r w:rsidRPr="00BC4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1057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677611">
    <w:pPr>
      <w:pStyle w:val="SidfotH"/>
      <w:framePr w:wrap="around"/>
    </w:pPr>
    <w:r w:rsidRPr="00BC4F24">
      <w:t>2</w:t>
    </w:r>
  </w:p>
  <w:p w:rsidR="00105769" w:rsidRPr="00BC4F24" w:rsidRDefault="001057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677611">
    <w:pPr>
      <w:pStyle w:val="SidfotH"/>
      <w:framePr w:wrap="around"/>
    </w:pPr>
    <w:r w:rsidRPr="00BC4F24">
      <w:t>1</w:t>
    </w:r>
  </w:p>
  <w:p w:rsidR="00105769" w:rsidRPr="00BC4F24" w:rsidRDefault="00105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611" w:rsidRPr="00BC4F24" w:rsidRDefault="00677611">
      <w:r w:rsidRPr="00BC4F24">
        <w:separator/>
      </w:r>
    </w:p>
  </w:footnote>
  <w:footnote w:type="continuationSeparator" w:id="0">
    <w:p w:rsidR="00677611" w:rsidRPr="00BC4F24" w:rsidRDefault="00677611">
      <w:r w:rsidRPr="00BC4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1057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105769">
    <w:pPr>
      <w:pStyle w:val="Kantrubrik"/>
      <w:framePr w:h="1157" w:hRule="exact" w:wrap="around" w:y="738"/>
    </w:pPr>
    <w:r w:rsidRPr="00BC4F24">
      <w:t>2005/06:FPM87</w:t>
    </w:r>
  </w:p>
  <w:p w:rsidR="00105769" w:rsidRPr="00BC4F24" w:rsidRDefault="001057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769" w:rsidRPr="00BC4F24" w:rsidRDefault="00BC4F24">
    <w:pPr>
      <w:pStyle w:val="Sidhuvud"/>
    </w:pPr>
    <w:r w:rsidRPr="00BC4F2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40937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769" w:rsidRDefault="001057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05769" w:rsidRDefault="00105769">
                    <w:pPr>
                      <w:pStyle w:val="Logo"/>
                    </w:pPr>
                    <w:r>
                      <w:object w:dxaOrig="840" w:dyaOrig="1545">
                        <v:shape id="_x0000_i1025" type="#_x0000_t75" style="width:42pt;height:77.15pt" fillcolor="window">
                          <v:imagedata r:id="rId1" o:title=""/>
                        </v:shape>
                        <o:OLEObject Type="Embed" ProgID="Word.Picture.8" ShapeID="_x0000_i1025" DrawAspect="Content" ObjectID="_18274391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58A7661"/>
    <w:multiLevelType w:val="hybridMultilevel"/>
    <w:tmpl w:val="80D01418"/>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47662422">
    <w:abstractNumId w:val="5"/>
  </w:num>
  <w:num w:numId="2" w16cid:durableId="700325499">
    <w:abstractNumId w:val="1"/>
  </w:num>
  <w:num w:numId="3" w16cid:durableId="104737372">
    <w:abstractNumId w:val="2"/>
  </w:num>
  <w:num w:numId="4" w16cid:durableId="1065488761">
    <w:abstractNumId w:val="3"/>
  </w:num>
  <w:num w:numId="5" w16cid:durableId="30227978">
    <w:abstractNumId w:val="6"/>
  </w:num>
  <w:num w:numId="6" w16cid:durableId="1009910820">
    <w:abstractNumId w:val="0"/>
  </w:num>
  <w:num w:numId="7" w16cid:durableId="20390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04"/>
    <w:docVar w:name="Ar" w:val="2005/06"/>
    <w:docVar w:name="Dep" w:val="Finansdepartementet"/>
    <w:docVar w:name="DepWeb" w:val="Finansdepartementet"/>
    <w:docVar w:name="GDB1" w:val="KOM (2006) 1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astställande av gemensamma regler för rapporteringen av grunduppgifter om köpkraftspariteter och för beräkningen och spridningen av dess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135"/>
    <w:docVar w:name="Nr" w:val="87"/>
    <w:docVar w:name="RD_APPVERSION" w:val="3.00"/>
    <w:docVar w:name="Rub" w:val="Förordning om regler för köpkraftspariteter"/>
    <w:docVar w:name="UppDat" w:val="2006-05-03"/>
    <w:docVar w:name="Utsk" w:val="Finansutskottet"/>
  </w:docVars>
  <w:rsids>
    <w:rsidRoot w:val="00BC4F24"/>
    <w:rsid w:val="00062A5A"/>
    <w:rsid w:val="00105769"/>
    <w:rsid w:val="00677611"/>
    <w:rsid w:val="00BC4F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69E0F-3623-4CAB-BFD7-0A0715D8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665</Words>
  <Characters>4709</Characters>
  <Application>Microsoft Office Word</Application>
  <DocSecurity>4</DocSecurity>
  <Lines>104</Lines>
  <Paragraphs>53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87</vt:lpwstr>
  </property>
  <property fmtid="{D5CDD505-2E9C-101B-9397-08002B2CF9AE}" pid="4" name="GDB1">
    <vt:lpwstr>KOM (2006) 135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regler för köpkraftspariteter</vt:lpwstr>
  </property>
  <property fmtid="{D5CDD505-2E9C-101B-9397-08002B2CF9AE}" pid="8" name="UppDat">
    <vt:lpwstr>2006-05-03</vt:lpwstr>
  </property>
  <property fmtid="{D5CDD505-2E9C-101B-9397-08002B2CF9AE}" pid="9" name="AnkDat">
    <vt:lpwstr>2006-05-04</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1;0;0;189</vt:lpwstr>
  </property>
  <property fmtid="{D5CDD505-2E9C-101B-9397-08002B2CF9AE}" pid="39" name="Sprak">
    <vt:lpwstr>Svenska</vt:lpwstr>
  </property>
  <property fmtid="{D5CDD505-2E9C-101B-9397-08002B2CF9AE}" pid="40" name="DokID">
    <vt:i4>80</vt:i4>
  </property>
</Properties>
</file>