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651B0E"/>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bookmarkStart w:id="0" w:name="_Hlk55302564"/>
            <w:r>
              <w:t>RIKSDAGEN</w:t>
            </w:r>
          </w:p>
          <w:p w:rsidR="0096348C" w:rsidRDefault="002D7861" w:rsidP="0096348C">
            <w:r>
              <w:t>ARBETSMARKNADS</w:t>
            </w:r>
            <w:r w:rsidR="0096348C">
              <w:t>UTSKOTTET</w:t>
            </w:r>
          </w:p>
        </w:tc>
      </w:tr>
    </w:tbl>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6F3C58">
              <w:rPr>
                <w:b/>
              </w:rPr>
              <w:t>20</w:t>
            </w:r>
            <w:r>
              <w:rPr>
                <w:b/>
              </w:rPr>
              <w:t>/</w:t>
            </w:r>
            <w:r w:rsidR="00F236AC">
              <w:rPr>
                <w:b/>
              </w:rPr>
              <w:t>2</w:t>
            </w:r>
            <w:r w:rsidR="006F3C58">
              <w:rPr>
                <w:b/>
              </w:rPr>
              <w:t>1</w:t>
            </w:r>
            <w:r w:rsidR="0096348C">
              <w:rPr>
                <w:b/>
              </w:rPr>
              <w:t>:</w:t>
            </w:r>
            <w:r w:rsidR="003E7936">
              <w:rPr>
                <w:b/>
              </w:rPr>
              <w:t>1</w:t>
            </w:r>
            <w:r w:rsidR="006D1E81">
              <w:rPr>
                <w:b/>
              </w:rPr>
              <w:t>1</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20</w:t>
            </w:r>
            <w:r w:rsidR="009D6560">
              <w:t>-</w:t>
            </w:r>
            <w:r w:rsidR="0046393D">
              <w:t>11-</w:t>
            </w:r>
            <w:r w:rsidR="00796F72">
              <w:t>24</w:t>
            </w:r>
          </w:p>
        </w:tc>
      </w:tr>
      <w:bookmarkEnd w:id="0"/>
      <w:tr w:rsidR="0096348C" w:rsidTr="00012D39">
        <w:tc>
          <w:tcPr>
            <w:tcW w:w="1985" w:type="dxa"/>
          </w:tcPr>
          <w:p w:rsidR="0096348C" w:rsidRDefault="0096348C" w:rsidP="0096348C">
            <w:r>
              <w:t>TID</w:t>
            </w:r>
          </w:p>
        </w:tc>
        <w:tc>
          <w:tcPr>
            <w:tcW w:w="6463" w:type="dxa"/>
          </w:tcPr>
          <w:p w:rsidR="00D12EAD" w:rsidRDefault="0046393D" w:rsidP="0096348C">
            <w:r>
              <w:t>1</w:t>
            </w:r>
            <w:r w:rsidR="003E7936">
              <w:t>1</w:t>
            </w:r>
            <w:r>
              <w:t>.</w:t>
            </w:r>
            <w:r w:rsidR="003B7502">
              <w:t>0</w:t>
            </w:r>
            <w:r>
              <w:t>0</w:t>
            </w:r>
            <w:r w:rsidR="002D7861">
              <w:t>–</w:t>
            </w:r>
            <w:r w:rsidR="003C4C58">
              <w:t>12.20</w:t>
            </w:r>
          </w:p>
        </w:tc>
      </w:tr>
      <w:tr w:rsidR="0096348C" w:rsidTr="00012D39">
        <w:tc>
          <w:tcPr>
            <w:tcW w:w="1985" w:type="dxa"/>
          </w:tcPr>
          <w:p w:rsidR="0096348C" w:rsidRDefault="0096348C" w:rsidP="0096348C">
            <w:r>
              <w:t>NÄRVARANDE</w:t>
            </w:r>
          </w:p>
        </w:tc>
        <w:tc>
          <w:tcPr>
            <w:tcW w:w="6463" w:type="dxa"/>
          </w:tcPr>
          <w:p w:rsidR="0096348C" w:rsidRDefault="0096348C" w:rsidP="0096348C">
            <w:r>
              <w:t>Se bilaga</w:t>
            </w:r>
            <w:r w:rsidR="004717B9">
              <w:t xml:space="preserve"> 1</w:t>
            </w:r>
          </w:p>
        </w:tc>
      </w:tr>
    </w:tbl>
    <w:p w:rsidR="00181693" w:rsidRDefault="00181693" w:rsidP="0096348C">
      <w:pPr>
        <w:tabs>
          <w:tab w:val="left" w:pos="1701"/>
        </w:tabs>
        <w:rPr>
          <w:snapToGrid w:val="0"/>
          <w:color w:val="000000"/>
        </w:rPr>
      </w:pPr>
    </w:p>
    <w:p w:rsidR="000A278B" w:rsidRDefault="000A278B" w:rsidP="0096348C">
      <w:pPr>
        <w:tabs>
          <w:tab w:val="left" w:pos="1701"/>
        </w:tabs>
        <w:rPr>
          <w:snapToGrid w:val="0"/>
          <w:color w:val="000000"/>
        </w:rPr>
      </w:pPr>
    </w:p>
    <w:tbl>
      <w:tblPr>
        <w:tblW w:w="9215" w:type="dxa"/>
        <w:tblInd w:w="-284" w:type="dxa"/>
        <w:tblLayout w:type="fixed"/>
        <w:tblCellMar>
          <w:left w:w="70" w:type="dxa"/>
          <w:right w:w="70" w:type="dxa"/>
        </w:tblCellMar>
        <w:tblLook w:val="00A0" w:firstRow="1" w:lastRow="0" w:firstColumn="1" w:lastColumn="0" w:noHBand="0" w:noVBand="0"/>
      </w:tblPr>
      <w:tblGrid>
        <w:gridCol w:w="1771"/>
        <w:gridCol w:w="567"/>
        <w:gridCol w:w="1631"/>
        <w:gridCol w:w="329"/>
        <w:gridCol w:w="356"/>
        <w:gridCol w:w="356"/>
        <w:gridCol w:w="356"/>
        <w:gridCol w:w="356"/>
        <w:gridCol w:w="356"/>
        <w:gridCol w:w="356"/>
        <w:gridCol w:w="356"/>
        <w:gridCol w:w="356"/>
        <w:gridCol w:w="295"/>
        <w:gridCol w:w="61"/>
        <w:gridCol w:w="356"/>
        <w:gridCol w:w="356"/>
        <w:gridCol w:w="356"/>
        <w:gridCol w:w="357"/>
        <w:gridCol w:w="288"/>
      </w:tblGrid>
      <w:tr w:rsidR="002D7861" w:rsidTr="00EA30B4">
        <w:trPr>
          <w:gridBefore w:val="1"/>
          <w:wBefore w:w="1771" w:type="dxa"/>
        </w:trPr>
        <w:tc>
          <w:tcPr>
            <w:tcW w:w="567" w:type="dxa"/>
          </w:tcPr>
          <w:p w:rsidR="002D7861" w:rsidRDefault="002D7861" w:rsidP="0096348C">
            <w:pPr>
              <w:tabs>
                <w:tab w:val="left" w:pos="1701"/>
              </w:tabs>
              <w:rPr>
                <w:b/>
                <w:snapToGrid w:val="0"/>
              </w:rPr>
            </w:pPr>
            <w:r>
              <w:rPr>
                <w:b/>
                <w:snapToGrid w:val="0"/>
              </w:rPr>
              <w:t>§ 1</w:t>
            </w:r>
          </w:p>
        </w:tc>
        <w:tc>
          <w:tcPr>
            <w:tcW w:w="6877" w:type="dxa"/>
            <w:gridSpan w:val="17"/>
          </w:tcPr>
          <w:p w:rsidR="002D7861" w:rsidRDefault="002D7861" w:rsidP="00723D66">
            <w:pPr>
              <w:tabs>
                <w:tab w:val="left" w:pos="1701"/>
              </w:tabs>
              <w:rPr>
                <w:b/>
                <w:snapToGrid w:val="0"/>
              </w:rPr>
            </w:pPr>
            <w:r>
              <w:rPr>
                <w:b/>
                <w:snapToGrid w:val="0"/>
              </w:rPr>
              <w:t>Medgivande att delta på distans</w:t>
            </w:r>
          </w:p>
          <w:p w:rsidR="002D7861" w:rsidRDefault="002D7861" w:rsidP="00723D66">
            <w:pPr>
              <w:tabs>
                <w:tab w:val="left" w:pos="1701"/>
              </w:tabs>
              <w:rPr>
                <w:b/>
                <w:snapToGrid w:val="0"/>
              </w:rPr>
            </w:pPr>
          </w:p>
          <w:p w:rsidR="002D7861" w:rsidRPr="002D7861" w:rsidRDefault="002D7861" w:rsidP="00723D66">
            <w:pPr>
              <w:tabs>
                <w:tab w:val="left" w:pos="1701"/>
              </w:tabs>
              <w:rPr>
                <w:snapToGrid w:val="0"/>
              </w:rPr>
            </w:pPr>
            <w:r>
              <w:rPr>
                <w:snapToGrid w:val="0"/>
              </w:rPr>
              <w:t>Utskottet medgav deltagande på distans för följande ledamöter och suppleanter:</w:t>
            </w:r>
            <w:r w:rsidR="00851B09">
              <w:rPr>
                <w:snapToGrid w:val="0"/>
              </w:rPr>
              <w:t xml:space="preserve"> </w:t>
            </w:r>
            <w:r w:rsidR="00510CEB">
              <w:rPr>
                <w:snapToGrid w:val="0"/>
              </w:rPr>
              <w:t>Mats Green</w:t>
            </w:r>
            <w:r w:rsidR="00851B09">
              <w:rPr>
                <w:snapToGrid w:val="0"/>
              </w:rPr>
              <w:t xml:space="preserve"> (</w:t>
            </w:r>
            <w:r w:rsidR="00510CEB">
              <w:rPr>
                <w:snapToGrid w:val="0"/>
              </w:rPr>
              <w:t>M</w:t>
            </w:r>
            <w:r w:rsidR="00851B09">
              <w:rPr>
                <w:snapToGrid w:val="0"/>
              </w:rPr>
              <w:t xml:space="preserve">), Saila Quicklund (M), </w:t>
            </w:r>
            <w:r w:rsidR="00510CEB">
              <w:rPr>
                <w:snapToGrid w:val="0"/>
              </w:rPr>
              <w:t xml:space="preserve">Magnus Persson (SD), </w:t>
            </w:r>
            <w:r w:rsidR="00851B09">
              <w:rPr>
                <w:snapToGrid w:val="0"/>
              </w:rPr>
              <w:t xml:space="preserve">Helén Pettersson (S), Martin Ådahl (C), Ali Esbati (V), Ann-Sofie Lifvenhage (M), Ebba Hermansson (SD), Johan Andersson (S), </w:t>
            </w:r>
            <w:r w:rsidR="00BC4033">
              <w:rPr>
                <w:snapToGrid w:val="0"/>
              </w:rPr>
              <w:t xml:space="preserve">Sofia Damm (KD), </w:t>
            </w:r>
            <w:r w:rsidR="00851B09">
              <w:rPr>
                <w:snapToGrid w:val="0"/>
              </w:rPr>
              <w:t>Serkan Köse (S), Arman Teimouri (L), Leila Ali-Elmi (MP), Malin Danielsson (L), Johanna Haraldsson (S), Malin Höglund (M),</w:t>
            </w:r>
            <w:r w:rsidR="00D044B7">
              <w:rPr>
                <w:snapToGrid w:val="0"/>
              </w:rPr>
              <w:t xml:space="preserve"> </w:t>
            </w:r>
            <w:r w:rsidR="00851B09">
              <w:rPr>
                <w:snapToGrid w:val="0"/>
              </w:rPr>
              <w:t>Marianne Pettersson (S), Ciczie Weidby (V), Désirée Pethrus (KD) och Ludvig Aspling (SD).</w:t>
            </w:r>
          </w:p>
          <w:p w:rsidR="002D7861" w:rsidRDefault="002D7861" w:rsidP="00723D66">
            <w:pPr>
              <w:tabs>
                <w:tab w:val="left" w:pos="1701"/>
              </w:tabs>
              <w:rPr>
                <w:b/>
                <w:snapToGrid w:val="0"/>
              </w:rPr>
            </w:pPr>
          </w:p>
        </w:tc>
      </w:tr>
      <w:tr w:rsidR="0096348C" w:rsidTr="00EA30B4">
        <w:trPr>
          <w:gridBefore w:val="1"/>
          <w:wBefore w:w="1771" w:type="dxa"/>
        </w:trPr>
        <w:tc>
          <w:tcPr>
            <w:tcW w:w="567" w:type="dxa"/>
          </w:tcPr>
          <w:p w:rsidR="0096348C" w:rsidRDefault="0096348C" w:rsidP="0096348C">
            <w:pPr>
              <w:tabs>
                <w:tab w:val="left" w:pos="1701"/>
              </w:tabs>
              <w:rPr>
                <w:b/>
                <w:snapToGrid w:val="0"/>
              </w:rPr>
            </w:pPr>
            <w:r>
              <w:rPr>
                <w:b/>
                <w:snapToGrid w:val="0"/>
              </w:rPr>
              <w:t xml:space="preserve">§ </w:t>
            </w:r>
            <w:r w:rsidR="0034388C">
              <w:rPr>
                <w:b/>
                <w:snapToGrid w:val="0"/>
              </w:rPr>
              <w:t>2</w:t>
            </w:r>
          </w:p>
        </w:tc>
        <w:tc>
          <w:tcPr>
            <w:tcW w:w="6877" w:type="dxa"/>
            <w:gridSpan w:val="17"/>
          </w:tcPr>
          <w:p w:rsidR="0096348C" w:rsidRPr="001E1FAC" w:rsidRDefault="00275CD2" w:rsidP="00723D66">
            <w:pPr>
              <w:tabs>
                <w:tab w:val="left" w:pos="1701"/>
              </w:tabs>
              <w:rPr>
                <w:b/>
                <w:snapToGrid w:val="0"/>
              </w:rPr>
            </w:pPr>
            <w:r>
              <w:rPr>
                <w:b/>
                <w:snapToGrid w:val="0"/>
              </w:rPr>
              <w:t>Justering av protokoll</w:t>
            </w:r>
          </w:p>
          <w:p w:rsidR="001E1FAC" w:rsidRDefault="001E1FAC" w:rsidP="00723D66">
            <w:pPr>
              <w:tabs>
                <w:tab w:val="left" w:pos="1701"/>
              </w:tabs>
              <w:rPr>
                <w:snapToGrid w:val="0"/>
              </w:rPr>
            </w:pPr>
          </w:p>
          <w:p w:rsidR="003A729A" w:rsidRDefault="00275CD2" w:rsidP="00723D66">
            <w:pPr>
              <w:tabs>
                <w:tab w:val="left" w:pos="1701"/>
              </w:tabs>
              <w:rPr>
                <w:snapToGrid w:val="0"/>
              </w:rPr>
            </w:pPr>
            <w:r>
              <w:rPr>
                <w:snapToGrid w:val="0"/>
              </w:rPr>
              <w:t>Ut</w:t>
            </w:r>
            <w:r w:rsidR="00246FAC">
              <w:rPr>
                <w:snapToGrid w:val="0"/>
              </w:rPr>
              <w:t>skottet justerade protokoll 20</w:t>
            </w:r>
            <w:r w:rsidR="006F3C58">
              <w:rPr>
                <w:snapToGrid w:val="0"/>
              </w:rPr>
              <w:t>20</w:t>
            </w:r>
            <w:r w:rsidR="00FF71C4">
              <w:rPr>
                <w:snapToGrid w:val="0"/>
              </w:rPr>
              <w:t>/</w:t>
            </w:r>
            <w:r w:rsidR="00F236AC">
              <w:rPr>
                <w:snapToGrid w:val="0"/>
              </w:rPr>
              <w:t>2</w:t>
            </w:r>
            <w:r w:rsidR="006F3C58">
              <w:rPr>
                <w:snapToGrid w:val="0"/>
              </w:rPr>
              <w:t>1</w:t>
            </w:r>
            <w:r>
              <w:rPr>
                <w:snapToGrid w:val="0"/>
              </w:rPr>
              <w:t>:</w:t>
            </w:r>
            <w:r w:rsidR="00796F72">
              <w:rPr>
                <w:snapToGrid w:val="0"/>
              </w:rPr>
              <w:t>10</w:t>
            </w:r>
            <w:r w:rsidR="002D7861">
              <w:rPr>
                <w:snapToGrid w:val="0"/>
              </w:rPr>
              <w:t>.</w:t>
            </w:r>
          </w:p>
          <w:p w:rsidR="00275CD2" w:rsidRDefault="00275CD2" w:rsidP="00723D66">
            <w:pPr>
              <w:tabs>
                <w:tab w:val="left" w:pos="1701"/>
              </w:tabs>
              <w:rPr>
                <w:snapToGrid w:val="0"/>
              </w:rPr>
            </w:pPr>
          </w:p>
        </w:tc>
      </w:tr>
      <w:tr w:rsidR="009E4C2E" w:rsidTr="00EA30B4">
        <w:trPr>
          <w:gridBefore w:val="1"/>
          <w:wBefore w:w="1771" w:type="dxa"/>
        </w:trPr>
        <w:tc>
          <w:tcPr>
            <w:tcW w:w="567" w:type="dxa"/>
          </w:tcPr>
          <w:p w:rsidR="009E4C2E" w:rsidRDefault="00340842" w:rsidP="0096348C">
            <w:pPr>
              <w:tabs>
                <w:tab w:val="left" w:pos="1701"/>
              </w:tabs>
              <w:rPr>
                <w:b/>
                <w:snapToGrid w:val="0"/>
              </w:rPr>
            </w:pPr>
            <w:r>
              <w:rPr>
                <w:b/>
                <w:snapToGrid w:val="0"/>
              </w:rPr>
              <w:t>§ 3</w:t>
            </w:r>
          </w:p>
        </w:tc>
        <w:tc>
          <w:tcPr>
            <w:tcW w:w="6877" w:type="dxa"/>
            <w:gridSpan w:val="17"/>
          </w:tcPr>
          <w:p w:rsidR="0069356D" w:rsidRPr="0069356D" w:rsidRDefault="0069356D" w:rsidP="00340842">
            <w:pPr>
              <w:widowControl/>
              <w:autoSpaceDE w:val="0"/>
              <w:autoSpaceDN w:val="0"/>
              <w:adjustRightInd w:val="0"/>
              <w:textAlignment w:val="center"/>
              <w:rPr>
                <w:b/>
                <w:snapToGrid w:val="0"/>
              </w:rPr>
            </w:pPr>
            <w:r>
              <w:rPr>
                <w:b/>
                <w:snapToGrid w:val="0"/>
              </w:rPr>
              <w:t>Kommissionens aviserade handlingsplan för genomförandet av pelaren för sociala rättigheter</w:t>
            </w:r>
          </w:p>
          <w:p w:rsidR="0069356D" w:rsidRDefault="0069356D" w:rsidP="00340842">
            <w:pPr>
              <w:widowControl/>
              <w:autoSpaceDE w:val="0"/>
              <w:autoSpaceDN w:val="0"/>
              <w:adjustRightInd w:val="0"/>
              <w:textAlignment w:val="center"/>
              <w:rPr>
                <w:snapToGrid w:val="0"/>
              </w:rPr>
            </w:pPr>
          </w:p>
          <w:p w:rsidR="00340842" w:rsidRDefault="00340842" w:rsidP="00340842">
            <w:pPr>
              <w:widowControl/>
              <w:autoSpaceDE w:val="0"/>
              <w:autoSpaceDN w:val="0"/>
              <w:adjustRightInd w:val="0"/>
              <w:textAlignment w:val="center"/>
            </w:pPr>
            <w:r w:rsidRPr="00340842">
              <w:rPr>
                <w:snapToGrid w:val="0"/>
              </w:rPr>
              <w:t xml:space="preserve">Utskottet överlade </w:t>
            </w:r>
            <w:r>
              <w:rPr>
                <w:snapToGrid w:val="0"/>
              </w:rPr>
              <w:t>med arbetsmarknadsminister Eva Nordmark</w:t>
            </w:r>
            <w:r w:rsidRPr="00E01DEC">
              <w:t xml:space="preserve">, </w:t>
            </w:r>
            <w:r>
              <w:t>biträdd</w:t>
            </w:r>
            <w:r w:rsidRPr="00E01DEC">
              <w:t xml:space="preserve"> av medarbetare från Arbetsmarknadsdepartementet.</w:t>
            </w:r>
            <w:r>
              <w:t xml:space="preserve"> </w:t>
            </w:r>
          </w:p>
          <w:p w:rsidR="00340842" w:rsidRDefault="00340842" w:rsidP="00340842">
            <w:pPr>
              <w:widowControl/>
              <w:autoSpaceDE w:val="0"/>
              <w:autoSpaceDN w:val="0"/>
              <w:adjustRightInd w:val="0"/>
              <w:textAlignment w:val="center"/>
              <w:rPr>
                <w:szCs w:val="24"/>
              </w:rPr>
            </w:pPr>
            <w:r>
              <w:t>Arbetsmarknad</w:t>
            </w:r>
            <w:r w:rsidRPr="00B7198D">
              <w:rPr>
                <w:szCs w:val="24"/>
              </w:rPr>
              <w:t xml:space="preserve">sministern </w:t>
            </w:r>
            <w:r>
              <w:rPr>
                <w:szCs w:val="24"/>
              </w:rPr>
              <w:t xml:space="preserve">med medarbetare </w:t>
            </w:r>
            <w:r w:rsidRPr="00B7198D">
              <w:rPr>
                <w:szCs w:val="24"/>
              </w:rPr>
              <w:t>deltog på distans</w:t>
            </w:r>
            <w:r>
              <w:rPr>
                <w:szCs w:val="24"/>
              </w:rPr>
              <w:t>.</w:t>
            </w:r>
          </w:p>
          <w:p w:rsidR="00340842" w:rsidRDefault="00340842" w:rsidP="00340842">
            <w:pPr>
              <w:widowControl/>
              <w:autoSpaceDE w:val="0"/>
              <w:autoSpaceDN w:val="0"/>
              <w:adjustRightInd w:val="0"/>
              <w:textAlignment w:val="center"/>
              <w:rPr>
                <w:b/>
                <w:snapToGrid w:val="0"/>
              </w:rPr>
            </w:pPr>
          </w:p>
          <w:p w:rsidR="00340842" w:rsidRPr="00340842" w:rsidRDefault="00340842" w:rsidP="00340842">
            <w:pPr>
              <w:tabs>
                <w:tab w:val="left" w:pos="1701"/>
              </w:tabs>
              <w:rPr>
                <w:snapToGrid w:val="0"/>
              </w:rPr>
            </w:pPr>
            <w:bookmarkStart w:id="1" w:name="_Hlk57126248"/>
            <w:r w:rsidRPr="00340842">
              <w:rPr>
                <w:snapToGrid w:val="0"/>
              </w:rPr>
              <w:t>Under</w:t>
            </w:r>
            <w:r>
              <w:rPr>
                <w:snapToGrid w:val="0"/>
              </w:rPr>
              <w:t xml:space="preserve">laget utgjordes av kommissionens </w:t>
            </w:r>
            <w:r w:rsidR="004D0396">
              <w:rPr>
                <w:snapToGrid w:val="0"/>
              </w:rPr>
              <w:t>meddelande om ett starkt socialt Europa för rättvisa omställningar</w:t>
            </w:r>
            <w:r>
              <w:rPr>
                <w:snapToGrid w:val="0"/>
              </w:rPr>
              <w:t xml:space="preserve"> </w:t>
            </w:r>
            <w:proofErr w:type="gramStart"/>
            <w:r>
              <w:rPr>
                <w:snapToGrid w:val="0"/>
              </w:rPr>
              <w:t>COM(</w:t>
            </w:r>
            <w:proofErr w:type="gramEnd"/>
            <w:r>
              <w:rPr>
                <w:snapToGrid w:val="0"/>
              </w:rPr>
              <w:t xml:space="preserve">2020) 14 och Regeringskansliets överläggningspromemoria (dnr </w:t>
            </w:r>
            <w:r w:rsidR="004717B9">
              <w:rPr>
                <w:snapToGrid w:val="0"/>
              </w:rPr>
              <w:t>665</w:t>
            </w:r>
            <w:r>
              <w:rPr>
                <w:snapToGrid w:val="0"/>
              </w:rPr>
              <w:t>-2020/21).</w:t>
            </w:r>
          </w:p>
          <w:bookmarkEnd w:id="1"/>
          <w:p w:rsidR="00340842" w:rsidRPr="00340842" w:rsidRDefault="00340842" w:rsidP="00340842">
            <w:pPr>
              <w:widowControl/>
              <w:autoSpaceDE w:val="0"/>
              <w:autoSpaceDN w:val="0"/>
              <w:adjustRightInd w:val="0"/>
              <w:textAlignment w:val="center"/>
              <w:rPr>
                <w:snapToGrid w:val="0"/>
              </w:rPr>
            </w:pPr>
          </w:p>
          <w:p w:rsidR="00340842" w:rsidRDefault="00082012" w:rsidP="00340842">
            <w:pPr>
              <w:widowControl/>
              <w:autoSpaceDE w:val="0"/>
              <w:autoSpaceDN w:val="0"/>
              <w:adjustRightInd w:val="0"/>
              <w:textAlignment w:val="center"/>
              <w:rPr>
                <w:szCs w:val="22"/>
              </w:rPr>
            </w:pPr>
            <w:r>
              <w:rPr>
                <w:szCs w:val="22"/>
              </w:rPr>
              <w:t>Arbetsmarknadsministern</w:t>
            </w:r>
            <w:r w:rsidR="00340842">
              <w:rPr>
                <w:szCs w:val="22"/>
              </w:rPr>
              <w:t xml:space="preserve"> redogjorde för regeringens ståndpunkt i enlighet med överläggningspromemoria</w:t>
            </w:r>
            <w:r w:rsidR="004717B9">
              <w:rPr>
                <w:szCs w:val="22"/>
              </w:rPr>
              <w:t>n (bilaga 2).</w:t>
            </w:r>
          </w:p>
          <w:p w:rsidR="00340842" w:rsidRDefault="00340842" w:rsidP="00340842">
            <w:pPr>
              <w:widowControl/>
              <w:autoSpaceDE w:val="0"/>
              <w:autoSpaceDN w:val="0"/>
              <w:adjustRightInd w:val="0"/>
              <w:textAlignment w:val="center"/>
              <w:rPr>
                <w:szCs w:val="22"/>
              </w:rPr>
            </w:pPr>
          </w:p>
          <w:p w:rsidR="00340842" w:rsidRDefault="00340842" w:rsidP="00340842">
            <w:pPr>
              <w:widowControl/>
              <w:autoSpaceDE w:val="0"/>
              <w:autoSpaceDN w:val="0"/>
              <w:adjustRightInd w:val="0"/>
              <w:textAlignment w:val="center"/>
              <w:rPr>
                <w:szCs w:val="22"/>
              </w:rPr>
            </w:pPr>
            <w:r>
              <w:rPr>
                <w:szCs w:val="22"/>
              </w:rPr>
              <w:t>Ordföranden konstaterade att det fanns stöd för regeringens ståndpunkt.</w:t>
            </w:r>
          </w:p>
          <w:p w:rsidR="00340842" w:rsidRDefault="00340842" w:rsidP="00340842">
            <w:pPr>
              <w:widowControl/>
              <w:autoSpaceDE w:val="0"/>
              <w:autoSpaceDN w:val="0"/>
              <w:adjustRightInd w:val="0"/>
              <w:textAlignment w:val="center"/>
              <w:rPr>
                <w:szCs w:val="22"/>
              </w:rPr>
            </w:pPr>
          </w:p>
          <w:p w:rsidR="00340842" w:rsidRDefault="000A278B" w:rsidP="00340842">
            <w:pPr>
              <w:widowControl/>
              <w:autoSpaceDE w:val="0"/>
              <w:autoSpaceDN w:val="0"/>
              <w:adjustRightInd w:val="0"/>
              <w:textAlignment w:val="center"/>
              <w:rPr>
                <w:szCs w:val="22"/>
              </w:rPr>
            </w:pPr>
            <w:r>
              <w:rPr>
                <w:szCs w:val="22"/>
              </w:rPr>
              <w:t>M- och KD</w:t>
            </w:r>
            <w:r w:rsidR="00340842">
              <w:rPr>
                <w:szCs w:val="22"/>
              </w:rPr>
              <w:t xml:space="preserve">-ledamöterna anmälde </w:t>
            </w:r>
            <w:r w:rsidR="004717B9">
              <w:rPr>
                <w:szCs w:val="22"/>
              </w:rPr>
              <w:t>den avvikande ståndpunkt som framgår av bilaga 3.</w:t>
            </w:r>
          </w:p>
          <w:p w:rsidR="000A278B" w:rsidRDefault="000A278B" w:rsidP="00340842">
            <w:pPr>
              <w:widowControl/>
              <w:autoSpaceDE w:val="0"/>
              <w:autoSpaceDN w:val="0"/>
              <w:adjustRightInd w:val="0"/>
              <w:textAlignment w:val="center"/>
              <w:rPr>
                <w:szCs w:val="22"/>
              </w:rPr>
            </w:pPr>
          </w:p>
          <w:p w:rsidR="000A278B" w:rsidRDefault="000A278B" w:rsidP="00340842">
            <w:pPr>
              <w:widowControl/>
              <w:autoSpaceDE w:val="0"/>
              <w:autoSpaceDN w:val="0"/>
              <w:adjustRightInd w:val="0"/>
              <w:textAlignment w:val="center"/>
              <w:rPr>
                <w:szCs w:val="22"/>
              </w:rPr>
            </w:pPr>
            <w:r>
              <w:rPr>
                <w:szCs w:val="22"/>
              </w:rPr>
              <w:t>SD-ledamöterna anmälde den avvikande ståndpunkt som framgår av bilaga 4.</w:t>
            </w:r>
          </w:p>
          <w:p w:rsidR="00340842" w:rsidRDefault="00340842" w:rsidP="00340842">
            <w:pPr>
              <w:widowControl/>
              <w:autoSpaceDE w:val="0"/>
              <w:autoSpaceDN w:val="0"/>
              <w:adjustRightInd w:val="0"/>
              <w:textAlignment w:val="center"/>
              <w:rPr>
                <w:szCs w:val="22"/>
              </w:rPr>
            </w:pPr>
          </w:p>
          <w:p w:rsidR="00340842" w:rsidRPr="00340842" w:rsidRDefault="00340842" w:rsidP="000B0463">
            <w:pPr>
              <w:widowControl/>
              <w:autoSpaceDE w:val="0"/>
              <w:autoSpaceDN w:val="0"/>
              <w:adjustRightInd w:val="0"/>
              <w:textAlignment w:val="center"/>
              <w:rPr>
                <w:snapToGrid w:val="0"/>
              </w:rPr>
            </w:pPr>
            <w:r>
              <w:rPr>
                <w:szCs w:val="22"/>
              </w:rPr>
              <w:t>Denna paragraf förklarades omedelbart justerad.</w:t>
            </w:r>
          </w:p>
          <w:p w:rsidR="009E4C2E" w:rsidRPr="003E7936" w:rsidRDefault="009E4C2E" w:rsidP="00796F72">
            <w:pPr>
              <w:widowControl/>
              <w:textAlignment w:val="center"/>
              <w:rPr>
                <w:bCs/>
              </w:rPr>
            </w:pPr>
          </w:p>
        </w:tc>
      </w:tr>
      <w:tr w:rsidR="003E7936" w:rsidTr="00EA30B4">
        <w:trPr>
          <w:gridBefore w:val="1"/>
          <w:wBefore w:w="1771" w:type="dxa"/>
        </w:trPr>
        <w:tc>
          <w:tcPr>
            <w:tcW w:w="567" w:type="dxa"/>
          </w:tcPr>
          <w:p w:rsidR="003E7936" w:rsidRDefault="003E7936" w:rsidP="0096348C">
            <w:pPr>
              <w:tabs>
                <w:tab w:val="left" w:pos="1701"/>
              </w:tabs>
              <w:rPr>
                <w:b/>
                <w:snapToGrid w:val="0"/>
              </w:rPr>
            </w:pPr>
            <w:r>
              <w:rPr>
                <w:b/>
                <w:snapToGrid w:val="0"/>
              </w:rPr>
              <w:t>§ 4</w:t>
            </w:r>
          </w:p>
        </w:tc>
        <w:tc>
          <w:tcPr>
            <w:tcW w:w="6877" w:type="dxa"/>
            <w:gridSpan w:val="17"/>
          </w:tcPr>
          <w:p w:rsidR="006847DD" w:rsidRDefault="00796F72" w:rsidP="00796F72">
            <w:pPr>
              <w:tabs>
                <w:tab w:val="left" w:pos="1701"/>
              </w:tabs>
              <w:rPr>
                <w:b/>
                <w:szCs w:val="22"/>
              </w:rPr>
            </w:pPr>
            <w:r w:rsidRPr="0074288E">
              <w:rPr>
                <w:b/>
                <w:szCs w:val="22"/>
              </w:rPr>
              <w:t>Direkt</w:t>
            </w:r>
            <w:r w:rsidR="00C17661">
              <w:rPr>
                <w:b/>
                <w:szCs w:val="22"/>
              </w:rPr>
              <w:t>iv</w:t>
            </w:r>
            <w:r>
              <w:rPr>
                <w:b/>
                <w:szCs w:val="22"/>
              </w:rPr>
              <w:t>förslaget om tillräckliga minimilöner i Europeiska unionen</w:t>
            </w:r>
          </w:p>
          <w:p w:rsidR="00340842" w:rsidRDefault="00340842" w:rsidP="00796F72">
            <w:pPr>
              <w:tabs>
                <w:tab w:val="left" w:pos="1701"/>
              </w:tabs>
              <w:rPr>
                <w:b/>
                <w:szCs w:val="22"/>
              </w:rPr>
            </w:pPr>
          </w:p>
          <w:p w:rsidR="00340842" w:rsidRDefault="00340842" w:rsidP="00340842">
            <w:pPr>
              <w:tabs>
                <w:tab w:val="left" w:pos="1701"/>
              </w:tabs>
              <w:rPr>
                <w:szCs w:val="22"/>
              </w:rPr>
            </w:pPr>
            <w:r w:rsidRPr="00340842">
              <w:rPr>
                <w:szCs w:val="22"/>
              </w:rPr>
              <w:t>Arbetsmarknadsminister</w:t>
            </w:r>
            <w:r>
              <w:rPr>
                <w:szCs w:val="22"/>
              </w:rPr>
              <w:t xml:space="preserve"> Eva Nordmark, biträdd av medarbetare från Arbetsmarknadsdepartementet, informerade om direktivförslaget om tillräckliga minimilöner i Europeiska unionen. </w:t>
            </w:r>
          </w:p>
          <w:p w:rsidR="00340842" w:rsidRDefault="00340842" w:rsidP="00340842">
            <w:pPr>
              <w:tabs>
                <w:tab w:val="left" w:pos="1701"/>
              </w:tabs>
              <w:rPr>
                <w:b/>
                <w:snapToGrid w:val="0"/>
              </w:rPr>
            </w:pPr>
            <w:r>
              <w:rPr>
                <w:szCs w:val="22"/>
              </w:rPr>
              <w:lastRenderedPageBreak/>
              <w:t>A</w:t>
            </w:r>
            <w:r>
              <w:t>rbetsmarknad</w:t>
            </w:r>
            <w:r w:rsidRPr="00B7198D">
              <w:rPr>
                <w:szCs w:val="24"/>
              </w:rPr>
              <w:t xml:space="preserve">sministern </w:t>
            </w:r>
            <w:r>
              <w:rPr>
                <w:szCs w:val="24"/>
              </w:rPr>
              <w:t xml:space="preserve">med medarbetare </w:t>
            </w:r>
            <w:r w:rsidRPr="00B7198D">
              <w:rPr>
                <w:szCs w:val="24"/>
              </w:rPr>
              <w:t>deltog på distans</w:t>
            </w:r>
            <w:r>
              <w:rPr>
                <w:szCs w:val="24"/>
              </w:rPr>
              <w:t>.</w:t>
            </w:r>
          </w:p>
          <w:p w:rsidR="00796F72" w:rsidRDefault="00796F72" w:rsidP="00796F72">
            <w:pPr>
              <w:tabs>
                <w:tab w:val="left" w:pos="1701"/>
              </w:tabs>
              <w:rPr>
                <w:b/>
                <w:snapToGrid w:val="0"/>
              </w:rPr>
            </w:pPr>
          </w:p>
        </w:tc>
      </w:tr>
      <w:tr w:rsidR="00796F72" w:rsidTr="00EA30B4">
        <w:trPr>
          <w:gridBefore w:val="1"/>
          <w:wBefore w:w="1771" w:type="dxa"/>
        </w:trPr>
        <w:tc>
          <w:tcPr>
            <w:tcW w:w="567" w:type="dxa"/>
          </w:tcPr>
          <w:p w:rsidR="00796F72" w:rsidRDefault="00796F72" w:rsidP="0096348C">
            <w:pPr>
              <w:tabs>
                <w:tab w:val="left" w:pos="1701"/>
              </w:tabs>
              <w:rPr>
                <w:b/>
                <w:snapToGrid w:val="0"/>
              </w:rPr>
            </w:pPr>
            <w:r>
              <w:rPr>
                <w:b/>
                <w:snapToGrid w:val="0"/>
              </w:rPr>
              <w:lastRenderedPageBreak/>
              <w:t>§ 5</w:t>
            </w:r>
          </w:p>
        </w:tc>
        <w:tc>
          <w:tcPr>
            <w:tcW w:w="6877" w:type="dxa"/>
            <w:gridSpan w:val="17"/>
          </w:tcPr>
          <w:p w:rsidR="00796F72" w:rsidRDefault="00796F72" w:rsidP="00796F72">
            <w:pPr>
              <w:tabs>
                <w:tab w:val="left" w:pos="1701"/>
              </w:tabs>
              <w:rPr>
                <w:b/>
                <w:szCs w:val="22"/>
              </w:rPr>
            </w:pPr>
            <w:r w:rsidRPr="0074288E">
              <w:rPr>
                <w:b/>
                <w:szCs w:val="22"/>
              </w:rPr>
              <w:t xml:space="preserve">Övriga aktuella </w:t>
            </w:r>
            <w:r>
              <w:rPr>
                <w:b/>
                <w:szCs w:val="22"/>
              </w:rPr>
              <w:t>EU-frågor</w:t>
            </w:r>
          </w:p>
          <w:p w:rsidR="00340842" w:rsidRDefault="00340842" w:rsidP="00796F72">
            <w:pPr>
              <w:tabs>
                <w:tab w:val="left" w:pos="1701"/>
              </w:tabs>
              <w:rPr>
                <w:b/>
                <w:szCs w:val="22"/>
              </w:rPr>
            </w:pPr>
          </w:p>
          <w:p w:rsidR="003C4C58" w:rsidRDefault="00340842" w:rsidP="003C4C58">
            <w:pPr>
              <w:tabs>
                <w:tab w:val="left" w:pos="1701"/>
              </w:tabs>
              <w:rPr>
                <w:szCs w:val="22"/>
              </w:rPr>
            </w:pPr>
            <w:r w:rsidRPr="00340842">
              <w:rPr>
                <w:szCs w:val="22"/>
              </w:rPr>
              <w:t>Arbetsmarknadsminister</w:t>
            </w:r>
            <w:r>
              <w:rPr>
                <w:szCs w:val="22"/>
              </w:rPr>
              <w:t xml:space="preserve"> Eva Nordmark biträdd av medarbetare från Arbetsmarknadsdepartementet informerade om</w:t>
            </w:r>
            <w:r w:rsidR="003C4C58">
              <w:rPr>
                <w:szCs w:val="22"/>
              </w:rPr>
              <w:t>:</w:t>
            </w:r>
            <w:r w:rsidR="003C4C58">
              <w:rPr>
                <w:szCs w:val="22"/>
              </w:rPr>
              <w:br/>
            </w:r>
          </w:p>
          <w:p w:rsidR="003C4C58" w:rsidRPr="003C4C58" w:rsidRDefault="003C4C58" w:rsidP="003C4C58">
            <w:pPr>
              <w:tabs>
                <w:tab w:val="left" w:pos="1701"/>
              </w:tabs>
              <w:rPr>
                <w:szCs w:val="24"/>
              </w:rPr>
            </w:pPr>
            <w:r w:rsidRPr="003C4C58">
              <w:rPr>
                <w:i/>
                <w:szCs w:val="24"/>
              </w:rPr>
              <w:t>Aktuella förhandlingar</w:t>
            </w:r>
          </w:p>
          <w:p w:rsidR="003C4C58" w:rsidRPr="003C4C58" w:rsidRDefault="003C4C58" w:rsidP="003C4C58">
            <w:pPr>
              <w:tabs>
                <w:tab w:val="left" w:pos="1701"/>
              </w:tabs>
              <w:rPr>
                <w:szCs w:val="24"/>
              </w:rPr>
            </w:pPr>
            <w:r w:rsidRPr="003C4C58">
              <w:rPr>
                <w:szCs w:val="24"/>
              </w:rPr>
              <w:t xml:space="preserve">- Europeiska fonden för justering för globaliseringseffekter </w:t>
            </w:r>
          </w:p>
          <w:p w:rsidR="003C4C58" w:rsidRPr="003C4C58" w:rsidRDefault="003C4C58" w:rsidP="003C4C58">
            <w:pPr>
              <w:tabs>
                <w:tab w:val="left" w:pos="1701"/>
              </w:tabs>
              <w:rPr>
                <w:szCs w:val="24"/>
              </w:rPr>
            </w:pPr>
            <w:r w:rsidRPr="003C4C58">
              <w:rPr>
                <w:szCs w:val="24"/>
              </w:rPr>
              <w:t>- Europeiska socialfonden plus</w:t>
            </w:r>
          </w:p>
          <w:p w:rsidR="003C4C58" w:rsidRPr="003C4C58" w:rsidRDefault="003C4C58" w:rsidP="003C4C58">
            <w:pPr>
              <w:tabs>
                <w:tab w:val="left" w:pos="1701"/>
              </w:tabs>
              <w:rPr>
                <w:szCs w:val="24"/>
              </w:rPr>
            </w:pPr>
            <w:r w:rsidRPr="003C4C58">
              <w:rPr>
                <w:szCs w:val="24"/>
              </w:rPr>
              <w:t>- Revidering av förordning 883/2004</w:t>
            </w:r>
          </w:p>
          <w:p w:rsidR="003C4C58" w:rsidRPr="003C4C58" w:rsidRDefault="003C4C58" w:rsidP="003C4C58">
            <w:pPr>
              <w:tabs>
                <w:tab w:val="left" w:pos="1701"/>
              </w:tabs>
              <w:rPr>
                <w:szCs w:val="24"/>
              </w:rPr>
            </w:pPr>
            <w:r w:rsidRPr="003C4C58">
              <w:rPr>
                <w:szCs w:val="24"/>
              </w:rPr>
              <w:t>- Fjärde ändringen av carcinogen- och mutagendirektivet</w:t>
            </w:r>
          </w:p>
          <w:p w:rsidR="003C4C58" w:rsidRPr="003C4C58" w:rsidRDefault="003C4C58" w:rsidP="003C4C58">
            <w:pPr>
              <w:tabs>
                <w:tab w:val="left" w:pos="1701"/>
              </w:tabs>
              <w:rPr>
                <w:szCs w:val="24"/>
              </w:rPr>
            </w:pPr>
            <w:r w:rsidRPr="003C4C58">
              <w:rPr>
                <w:szCs w:val="24"/>
              </w:rPr>
              <w:t xml:space="preserve">- Europeiska planeringsterminen, inklusive </w:t>
            </w:r>
            <w:proofErr w:type="spellStart"/>
            <w:r w:rsidRPr="003C4C58">
              <w:rPr>
                <w:szCs w:val="24"/>
              </w:rPr>
              <w:t>rådsslutsatser</w:t>
            </w:r>
            <w:proofErr w:type="spellEnd"/>
            <w:r w:rsidRPr="003C4C58">
              <w:rPr>
                <w:szCs w:val="24"/>
              </w:rPr>
              <w:t xml:space="preserve"> om     kommissionens årliga hållbara tillväxtstrategi (ASGS)</w:t>
            </w:r>
          </w:p>
          <w:p w:rsidR="003C4C58" w:rsidRPr="003C4C58" w:rsidRDefault="003C4C58" w:rsidP="003C4C58">
            <w:pPr>
              <w:tabs>
                <w:tab w:val="left" w:pos="1701"/>
              </w:tabs>
              <w:rPr>
                <w:i/>
                <w:szCs w:val="24"/>
              </w:rPr>
            </w:pPr>
          </w:p>
          <w:p w:rsidR="003C4C58" w:rsidRPr="003C4C58" w:rsidRDefault="003C4C58" w:rsidP="003C4C58">
            <w:pPr>
              <w:tabs>
                <w:tab w:val="left" w:pos="1701"/>
              </w:tabs>
              <w:rPr>
                <w:szCs w:val="24"/>
              </w:rPr>
            </w:pPr>
            <w:r w:rsidRPr="003C4C58">
              <w:rPr>
                <w:i/>
                <w:szCs w:val="24"/>
              </w:rPr>
              <w:t>Rådsmöten under hösten 2020</w:t>
            </w:r>
          </w:p>
          <w:p w:rsidR="003C4C58" w:rsidRPr="003C4C58" w:rsidRDefault="003C4C58" w:rsidP="003C4C58">
            <w:pPr>
              <w:tabs>
                <w:tab w:val="left" w:pos="1701"/>
              </w:tabs>
              <w:rPr>
                <w:szCs w:val="24"/>
              </w:rPr>
            </w:pPr>
            <w:r w:rsidRPr="003C4C58">
              <w:rPr>
                <w:szCs w:val="24"/>
              </w:rPr>
              <w:t>- Videomötet den 13 oktober</w:t>
            </w:r>
            <w:r w:rsidRPr="003C4C58">
              <w:rPr>
                <w:szCs w:val="24"/>
              </w:rPr>
              <w:br/>
              <w:t>- Videomötet den 3 december</w:t>
            </w:r>
          </w:p>
          <w:p w:rsidR="00082012" w:rsidRDefault="00082012" w:rsidP="00340842">
            <w:pPr>
              <w:tabs>
                <w:tab w:val="left" w:pos="1701"/>
              </w:tabs>
              <w:rPr>
                <w:szCs w:val="22"/>
              </w:rPr>
            </w:pPr>
          </w:p>
          <w:p w:rsidR="00082012" w:rsidRDefault="00082012" w:rsidP="00082012">
            <w:pPr>
              <w:tabs>
                <w:tab w:val="left" w:pos="1701"/>
              </w:tabs>
              <w:rPr>
                <w:b/>
                <w:snapToGrid w:val="0"/>
              </w:rPr>
            </w:pPr>
            <w:r>
              <w:rPr>
                <w:szCs w:val="22"/>
              </w:rPr>
              <w:t>A</w:t>
            </w:r>
            <w:r>
              <w:t>rbetsmarknad</w:t>
            </w:r>
            <w:r w:rsidRPr="00B7198D">
              <w:rPr>
                <w:szCs w:val="24"/>
              </w:rPr>
              <w:t xml:space="preserve">sministern </w:t>
            </w:r>
            <w:r>
              <w:rPr>
                <w:szCs w:val="24"/>
              </w:rPr>
              <w:t xml:space="preserve">med medarbetare </w:t>
            </w:r>
            <w:r w:rsidRPr="00B7198D">
              <w:rPr>
                <w:szCs w:val="24"/>
              </w:rPr>
              <w:t>deltog på distans</w:t>
            </w:r>
            <w:r>
              <w:rPr>
                <w:szCs w:val="24"/>
              </w:rPr>
              <w:t>.</w:t>
            </w:r>
          </w:p>
          <w:p w:rsidR="00796F72" w:rsidRPr="0074288E" w:rsidRDefault="00796F72" w:rsidP="0096348C">
            <w:pPr>
              <w:tabs>
                <w:tab w:val="left" w:pos="1701"/>
              </w:tabs>
              <w:rPr>
                <w:b/>
                <w:szCs w:val="22"/>
              </w:rPr>
            </w:pPr>
          </w:p>
        </w:tc>
      </w:tr>
      <w:tr w:rsidR="00796F72" w:rsidTr="00EA30B4">
        <w:trPr>
          <w:gridBefore w:val="1"/>
          <w:wBefore w:w="1771" w:type="dxa"/>
        </w:trPr>
        <w:tc>
          <w:tcPr>
            <w:tcW w:w="567" w:type="dxa"/>
          </w:tcPr>
          <w:p w:rsidR="00796F72" w:rsidRDefault="00796F72" w:rsidP="0096348C">
            <w:pPr>
              <w:tabs>
                <w:tab w:val="left" w:pos="1701"/>
              </w:tabs>
              <w:rPr>
                <w:b/>
                <w:snapToGrid w:val="0"/>
              </w:rPr>
            </w:pPr>
            <w:r>
              <w:rPr>
                <w:b/>
                <w:snapToGrid w:val="0"/>
              </w:rPr>
              <w:t>§ 6</w:t>
            </w:r>
          </w:p>
        </w:tc>
        <w:tc>
          <w:tcPr>
            <w:tcW w:w="6877" w:type="dxa"/>
            <w:gridSpan w:val="17"/>
          </w:tcPr>
          <w:p w:rsidR="00340842" w:rsidRDefault="00796F72" w:rsidP="003E7936">
            <w:pPr>
              <w:pStyle w:val="Default"/>
              <w:rPr>
                <w:b/>
              </w:rPr>
            </w:pPr>
            <w:r w:rsidRPr="0074288E">
              <w:rPr>
                <w:b/>
              </w:rPr>
              <w:t>Reformeringen av anställningsskyddslagen</w:t>
            </w:r>
          </w:p>
          <w:p w:rsidR="00340842" w:rsidRDefault="00340842" w:rsidP="003E7936">
            <w:pPr>
              <w:pStyle w:val="Default"/>
            </w:pPr>
          </w:p>
          <w:p w:rsidR="00340842" w:rsidRPr="00340842" w:rsidRDefault="00340842" w:rsidP="00340842">
            <w:pPr>
              <w:tabs>
                <w:tab w:val="left" w:pos="1701"/>
              </w:tabs>
              <w:rPr>
                <w:szCs w:val="22"/>
              </w:rPr>
            </w:pPr>
            <w:r w:rsidRPr="00340842">
              <w:rPr>
                <w:szCs w:val="22"/>
              </w:rPr>
              <w:t>Arbetsmarknadsminister</w:t>
            </w:r>
            <w:r>
              <w:rPr>
                <w:szCs w:val="22"/>
              </w:rPr>
              <w:t xml:space="preserve"> Eva Nordmark biträdd av medarbetare från Arbetsmarknadsdepartementet informerade om reformeringen av anställningsskyddslagen.</w:t>
            </w:r>
          </w:p>
          <w:p w:rsidR="00340842" w:rsidRDefault="00340842" w:rsidP="003E7936">
            <w:pPr>
              <w:pStyle w:val="Default"/>
            </w:pPr>
          </w:p>
          <w:p w:rsidR="00796F72" w:rsidRDefault="00340842" w:rsidP="00340842">
            <w:pPr>
              <w:tabs>
                <w:tab w:val="left" w:pos="1701"/>
              </w:tabs>
              <w:rPr>
                <w:b/>
                <w:bCs/>
                <w:sz w:val="23"/>
                <w:szCs w:val="23"/>
              </w:rPr>
            </w:pPr>
            <w:r>
              <w:rPr>
                <w:szCs w:val="22"/>
              </w:rPr>
              <w:t>A</w:t>
            </w:r>
            <w:r>
              <w:t>rbetsmarknad</w:t>
            </w:r>
            <w:r w:rsidRPr="00B7198D">
              <w:rPr>
                <w:szCs w:val="24"/>
              </w:rPr>
              <w:t xml:space="preserve">sministern </w:t>
            </w:r>
            <w:r>
              <w:rPr>
                <w:szCs w:val="24"/>
              </w:rPr>
              <w:t xml:space="preserve">med medarbetare </w:t>
            </w:r>
            <w:r w:rsidRPr="00B7198D">
              <w:rPr>
                <w:szCs w:val="24"/>
              </w:rPr>
              <w:t>deltog på distans</w:t>
            </w:r>
            <w:r>
              <w:rPr>
                <w:szCs w:val="24"/>
              </w:rPr>
              <w:t>.</w:t>
            </w:r>
            <w:r w:rsidR="00796F72">
              <w:br/>
            </w:r>
          </w:p>
        </w:tc>
      </w:tr>
      <w:tr w:rsidR="003E7936" w:rsidTr="00EA30B4">
        <w:trPr>
          <w:gridBefore w:val="1"/>
          <w:wBefore w:w="1771" w:type="dxa"/>
        </w:trPr>
        <w:tc>
          <w:tcPr>
            <w:tcW w:w="567" w:type="dxa"/>
          </w:tcPr>
          <w:p w:rsidR="003E7936" w:rsidRDefault="003E7936" w:rsidP="0096348C">
            <w:pPr>
              <w:tabs>
                <w:tab w:val="left" w:pos="1701"/>
              </w:tabs>
              <w:rPr>
                <w:b/>
                <w:snapToGrid w:val="0"/>
              </w:rPr>
            </w:pPr>
            <w:r>
              <w:rPr>
                <w:b/>
                <w:snapToGrid w:val="0"/>
              </w:rPr>
              <w:t xml:space="preserve">§ </w:t>
            </w:r>
            <w:r w:rsidR="003C4C58">
              <w:rPr>
                <w:b/>
                <w:snapToGrid w:val="0"/>
              </w:rPr>
              <w:t>7</w:t>
            </w:r>
          </w:p>
        </w:tc>
        <w:tc>
          <w:tcPr>
            <w:tcW w:w="6877" w:type="dxa"/>
            <w:gridSpan w:val="17"/>
          </w:tcPr>
          <w:p w:rsidR="006847DD" w:rsidRDefault="00796F72" w:rsidP="00796F72">
            <w:pPr>
              <w:pStyle w:val="Default"/>
              <w:rPr>
                <w:b/>
                <w:szCs w:val="22"/>
              </w:rPr>
            </w:pPr>
            <w:r w:rsidRPr="0074288E">
              <w:rPr>
                <w:b/>
                <w:szCs w:val="22"/>
              </w:rPr>
              <w:t>Direkt</w:t>
            </w:r>
            <w:r w:rsidR="008A4E92">
              <w:rPr>
                <w:b/>
                <w:szCs w:val="22"/>
              </w:rPr>
              <w:t>iv</w:t>
            </w:r>
            <w:r>
              <w:rPr>
                <w:b/>
                <w:szCs w:val="22"/>
              </w:rPr>
              <w:t>förslaget om tillräckliga minimilöner i Europeiska unionen</w:t>
            </w:r>
          </w:p>
          <w:p w:rsidR="00340842" w:rsidRDefault="00340842" w:rsidP="00796F72">
            <w:pPr>
              <w:pStyle w:val="Default"/>
              <w:rPr>
                <w:sz w:val="23"/>
                <w:szCs w:val="23"/>
              </w:rPr>
            </w:pPr>
          </w:p>
          <w:p w:rsidR="00340842" w:rsidRDefault="00340842" w:rsidP="00340842">
            <w:pPr>
              <w:tabs>
                <w:tab w:val="left" w:pos="1701"/>
              </w:tabs>
              <w:rPr>
                <w:snapToGrid w:val="0"/>
              </w:rPr>
            </w:pPr>
            <w:r w:rsidRPr="00213339">
              <w:rPr>
                <w:snapToGrid w:val="0"/>
              </w:rPr>
              <w:t>Utskottet</w:t>
            </w:r>
            <w:r>
              <w:rPr>
                <w:snapToGrid w:val="0"/>
              </w:rPr>
              <w:t xml:space="preserve"> fortsatte subsidiaritetsprövningen av </w:t>
            </w:r>
            <w:proofErr w:type="gramStart"/>
            <w:r>
              <w:rPr>
                <w:snapToGrid w:val="0"/>
              </w:rPr>
              <w:t>COM(</w:t>
            </w:r>
            <w:proofErr w:type="gramEnd"/>
            <w:r>
              <w:rPr>
                <w:snapToGrid w:val="0"/>
              </w:rPr>
              <w:t>2020) 682.</w:t>
            </w:r>
          </w:p>
          <w:p w:rsidR="00340842" w:rsidRDefault="00340842" w:rsidP="00340842">
            <w:pPr>
              <w:tabs>
                <w:tab w:val="left" w:pos="1701"/>
              </w:tabs>
              <w:rPr>
                <w:snapToGrid w:val="0"/>
              </w:rPr>
            </w:pPr>
          </w:p>
          <w:p w:rsidR="00796F72" w:rsidRDefault="00340842" w:rsidP="00340842">
            <w:pPr>
              <w:tabs>
                <w:tab w:val="left" w:pos="1701"/>
              </w:tabs>
              <w:rPr>
                <w:sz w:val="23"/>
                <w:szCs w:val="23"/>
              </w:rPr>
            </w:pPr>
            <w:r>
              <w:rPr>
                <w:snapToGrid w:val="0"/>
              </w:rPr>
              <w:t>Ärendet bordlades.</w:t>
            </w:r>
          </w:p>
          <w:p w:rsidR="003E7936" w:rsidRDefault="003E7936" w:rsidP="00796F72">
            <w:pPr>
              <w:widowControl/>
              <w:autoSpaceDE w:val="0"/>
              <w:autoSpaceDN w:val="0"/>
              <w:adjustRightInd w:val="0"/>
              <w:textAlignment w:val="center"/>
              <w:rPr>
                <w:b/>
                <w:snapToGrid w:val="0"/>
              </w:rPr>
            </w:pPr>
          </w:p>
        </w:tc>
      </w:tr>
      <w:tr w:rsidR="003C4C58" w:rsidTr="00EA30B4">
        <w:trPr>
          <w:gridBefore w:val="1"/>
          <w:wBefore w:w="1771" w:type="dxa"/>
        </w:trPr>
        <w:tc>
          <w:tcPr>
            <w:tcW w:w="567" w:type="dxa"/>
          </w:tcPr>
          <w:p w:rsidR="003C4C58" w:rsidRDefault="003C4C58" w:rsidP="003C4C58">
            <w:pPr>
              <w:tabs>
                <w:tab w:val="left" w:pos="1701"/>
              </w:tabs>
              <w:rPr>
                <w:b/>
                <w:snapToGrid w:val="0"/>
              </w:rPr>
            </w:pPr>
            <w:r>
              <w:rPr>
                <w:b/>
                <w:snapToGrid w:val="0"/>
              </w:rPr>
              <w:t xml:space="preserve">§ </w:t>
            </w:r>
            <w:r w:rsidR="0069356D">
              <w:rPr>
                <w:b/>
                <w:snapToGrid w:val="0"/>
              </w:rPr>
              <w:t>8</w:t>
            </w:r>
          </w:p>
        </w:tc>
        <w:tc>
          <w:tcPr>
            <w:tcW w:w="6877" w:type="dxa"/>
            <w:gridSpan w:val="17"/>
          </w:tcPr>
          <w:p w:rsidR="003C4C58" w:rsidRDefault="003C4C58" w:rsidP="003C4C58">
            <w:pPr>
              <w:pStyle w:val="Default"/>
              <w:rPr>
                <w:b/>
                <w:bCs/>
                <w:sz w:val="23"/>
                <w:szCs w:val="23"/>
              </w:rPr>
            </w:pPr>
            <w:r>
              <w:rPr>
                <w:b/>
                <w:bCs/>
                <w:sz w:val="23"/>
                <w:szCs w:val="23"/>
              </w:rPr>
              <w:t xml:space="preserve">Förslag till utskottsinitiativ om att säkra att Arbetsförmedlingen har lokal närvaro med relevant personal i hela landet </w:t>
            </w:r>
          </w:p>
          <w:p w:rsidR="003C4C58" w:rsidRDefault="003C4C58" w:rsidP="003C4C58">
            <w:pPr>
              <w:pStyle w:val="Default"/>
              <w:rPr>
                <w:sz w:val="23"/>
                <w:szCs w:val="23"/>
              </w:rPr>
            </w:pPr>
          </w:p>
          <w:p w:rsidR="003C4C58" w:rsidRPr="00FE364E" w:rsidRDefault="003C4C58" w:rsidP="003C4C58">
            <w:pPr>
              <w:pStyle w:val="Default"/>
              <w:rPr>
                <w:bCs/>
              </w:rPr>
            </w:pPr>
            <w:r w:rsidRPr="00FE364E">
              <w:t xml:space="preserve">Utskottet </w:t>
            </w:r>
            <w:r>
              <w:t xml:space="preserve">fortsatte behandlingen </w:t>
            </w:r>
            <w:r w:rsidR="00285558">
              <w:t>av ett</w:t>
            </w:r>
            <w:r>
              <w:t xml:space="preserve"> förslag om ett</w:t>
            </w:r>
            <w:r w:rsidRPr="00FE364E">
              <w:t xml:space="preserve"> utskottsinitiativ</w:t>
            </w:r>
            <w:r w:rsidRPr="00FE364E">
              <w:rPr>
                <w:b/>
                <w:bCs/>
              </w:rPr>
              <w:t xml:space="preserve"> </w:t>
            </w:r>
            <w:r w:rsidRPr="00FE364E">
              <w:rPr>
                <w:bCs/>
              </w:rPr>
              <w:t>om att säkra att Arbetsförmedlingen har lokal närvaro med relevant personal i hela landet.</w:t>
            </w:r>
          </w:p>
          <w:p w:rsidR="003C4C58" w:rsidRDefault="003C4C58" w:rsidP="003C4C58">
            <w:pPr>
              <w:pStyle w:val="Default"/>
              <w:rPr>
                <w:bCs/>
              </w:rPr>
            </w:pPr>
          </w:p>
          <w:p w:rsidR="003C4C58" w:rsidRDefault="003C4C58" w:rsidP="003C4C58">
            <w:pPr>
              <w:pStyle w:val="Default"/>
              <w:rPr>
                <w:bCs/>
              </w:rPr>
            </w:pPr>
            <w:r>
              <w:rPr>
                <w:bCs/>
              </w:rPr>
              <w:t>Ordföranden informerade utskottet om det arbete som pågår i Regeringskansliet i frågan.</w:t>
            </w:r>
          </w:p>
          <w:p w:rsidR="003C4C58" w:rsidRPr="00FE364E" w:rsidRDefault="003C4C58" w:rsidP="003C4C58">
            <w:pPr>
              <w:pStyle w:val="Default"/>
              <w:rPr>
                <w:bCs/>
              </w:rPr>
            </w:pPr>
          </w:p>
          <w:p w:rsidR="003C4C58" w:rsidRDefault="003C4C58" w:rsidP="003C4C58">
            <w:pPr>
              <w:pStyle w:val="Default"/>
              <w:rPr>
                <w:bCs/>
              </w:rPr>
            </w:pPr>
            <w:r>
              <w:rPr>
                <w:bCs/>
              </w:rPr>
              <w:t>Utskottet beslutade att inte ta något initiativ.</w:t>
            </w:r>
          </w:p>
          <w:p w:rsidR="003C4C58" w:rsidRDefault="003C4C58" w:rsidP="003C4C58">
            <w:pPr>
              <w:pStyle w:val="Default"/>
            </w:pPr>
          </w:p>
          <w:p w:rsidR="003C4C58" w:rsidRDefault="003C4C58" w:rsidP="003C4C58">
            <w:pPr>
              <w:pStyle w:val="Default"/>
            </w:pPr>
            <w:r>
              <w:t>V-ledamoten reserverade sig mot beslutet.</w:t>
            </w:r>
          </w:p>
          <w:p w:rsidR="003C4C58" w:rsidRDefault="003C4C58" w:rsidP="003C4C58">
            <w:pPr>
              <w:pStyle w:val="Default"/>
            </w:pPr>
          </w:p>
          <w:p w:rsidR="003C4C58" w:rsidRPr="00FE364E" w:rsidRDefault="003C4C58" w:rsidP="003C4C58">
            <w:pPr>
              <w:widowControl/>
              <w:autoSpaceDE w:val="0"/>
              <w:autoSpaceDN w:val="0"/>
              <w:adjustRightInd w:val="0"/>
              <w:textAlignment w:val="center"/>
            </w:pPr>
            <w:r>
              <w:rPr>
                <w:szCs w:val="22"/>
              </w:rPr>
              <w:t>Denna paragraf förklarades omedelbart justerad.</w:t>
            </w:r>
          </w:p>
          <w:p w:rsidR="003C4C58" w:rsidRDefault="003C4C58" w:rsidP="003C4C58">
            <w:pPr>
              <w:tabs>
                <w:tab w:val="left" w:pos="1701"/>
              </w:tabs>
              <w:rPr>
                <w:b/>
                <w:snapToGrid w:val="0"/>
              </w:rPr>
            </w:pPr>
          </w:p>
        </w:tc>
      </w:tr>
      <w:tr w:rsidR="003C4C58" w:rsidTr="00EA30B4">
        <w:trPr>
          <w:gridBefore w:val="1"/>
          <w:wBefore w:w="1771" w:type="dxa"/>
        </w:trPr>
        <w:tc>
          <w:tcPr>
            <w:tcW w:w="567" w:type="dxa"/>
          </w:tcPr>
          <w:p w:rsidR="003C4C58" w:rsidRDefault="003C4C58" w:rsidP="003C4C58">
            <w:pPr>
              <w:tabs>
                <w:tab w:val="left" w:pos="1701"/>
              </w:tabs>
              <w:rPr>
                <w:b/>
                <w:snapToGrid w:val="0"/>
              </w:rPr>
            </w:pPr>
            <w:r>
              <w:rPr>
                <w:b/>
                <w:snapToGrid w:val="0"/>
              </w:rPr>
              <w:t xml:space="preserve">§ </w:t>
            </w:r>
            <w:r w:rsidR="0069356D">
              <w:rPr>
                <w:b/>
                <w:snapToGrid w:val="0"/>
              </w:rPr>
              <w:t>9</w:t>
            </w:r>
          </w:p>
        </w:tc>
        <w:tc>
          <w:tcPr>
            <w:tcW w:w="6877" w:type="dxa"/>
            <w:gridSpan w:val="17"/>
          </w:tcPr>
          <w:p w:rsidR="003C4C58" w:rsidRDefault="003C4C58" w:rsidP="003C4C58">
            <w:pPr>
              <w:tabs>
                <w:tab w:val="left" w:pos="1701"/>
              </w:tabs>
              <w:rPr>
                <w:b/>
                <w:snapToGrid w:val="0"/>
              </w:rPr>
            </w:pPr>
            <w:r>
              <w:rPr>
                <w:b/>
                <w:snapToGrid w:val="0"/>
              </w:rPr>
              <w:t>Kanslimeddelanden</w:t>
            </w:r>
          </w:p>
          <w:p w:rsidR="00827158" w:rsidRDefault="00827158" w:rsidP="003C4C58">
            <w:pPr>
              <w:tabs>
                <w:tab w:val="left" w:pos="1701"/>
              </w:tabs>
              <w:rPr>
                <w:snapToGrid w:val="0"/>
              </w:rPr>
            </w:pPr>
          </w:p>
          <w:p w:rsidR="003C4C58" w:rsidRDefault="00827158" w:rsidP="003C4C58">
            <w:pPr>
              <w:tabs>
                <w:tab w:val="left" w:pos="1701"/>
              </w:tabs>
              <w:rPr>
                <w:snapToGrid w:val="0"/>
              </w:rPr>
            </w:pPr>
            <w:r>
              <w:rPr>
                <w:snapToGrid w:val="0"/>
              </w:rPr>
              <w:t xml:space="preserve">- </w:t>
            </w:r>
            <w:r w:rsidR="003C4C58" w:rsidRPr="0034388C">
              <w:rPr>
                <w:snapToGrid w:val="0"/>
              </w:rPr>
              <w:t>Kanslichefen anmälde sammanträdesplanen.</w:t>
            </w:r>
          </w:p>
          <w:p w:rsidR="003C4C58" w:rsidRDefault="003C4C58" w:rsidP="003C4C58">
            <w:pPr>
              <w:tabs>
                <w:tab w:val="left" w:pos="1701"/>
              </w:tabs>
              <w:rPr>
                <w:b/>
                <w:snapToGrid w:val="0"/>
              </w:rPr>
            </w:pPr>
          </w:p>
          <w:p w:rsidR="003C4C58" w:rsidRPr="0046393D" w:rsidRDefault="00827158" w:rsidP="00D5681C">
            <w:pPr>
              <w:tabs>
                <w:tab w:val="left" w:pos="1701"/>
              </w:tabs>
              <w:rPr>
                <w:snapToGrid w:val="0"/>
              </w:rPr>
            </w:pPr>
            <w:r>
              <w:rPr>
                <w:snapToGrid w:val="0"/>
              </w:rPr>
              <w:t xml:space="preserve">- </w:t>
            </w:r>
            <w:r w:rsidR="003C4C58" w:rsidRPr="00340842">
              <w:rPr>
                <w:snapToGrid w:val="0"/>
              </w:rPr>
              <w:t>Kanslichefen anmälde en inkommen skrivelse</w:t>
            </w:r>
            <w:r w:rsidR="003C4C58">
              <w:rPr>
                <w:snapToGrid w:val="0"/>
              </w:rPr>
              <w:t xml:space="preserve"> enligt </w:t>
            </w:r>
            <w:r w:rsidR="00D5681C">
              <w:rPr>
                <w:snapToGrid w:val="0"/>
              </w:rPr>
              <w:t>dnr 639–2020/21</w:t>
            </w:r>
            <w:r w:rsidR="003C4C58">
              <w:rPr>
                <w:snapToGrid w:val="0"/>
              </w:rPr>
              <w:t>.</w:t>
            </w:r>
          </w:p>
        </w:tc>
      </w:tr>
      <w:tr w:rsidR="003C4C58" w:rsidTr="00EA30B4">
        <w:trPr>
          <w:gridBefore w:val="1"/>
          <w:wBefore w:w="1771" w:type="dxa"/>
        </w:trPr>
        <w:tc>
          <w:tcPr>
            <w:tcW w:w="567" w:type="dxa"/>
          </w:tcPr>
          <w:p w:rsidR="003C4C58" w:rsidRDefault="003C4C58" w:rsidP="003C4C58">
            <w:pPr>
              <w:tabs>
                <w:tab w:val="left" w:pos="1701"/>
              </w:tabs>
              <w:rPr>
                <w:b/>
                <w:snapToGrid w:val="0"/>
              </w:rPr>
            </w:pPr>
            <w:r>
              <w:rPr>
                <w:b/>
                <w:snapToGrid w:val="0"/>
              </w:rPr>
              <w:lastRenderedPageBreak/>
              <w:t>§ 1</w:t>
            </w:r>
            <w:r w:rsidR="0069356D">
              <w:rPr>
                <w:b/>
                <w:snapToGrid w:val="0"/>
              </w:rPr>
              <w:t>0</w:t>
            </w:r>
          </w:p>
        </w:tc>
        <w:tc>
          <w:tcPr>
            <w:tcW w:w="6877" w:type="dxa"/>
            <w:gridSpan w:val="17"/>
          </w:tcPr>
          <w:p w:rsidR="003C4C58" w:rsidRDefault="003C4C58" w:rsidP="003C4C58">
            <w:pPr>
              <w:tabs>
                <w:tab w:val="left" w:pos="1701"/>
              </w:tabs>
              <w:rPr>
                <w:b/>
                <w:snapToGrid w:val="0"/>
              </w:rPr>
            </w:pPr>
            <w:r>
              <w:rPr>
                <w:b/>
                <w:snapToGrid w:val="0"/>
              </w:rPr>
              <w:t>Nästa sammanträde</w:t>
            </w:r>
          </w:p>
          <w:p w:rsidR="003C4C58" w:rsidRDefault="003C4C58" w:rsidP="003C4C58">
            <w:pPr>
              <w:tabs>
                <w:tab w:val="left" w:pos="1701"/>
              </w:tabs>
              <w:rPr>
                <w:b/>
                <w:snapToGrid w:val="0"/>
              </w:rPr>
            </w:pPr>
          </w:p>
          <w:p w:rsidR="003C4C58" w:rsidRPr="00F93B25" w:rsidRDefault="003C4C58" w:rsidP="003C4C58">
            <w:pPr>
              <w:tabs>
                <w:tab w:val="left" w:pos="1701"/>
              </w:tabs>
              <w:rPr>
                <w:snapToGrid w:val="0"/>
              </w:rPr>
            </w:pPr>
            <w:r>
              <w:rPr>
                <w:snapToGrid w:val="0"/>
              </w:rPr>
              <w:t>Utskottet beslutade att nästa sammanträde ska äga rum torsdagen den 3 december 2020 kl. 10.00.</w:t>
            </w:r>
          </w:p>
        </w:tc>
      </w:tr>
      <w:tr w:rsidR="003C4C58" w:rsidTr="00EA30B4">
        <w:trPr>
          <w:gridBefore w:val="1"/>
          <w:wBefore w:w="1771" w:type="dxa"/>
        </w:trPr>
        <w:tc>
          <w:tcPr>
            <w:tcW w:w="567" w:type="dxa"/>
          </w:tcPr>
          <w:p w:rsidR="003C4C58" w:rsidRDefault="003C4C58" w:rsidP="003C4C58">
            <w:pPr>
              <w:tabs>
                <w:tab w:val="left" w:pos="1701"/>
              </w:tabs>
              <w:rPr>
                <w:b/>
                <w:snapToGrid w:val="0"/>
              </w:rPr>
            </w:pPr>
          </w:p>
        </w:tc>
        <w:tc>
          <w:tcPr>
            <w:tcW w:w="6877" w:type="dxa"/>
            <w:gridSpan w:val="17"/>
          </w:tcPr>
          <w:p w:rsidR="003C4C58" w:rsidRDefault="003C4C58" w:rsidP="003C4C58">
            <w:pPr>
              <w:tabs>
                <w:tab w:val="left" w:pos="1701"/>
              </w:tabs>
              <w:rPr>
                <w:b/>
                <w:snapToGrid w:val="0"/>
              </w:rPr>
            </w:pPr>
          </w:p>
        </w:tc>
      </w:tr>
      <w:tr w:rsidR="003C4C58" w:rsidTr="00EA30B4">
        <w:trPr>
          <w:gridBefore w:val="1"/>
          <w:gridAfter w:val="1"/>
          <w:wBefore w:w="1771" w:type="dxa"/>
          <w:wAfter w:w="288" w:type="dxa"/>
        </w:trPr>
        <w:tc>
          <w:tcPr>
            <w:tcW w:w="7156" w:type="dxa"/>
            <w:gridSpan w:val="17"/>
          </w:tcPr>
          <w:p w:rsidR="003C4C58" w:rsidRDefault="003C4C58" w:rsidP="003C4C58">
            <w:pPr>
              <w:tabs>
                <w:tab w:val="left" w:pos="1701"/>
              </w:tabs>
            </w:pPr>
            <w:r>
              <w:t>Vid protokollet</w:t>
            </w:r>
          </w:p>
          <w:p w:rsidR="003C4C58" w:rsidRDefault="003C4C58" w:rsidP="003C4C58">
            <w:pPr>
              <w:tabs>
                <w:tab w:val="left" w:pos="1701"/>
              </w:tabs>
            </w:pPr>
          </w:p>
          <w:p w:rsidR="003C4C58" w:rsidRPr="00CF4289" w:rsidRDefault="003C4C58" w:rsidP="003C4C58">
            <w:pPr>
              <w:tabs>
                <w:tab w:val="left" w:pos="1701"/>
              </w:tabs>
              <w:spacing w:before="60"/>
              <w:rPr>
                <w:i/>
              </w:rPr>
            </w:pPr>
          </w:p>
          <w:p w:rsidR="003C4C58" w:rsidRDefault="003C4C58" w:rsidP="003C4C58">
            <w:pPr>
              <w:tabs>
                <w:tab w:val="left" w:pos="1701"/>
              </w:tabs>
            </w:pPr>
            <w:r>
              <w:t>Justeras den 3 december 2020</w:t>
            </w: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D5681C" w:rsidRDefault="00D5681C"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69356D" w:rsidRDefault="0069356D"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Default="003C4C58" w:rsidP="003C4C58">
            <w:pPr>
              <w:tabs>
                <w:tab w:val="left" w:pos="1701"/>
              </w:tabs>
            </w:pPr>
          </w:p>
          <w:p w:rsidR="003C4C58" w:rsidRPr="00CF4289" w:rsidRDefault="003C4C58" w:rsidP="003C4C58">
            <w:pPr>
              <w:tabs>
                <w:tab w:val="left" w:pos="1701"/>
              </w:tabs>
            </w:pPr>
          </w:p>
        </w:tc>
      </w:tr>
      <w:tr w:rsidR="003C4C58" w:rsidTr="00EA30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8" w:type="dxa"/>
        </w:trPr>
        <w:tc>
          <w:tcPr>
            <w:tcW w:w="3969" w:type="dxa"/>
            <w:gridSpan w:val="3"/>
            <w:tcBorders>
              <w:top w:val="nil"/>
              <w:left w:val="nil"/>
              <w:bottom w:val="nil"/>
              <w:right w:val="nil"/>
            </w:tcBorders>
          </w:tcPr>
          <w:p w:rsidR="003C4C58" w:rsidRDefault="003C4C58" w:rsidP="003C4C58">
            <w:pPr>
              <w:tabs>
                <w:tab w:val="left" w:pos="1701"/>
              </w:tabs>
            </w:pPr>
            <w:r>
              <w:lastRenderedPageBreak/>
              <w:br w:type="page"/>
              <w:t>ARBETSMARKNADSUTSKOTTET</w:t>
            </w:r>
          </w:p>
        </w:tc>
        <w:tc>
          <w:tcPr>
            <w:tcW w:w="3472" w:type="dxa"/>
            <w:gridSpan w:val="10"/>
            <w:tcBorders>
              <w:top w:val="nil"/>
              <w:left w:val="nil"/>
              <w:bottom w:val="nil"/>
              <w:right w:val="nil"/>
            </w:tcBorders>
          </w:tcPr>
          <w:p w:rsidR="003C4C58" w:rsidRDefault="003C4C58" w:rsidP="003C4C58">
            <w:pPr>
              <w:tabs>
                <w:tab w:val="left" w:pos="1701"/>
              </w:tabs>
              <w:jc w:val="center"/>
              <w:rPr>
                <w:b/>
              </w:rPr>
            </w:pPr>
            <w:r>
              <w:rPr>
                <w:b/>
              </w:rPr>
              <w:t>NÄRVAROFÖRTECKNING</w:t>
            </w:r>
          </w:p>
        </w:tc>
        <w:tc>
          <w:tcPr>
            <w:tcW w:w="1486" w:type="dxa"/>
            <w:gridSpan w:val="5"/>
            <w:tcBorders>
              <w:top w:val="nil"/>
              <w:left w:val="nil"/>
              <w:bottom w:val="nil"/>
              <w:right w:val="nil"/>
            </w:tcBorders>
          </w:tcPr>
          <w:p w:rsidR="003C4C58" w:rsidRDefault="003C4C58" w:rsidP="003C4C58">
            <w:pPr>
              <w:rPr>
                <w:b/>
              </w:rPr>
            </w:pPr>
            <w:r>
              <w:rPr>
                <w:b/>
              </w:rPr>
              <w:t>Bilaga 1</w:t>
            </w:r>
          </w:p>
          <w:p w:rsidR="003C4C58" w:rsidRDefault="003C4C58" w:rsidP="003C4C58">
            <w:r>
              <w:t>till protokoll</w:t>
            </w:r>
          </w:p>
          <w:p w:rsidR="003C4C58" w:rsidRDefault="003C4C58" w:rsidP="003C4C58">
            <w:r>
              <w:t>2020/21:11</w:t>
            </w:r>
          </w:p>
        </w:tc>
      </w:tr>
      <w:tr w:rsidR="003C4C58" w:rsidTr="00EA30B4">
        <w:tblPrEx>
          <w:tblLook w:val="0000" w:firstRow="0" w:lastRow="0" w:firstColumn="0" w:lastColumn="0" w:noHBand="0" w:noVBand="0"/>
        </w:tblPrEx>
        <w:trPr>
          <w:gridAfter w:val="1"/>
          <w:wAfter w:w="288" w:type="dxa"/>
          <w:cantSplit/>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85" w:type="dxa"/>
            <w:gridSpan w:val="2"/>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p>
        </w:tc>
        <w:tc>
          <w:tcPr>
            <w:tcW w:w="712" w:type="dxa"/>
            <w:gridSpan w:val="2"/>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2-10</w:t>
            </w:r>
          </w:p>
        </w:tc>
        <w:tc>
          <w:tcPr>
            <w:tcW w:w="712" w:type="dxa"/>
            <w:gridSpan w:val="2"/>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3" w:type="dxa"/>
            <w:gridSpan w:val="2"/>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29"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 xml:space="preserve">Anna Johansson (S), </w:t>
            </w:r>
            <w:proofErr w:type="spellStart"/>
            <w:r>
              <w:rPr>
                <w:i/>
                <w:sz w:val="22"/>
                <w:lang w:val="en-GB" w:eastAsia="en-US"/>
              </w:rPr>
              <w:t>ordf</w:t>
            </w:r>
            <w:proofErr w:type="spellEnd"/>
            <w:r>
              <w:rPr>
                <w:i/>
                <w:sz w:val="22"/>
                <w:lang w:val="en-GB" w:eastAsia="en-US"/>
              </w:rPr>
              <w:t>.</w:t>
            </w:r>
          </w:p>
        </w:tc>
        <w:tc>
          <w:tcPr>
            <w:tcW w:w="329"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1E1FAC"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US" w:eastAsia="en-US"/>
              </w:rPr>
            </w:pPr>
            <w:r>
              <w:rPr>
                <w:sz w:val="22"/>
                <w:lang w:val="en-US" w:eastAsia="en-US"/>
              </w:rPr>
              <w:t xml:space="preserve">Mats Green (M), </w:t>
            </w:r>
            <w:proofErr w:type="spellStart"/>
            <w:r>
              <w:rPr>
                <w:i/>
                <w:sz w:val="22"/>
                <w:lang w:val="en-US" w:eastAsia="en-US"/>
              </w:rPr>
              <w:t>andre</w:t>
            </w:r>
            <w:proofErr w:type="spellEnd"/>
            <w:r>
              <w:rPr>
                <w:i/>
                <w:sz w:val="22"/>
                <w:lang w:val="en-US" w:eastAsia="en-US"/>
              </w:rPr>
              <w:t xml:space="preserve"> vice </w:t>
            </w:r>
            <w:proofErr w:type="spellStart"/>
            <w:r>
              <w:rPr>
                <w:i/>
                <w:sz w:val="22"/>
                <w:lang w:val="en-US" w:eastAsia="en-US"/>
              </w:rPr>
              <w:t>ordf</w:t>
            </w:r>
            <w:proofErr w:type="spellEnd"/>
            <w:r>
              <w:rPr>
                <w:i/>
                <w:sz w:val="22"/>
                <w:lang w:val="en-US" w:eastAsia="en-US"/>
              </w:rPr>
              <w:t>.</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US" w:eastAsia="en-US"/>
              </w:rPr>
              <w:t>Patrik Björck (S)</w:t>
            </w:r>
            <w:bookmarkStart w:id="2" w:name="_GoBack"/>
            <w:bookmarkEnd w:id="2"/>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Saila Quicklund (M)</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Magnus Persson (SD)</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Helén Pettersson (S)</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Martin Ådahl (C)</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Ali Esbati (V)</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Ann-Sofie Lifvenhage (M)</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Ebba Hermansson (SD)</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Johan Andersson (S)</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Sofia Damm (KD)</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Serkan Köse (S)</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Pr="000C6ED6" w:rsidRDefault="003C4C58" w:rsidP="003C4C58">
            <w:pPr>
              <w:spacing w:line="256" w:lineRule="auto"/>
              <w:ind w:right="513"/>
              <w:rPr>
                <w:sz w:val="22"/>
                <w:lang w:eastAsia="en-US"/>
              </w:rPr>
            </w:pPr>
            <w:r w:rsidRPr="000C6ED6">
              <w:rPr>
                <w:sz w:val="22"/>
                <w:lang w:eastAsia="en-US"/>
              </w:rPr>
              <w:t>Arman Teimouri (L),</w:t>
            </w:r>
            <w:r w:rsidRPr="000C6ED6">
              <w:rPr>
                <w:i/>
                <w:sz w:val="22"/>
                <w:lang w:eastAsia="en-US"/>
              </w:rPr>
              <w:t xml:space="preserve"> förste vice </w:t>
            </w:r>
            <w:proofErr w:type="spellStart"/>
            <w:r w:rsidRPr="000C6ED6">
              <w:rPr>
                <w:i/>
                <w:sz w:val="22"/>
                <w:lang w:eastAsia="en-US"/>
              </w:rPr>
              <w:t>ordf</w:t>
            </w:r>
            <w:proofErr w:type="spellEnd"/>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 xml:space="preserve">Alexander Christiansson (SD) </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Leila Ali-Elmi (MP)</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RPr="006A511D"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Malin Danielsson (L)</w:t>
            </w:r>
          </w:p>
        </w:tc>
        <w:tc>
          <w:tcPr>
            <w:tcW w:w="329"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Pr="00E70A95"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29"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7" w:type="dxa"/>
            <w:tcBorders>
              <w:top w:val="single" w:sz="6" w:space="0" w:color="auto"/>
              <w:left w:val="single" w:sz="6" w:space="0" w:color="auto"/>
              <w:bottom w:val="single" w:sz="6" w:space="0" w:color="auto"/>
              <w:right w:val="single" w:sz="6" w:space="0" w:color="auto"/>
            </w:tcBorders>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Johanna Haraldsson (S)</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Malin Höglund (M)</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Marianne Pettersson (S)</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Elisabeth Björnsdotter Rahm (M)</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Henrik Vinge (SD)</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Ann-Christin Ahlberg (S)</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Alireza Akhondi (C)</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Ciczie Weidby (V)</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Helena Bouveng (M)</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Sara Gille (SD)</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Patrik Engström (S)</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Désirée Pethrus (KD)</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Jasenko Omanovic (S)</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Juno Blom (L)</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Sven-Olof Sällström (SD)</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Rebecka Le Moine (MP)</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Katarina Brännström (M)</w:t>
            </w:r>
          </w:p>
        </w:tc>
        <w:tc>
          <w:tcPr>
            <w:tcW w:w="329"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3C4C58" w:rsidRPr="0078232D"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C4C58" w:rsidRPr="00AB3136"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Cassandra Sundin (SD)</w:t>
            </w:r>
          </w:p>
        </w:tc>
        <w:tc>
          <w:tcPr>
            <w:tcW w:w="329"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C4C58"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Linda Lindberg (SD)</w:t>
            </w:r>
          </w:p>
        </w:tc>
        <w:tc>
          <w:tcPr>
            <w:tcW w:w="329"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C4C58"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Maria Nilsson (L)</w:t>
            </w:r>
          </w:p>
        </w:tc>
        <w:tc>
          <w:tcPr>
            <w:tcW w:w="329"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C4C58"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Robert Hannah (L)</w:t>
            </w:r>
          </w:p>
        </w:tc>
        <w:tc>
          <w:tcPr>
            <w:tcW w:w="329"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C4C58"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Annika Hirvonen (MP)</w:t>
            </w:r>
          </w:p>
        </w:tc>
        <w:tc>
          <w:tcPr>
            <w:tcW w:w="329"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C4C58"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Annika Qarlsson (C)</w:t>
            </w:r>
          </w:p>
        </w:tc>
        <w:tc>
          <w:tcPr>
            <w:tcW w:w="329"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C4C58"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Christina Höj Larsen (V)</w:t>
            </w:r>
          </w:p>
        </w:tc>
        <w:tc>
          <w:tcPr>
            <w:tcW w:w="329"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C4C58"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Hans Eklind (KD)</w:t>
            </w:r>
          </w:p>
        </w:tc>
        <w:tc>
          <w:tcPr>
            <w:tcW w:w="329"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C4C58"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r>
              <w:rPr>
                <w:sz w:val="22"/>
                <w:lang w:val="en-GB" w:eastAsia="en-US"/>
              </w:rPr>
              <w:t>Camilla Brodin (KD)</w:t>
            </w:r>
          </w:p>
        </w:tc>
        <w:tc>
          <w:tcPr>
            <w:tcW w:w="329"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C4C58"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 w:val="22"/>
                <w:lang w:val="en-GB" w:eastAsia="en-US"/>
              </w:rPr>
            </w:pPr>
            <w:proofErr w:type="spellStart"/>
            <w:r>
              <w:rPr>
                <w:sz w:val="22"/>
                <w:lang w:val="en-GB" w:eastAsia="en-US"/>
              </w:rPr>
              <w:t>Roza</w:t>
            </w:r>
            <w:proofErr w:type="spellEnd"/>
            <w:r>
              <w:rPr>
                <w:sz w:val="22"/>
                <w:lang w:val="en-GB" w:eastAsia="en-US"/>
              </w:rPr>
              <w:t xml:space="preserve"> </w:t>
            </w:r>
            <w:proofErr w:type="spellStart"/>
            <w:r>
              <w:rPr>
                <w:sz w:val="22"/>
                <w:lang w:val="en-GB" w:eastAsia="en-US"/>
              </w:rPr>
              <w:t>Güclu</w:t>
            </w:r>
            <w:proofErr w:type="spellEnd"/>
            <w:r>
              <w:rPr>
                <w:sz w:val="22"/>
                <w:lang w:val="en-GB" w:eastAsia="en-US"/>
              </w:rPr>
              <w:t xml:space="preserve"> Hedin (S)</w:t>
            </w:r>
          </w:p>
        </w:tc>
        <w:tc>
          <w:tcPr>
            <w:tcW w:w="329"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C4C58" w:rsidRPr="00140387" w:rsidTr="00EA30B4">
        <w:tblPrEx>
          <w:tblLook w:val="0000" w:firstRow="0" w:lastRow="0" w:firstColumn="0" w:lastColumn="0" w:noHBand="0" w:noVBand="0"/>
        </w:tblPrEx>
        <w:trPr>
          <w:gridAfter w:val="1"/>
          <w:wAfter w:w="288" w:type="dxa"/>
        </w:trPr>
        <w:tc>
          <w:tcPr>
            <w:tcW w:w="3969" w:type="dxa"/>
            <w:gridSpan w:val="3"/>
            <w:tcBorders>
              <w:top w:val="single" w:sz="6" w:space="0" w:color="auto"/>
              <w:left w:val="single" w:sz="6" w:space="0" w:color="auto"/>
              <w:bottom w:val="single" w:sz="6" w:space="0" w:color="auto"/>
              <w:right w:val="single" w:sz="6" w:space="0" w:color="auto"/>
            </w:tcBorders>
          </w:tcPr>
          <w:p w:rsidR="003C4C58" w:rsidRDefault="003C4C58" w:rsidP="003C4C58">
            <w:pPr>
              <w:spacing w:line="256" w:lineRule="auto"/>
              <w:ind w:right="513"/>
              <w:rPr>
                <w:szCs w:val="22"/>
                <w:lang w:val="en-GB" w:eastAsia="en-US"/>
              </w:rPr>
            </w:pPr>
            <w:r>
              <w:rPr>
                <w:sz w:val="22"/>
                <w:lang w:val="en-GB" w:eastAsia="en-US"/>
              </w:rPr>
              <w:t>Ludvig Aspling (SD)</w:t>
            </w:r>
          </w:p>
        </w:tc>
        <w:tc>
          <w:tcPr>
            <w:tcW w:w="329"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3C4C58" w:rsidRPr="00140387"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C4C58" w:rsidTr="00EA30B4">
        <w:tblPrEx>
          <w:tblLook w:val="0000" w:firstRow="0" w:lastRow="0" w:firstColumn="0" w:lastColumn="0" w:noHBand="0" w:noVBand="0"/>
        </w:tblPrEx>
        <w:trPr>
          <w:gridAfter w:val="1"/>
          <w:wAfter w:w="288" w:type="dxa"/>
          <w:trHeight w:val="263"/>
        </w:trPr>
        <w:tc>
          <w:tcPr>
            <w:tcW w:w="3969" w:type="dxa"/>
            <w:gridSpan w:val="3"/>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4958" w:type="dxa"/>
            <w:gridSpan w:val="15"/>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 = ledamöter som deltagit i handläggningen</w:t>
            </w:r>
          </w:p>
        </w:tc>
      </w:tr>
      <w:tr w:rsidR="003C4C58" w:rsidTr="00EA30B4">
        <w:tblPrEx>
          <w:tblLook w:val="0000" w:firstRow="0" w:lastRow="0" w:firstColumn="0" w:lastColumn="0" w:noHBand="0" w:noVBand="0"/>
        </w:tblPrEx>
        <w:trPr>
          <w:gridAfter w:val="1"/>
          <w:wAfter w:w="288" w:type="dxa"/>
          <w:trHeight w:val="262"/>
        </w:trPr>
        <w:tc>
          <w:tcPr>
            <w:tcW w:w="3969" w:type="dxa"/>
            <w:gridSpan w:val="3"/>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4958" w:type="dxa"/>
            <w:gridSpan w:val="15"/>
          </w:tcPr>
          <w:p w:rsidR="003C4C58" w:rsidRDefault="003C4C58" w:rsidP="003C4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 = ledamöter som härutöver har varit närvarande</w:t>
            </w:r>
          </w:p>
        </w:tc>
      </w:tr>
    </w:tbl>
    <w:p w:rsidR="000C0F16" w:rsidRDefault="000C0F16" w:rsidP="000C0F16">
      <w:pPr>
        <w:widowControl/>
      </w:pPr>
    </w:p>
    <w:p w:rsidR="00510CEB" w:rsidRDefault="00510CEB" w:rsidP="000C0F16">
      <w:pPr>
        <w:widowControl/>
      </w:pPr>
    </w:p>
    <w:p w:rsidR="004717B9" w:rsidRDefault="004717B9" w:rsidP="000C0F16">
      <w:pPr>
        <w:widowControl/>
      </w:pPr>
    </w:p>
    <w:p w:rsidR="004717B9" w:rsidRDefault="004717B9" w:rsidP="000C0F16">
      <w:pPr>
        <w:widowControl/>
      </w:pPr>
    </w:p>
    <w:tbl>
      <w:tblPr>
        <w:tblpPr w:leftFromText="141" w:rightFromText="141" w:vertAnchor="page" w:horzAnchor="margin" w:tblpY="688"/>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4717B9" w:rsidRPr="002C1D5A" w:rsidTr="004717B9">
        <w:trPr>
          <w:trHeight w:val="658"/>
        </w:trPr>
        <w:tc>
          <w:tcPr>
            <w:tcW w:w="4021" w:type="dxa"/>
            <w:tcBorders>
              <w:top w:val="nil"/>
              <w:left w:val="nil"/>
              <w:bottom w:val="nil"/>
              <w:right w:val="nil"/>
            </w:tcBorders>
          </w:tcPr>
          <w:p w:rsidR="004717B9" w:rsidRPr="002C1D5A" w:rsidRDefault="004717B9" w:rsidP="004717B9">
            <w:pPr>
              <w:tabs>
                <w:tab w:val="left" w:pos="1701"/>
              </w:tabs>
              <w:rPr>
                <w:sz w:val="22"/>
                <w:szCs w:val="24"/>
              </w:rPr>
            </w:pPr>
            <w:r>
              <w:rPr>
                <w:sz w:val="22"/>
                <w:szCs w:val="24"/>
              </w:rPr>
              <w:t>AR</w:t>
            </w:r>
            <w:r w:rsidRPr="002C1D5A">
              <w:rPr>
                <w:sz w:val="22"/>
                <w:szCs w:val="24"/>
              </w:rPr>
              <w:t>BETSMARKNADSUTSKOTTET</w:t>
            </w:r>
          </w:p>
          <w:p w:rsidR="004717B9" w:rsidRPr="002C1D5A" w:rsidRDefault="004717B9" w:rsidP="004717B9">
            <w:pPr>
              <w:tabs>
                <w:tab w:val="left" w:pos="1701"/>
              </w:tabs>
              <w:rPr>
                <w:sz w:val="22"/>
                <w:szCs w:val="24"/>
              </w:rPr>
            </w:pPr>
          </w:p>
        </w:tc>
        <w:tc>
          <w:tcPr>
            <w:tcW w:w="4021" w:type="dxa"/>
            <w:tcBorders>
              <w:top w:val="nil"/>
              <w:left w:val="nil"/>
              <w:bottom w:val="nil"/>
              <w:right w:val="nil"/>
            </w:tcBorders>
          </w:tcPr>
          <w:p w:rsidR="004717B9" w:rsidRPr="002C1D5A" w:rsidRDefault="004717B9" w:rsidP="004717B9">
            <w:pPr>
              <w:tabs>
                <w:tab w:val="left" w:pos="1701"/>
              </w:tabs>
              <w:jc w:val="center"/>
              <w:rPr>
                <w:b/>
                <w:sz w:val="22"/>
                <w:szCs w:val="24"/>
              </w:rPr>
            </w:pPr>
          </w:p>
        </w:tc>
        <w:tc>
          <w:tcPr>
            <w:tcW w:w="1685" w:type="dxa"/>
            <w:tcBorders>
              <w:top w:val="nil"/>
              <w:left w:val="nil"/>
              <w:bottom w:val="nil"/>
              <w:right w:val="nil"/>
            </w:tcBorders>
          </w:tcPr>
          <w:p w:rsidR="004717B9" w:rsidRPr="002C1D5A" w:rsidRDefault="004717B9" w:rsidP="004717B9">
            <w:pPr>
              <w:tabs>
                <w:tab w:val="left" w:pos="1701"/>
              </w:tabs>
              <w:rPr>
                <w:b/>
                <w:sz w:val="22"/>
                <w:szCs w:val="24"/>
              </w:rPr>
            </w:pPr>
            <w:r>
              <w:rPr>
                <w:b/>
                <w:sz w:val="22"/>
                <w:szCs w:val="24"/>
              </w:rPr>
              <w:t>Bilaga 2</w:t>
            </w:r>
          </w:p>
          <w:p w:rsidR="004717B9" w:rsidRPr="002C1D5A" w:rsidRDefault="004717B9" w:rsidP="004717B9">
            <w:pPr>
              <w:tabs>
                <w:tab w:val="left" w:pos="1701"/>
              </w:tabs>
              <w:rPr>
                <w:sz w:val="22"/>
                <w:szCs w:val="24"/>
              </w:rPr>
            </w:pPr>
            <w:r w:rsidRPr="002C1D5A">
              <w:rPr>
                <w:sz w:val="22"/>
                <w:szCs w:val="24"/>
              </w:rPr>
              <w:t>till protokoll</w:t>
            </w:r>
          </w:p>
          <w:p w:rsidR="004717B9" w:rsidRDefault="004717B9" w:rsidP="004717B9">
            <w:pPr>
              <w:tabs>
                <w:tab w:val="left" w:pos="1701"/>
              </w:tabs>
              <w:rPr>
                <w:sz w:val="22"/>
                <w:szCs w:val="24"/>
              </w:rPr>
            </w:pPr>
            <w:r>
              <w:rPr>
                <w:sz w:val="22"/>
                <w:szCs w:val="24"/>
              </w:rPr>
              <w:t>2020/21:11</w:t>
            </w:r>
          </w:p>
          <w:p w:rsidR="004717B9" w:rsidRPr="002C1D5A" w:rsidRDefault="004717B9" w:rsidP="004717B9">
            <w:pPr>
              <w:tabs>
                <w:tab w:val="left" w:pos="1701"/>
              </w:tabs>
              <w:rPr>
                <w:sz w:val="22"/>
                <w:szCs w:val="24"/>
              </w:rPr>
            </w:pPr>
          </w:p>
        </w:tc>
      </w:tr>
    </w:tbl>
    <w:p w:rsidR="004717B9" w:rsidRDefault="004717B9" w:rsidP="000C0F16">
      <w:pPr>
        <w:widowControl/>
      </w:pPr>
    </w:p>
    <w:p w:rsidR="004717B9" w:rsidRDefault="004717B9" w:rsidP="004717B9">
      <w:pPr>
        <w:spacing w:before="67"/>
        <w:ind w:left="5646"/>
        <w:rPr>
          <w:rFonts w:ascii="Arial"/>
          <w:b/>
          <w:sz w:val="19"/>
        </w:rPr>
      </w:pPr>
      <w:bookmarkStart w:id="3" w:name="_Hlk56697089"/>
      <w:r>
        <w:rPr>
          <w:noProof/>
        </w:rPr>
        <w:drawing>
          <wp:anchor distT="0" distB="0" distL="0" distR="0" simplePos="0" relativeHeight="251660288" behindDoc="0" locked="0" layoutInCell="1" allowOverlap="1" wp14:anchorId="722A6A1F" wp14:editId="60362631">
            <wp:simplePos x="0" y="0"/>
            <wp:positionH relativeFrom="page">
              <wp:posOffset>1020755</wp:posOffset>
            </wp:positionH>
            <wp:positionV relativeFrom="paragraph">
              <wp:posOffset>249169</wp:posOffset>
            </wp:positionV>
            <wp:extent cx="1338286" cy="161925"/>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38286" cy="161925"/>
                    </a:xfrm>
                    <a:prstGeom prst="rect">
                      <a:avLst/>
                    </a:prstGeom>
                  </pic:spPr>
                </pic:pic>
              </a:graphicData>
            </a:graphic>
          </wp:anchor>
        </w:drawing>
      </w:r>
      <w:r>
        <w:rPr>
          <w:noProof/>
        </w:rPr>
        <w:drawing>
          <wp:anchor distT="0" distB="0" distL="0" distR="0" simplePos="0" relativeHeight="251659264" behindDoc="0" locked="0" layoutInCell="1" allowOverlap="1" wp14:anchorId="18640B2E" wp14:editId="510DB455">
            <wp:simplePos x="0" y="0"/>
            <wp:positionH relativeFrom="page">
              <wp:posOffset>635960</wp:posOffset>
            </wp:positionH>
            <wp:positionV relativeFrom="paragraph">
              <wp:posOffset>51465</wp:posOffset>
            </wp:positionV>
            <wp:extent cx="287080" cy="4889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87080" cy="488950"/>
                    </a:xfrm>
                    <a:prstGeom prst="rect">
                      <a:avLst/>
                    </a:prstGeom>
                  </pic:spPr>
                </pic:pic>
              </a:graphicData>
            </a:graphic>
          </wp:anchor>
        </w:drawing>
      </w:r>
      <w:r>
        <w:rPr>
          <w:rFonts w:ascii="Arial"/>
          <w:b/>
          <w:sz w:val="19"/>
        </w:rPr>
        <w:t>Promemoria</w:t>
      </w:r>
    </w:p>
    <w:p w:rsidR="004717B9" w:rsidRDefault="004717B9" w:rsidP="004717B9">
      <w:pPr>
        <w:spacing w:before="46"/>
        <w:ind w:left="5646"/>
        <w:rPr>
          <w:rFonts w:ascii="Arial"/>
          <w:sz w:val="19"/>
        </w:rPr>
      </w:pPr>
      <w:r>
        <w:rPr>
          <w:rFonts w:ascii="Arial"/>
          <w:sz w:val="19"/>
        </w:rPr>
        <w:t>2020-11-19</w:t>
      </w:r>
    </w:p>
    <w:p w:rsidR="004717B9" w:rsidRDefault="004717B9" w:rsidP="004717B9">
      <w:pPr>
        <w:ind w:left="5646"/>
        <w:rPr>
          <w:rFonts w:ascii="Arial"/>
          <w:sz w:val="19"/>
        </w:rPr>
      </w:pPr>
      <w:r>
        <w:rPr>
          <w:rFonts w:ascii="Arial"/>
          <w:sz w:val="19"/>
        </w:rPr>
        <w:t>SB2020/</w:t>
      </w:r>
    </w:p>
    <w:p w:rsidR="004717B9" w:rsidRDefault="004717B9" w:rsidP="004717B9">
      <w:pPr>
        <w:pStyle w:val="Brdtext"/>
        <w:rPr>
          <w:rFonts w:ascii="Arial"/>
          <w:sz w:val="20"/>
        </w:rPr>
      </w:pPr>
    </w:p>
    <w:p w:rsidR="004717B9" w:rsidRDefault="004717B9" w:rsidP="004717B9">
      <w:pPr>
        <w:pStyle w:val="Brdtext"/>
        <w:rPr>
          <w:rFonts w:ascii="Arial"/>
          <w:sz w:val="20"/>
        </w:rPr>
      </w:pPr>
    </w:p>
    <w:p w:rsidR="004717B9" w:rsidRDefault="004717B9" w:rsidP="004717B9">
      <w:pPr>
        <w:rPr>
          <w:rFonts w:ascii="Arial"/>
          <w:sz w:val="17"/>
        </w:rPr>
        <w:sectPr w:rsidR="004717B9" w:rsidSect="004E3A31">
          <w:pgSz w:w="11910" w:h="16840"/>
          <w:pgMar w:top="480" w:right="1680" w:bottom="280" w:left="1418" w:header="720" w:footer="720" w:gutter="0"/>
          <w:cols w:space="720"/>
        </w:sectPr>
      </w:pPr>
    </w:p>
    <w:p w:rsidR="004717B9" w:rsidRDefault="004717B9" w:rsidP="004717B9">
      <w:pPr>
        <w:spacing w:before="172"/>
        <w:ind w:left="111"/>
        <w:rPr>
          <w:rFonts w:ascii="Arial" w:hAnsi="Arial"/>
          <w:b/>
          <w:sz w:val="19"/>
        </w:rPr>
      </w:pPr>
      <w:r>
        <w:rPr>
          <w:rFonts w:ascii="Garamond" w:hAnsi="Garamond"/>
          <w:noProof/>
          <w:sz w:val="22"/>
        </w:rPr>
        <mc:AlternateContent>
          <mc:Choice Requires="wps">
            <w:drawing>
              <wp:anchor distT="0" distB="0" distL="114300" distR="114300" simplePos="0" relativeHeight="251661312" behindDoc="1" locked="0" layoutInCell="1" allowOverlap="1">
                <wp:simplePos x="0" y="0"/>
                <wp:positionH relativeFrom="page">
                  <wp:posOffset>1108075</wp:posOffset>
                </wp:positionH>
                <wp:positionV relativeFrom="paragraph">
                  <wp:posOffset>109855</wp:posOffset>
                </wp:positionV>
                <wp:extent cx="8890" cy="138430"/>
                <wp:effectExtent l="3175" t="1905" r="0" b="2540"/>
                <wp:wrapNone/>
                <wp:docPr id="4" name="Rektang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38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35324" id="Rektangel 4" o:spid="_x0000_s1026" style="position:absolute;margin-left:87.25pt;margin-top:8.65pt;width:.7pt;height:10.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" fillcolor="black" stroked="f">
                <w10:wrap anchorx="page"/>
              </v:rect>
            </w:pict>
          </mc:Fallback>
        </mc:AlternateContent>
      </w:r>
      <w:r>
        <w:rPr>
          <w:rFonts w:ascii="Arial" w:hAnsi="Arial"/>
          <w:b/>
          <w:sz w:val="19"/>
        </w:rPr>
        <w:t>Statsrådsberedningen</w:t>
      </w:r>
    </w:p>
    <w:p w:rsidR="004717B9" w:rsidRDefault="004717B9" w:rsidP="004717B9">
      <w:pPr>
        <w:spacing w:before="94" w:line="249" w:lineRule="auto"/>
        <w:ind w:left="111" w:right="565"/>
        <w:rPr>
          <w:rFonts w:ascii="Arial"/>
          <w:sz w:val="19"/>
        </w:rPr>
      </w:pPr>
      <w:r>
        <w:br w:type="column"/>
      </w:r>
      <w:r>
        <w:rPr>
          <w:rFonts w:ascii="Arial"/>
          <w:w w:val="95"/>
          <w:sz w:val="19"/>
        </w:rPr>
        <w:t xml:space="preserve">Arbetsmarknadsutskottet </w:t>
      </w:r>
      <w:r>
        <w:rPr>
          <w:rFonts w:ascii="Arial"/>
          <w:sz w:val="19"/>
        </w:rPr>
        <w:t>Diarienummer:</w:t>
      </w:r>
    </w:p>
    <w:p w:rsidR="004717B9" w:rsidRDefault="004717B9" w:rsidP="004717B9">
      <w:pPr>
        <w:ind w:left="111"/>
        <w:rPr>
          <w:rFonts w:ascii="Arial"/>
          <w:sz w:val="19"/>
        </w:rPr>
      </w:pPr>
      <w:r>
        <w:rPr>
          <w:rFonts w:ascii="Arial"/>
          <w:sz w:val="19"/>
        </w:rPr>
        <w:t>665</w:t>
      </w:r>
      <w:r>
        <w:rPr>
          <w:rFonts w:ascii="Arial"/>
          <w:sz w:val="19"/>
        </w:rPr>
        <w:t>–</w:t>
      </w:r>
      <w:r>
        <w:rPr>
          <w:rFonts w:ascii="Arial"/>
          <w:sz w:val="19"/>
        </w:rPr>
        <w:t>2020/21</w:t>
      </w:r>
    </w:p>
    <w:p w:rsidR="004717B9" w:rsidRDefault="004717B9" w:rsidP="004717B9">
      <w:pPr>
        <w:rPr>
          <w:rFonts w:ascii="Arial"/>
          <w:sz w:val="19"/>
        </w:rPr>
        <w:sectPr w:rsidR="004717B9">
          <w:type w:val="continuous"/>
          <w:pgSz w:w="11910" w:h="16840"/>
          <w:pgMar w:top="480" w:right="1680" w:bottom="280" w:left="880" w:header="720" w:footer="720" w:gutter="0"/>
          <w:cols w:num="2" w:space="720" w:equalWidth="0">
            <w:col w:w="2156" w:space="3295"/>
            <w:col w:w="3899"/>
          </w:cols>
        </w:sectPr>
      </w:pPr>
    </w:p>
    <w:p w:rsidR="004717B9" w:rsidRDefault="004717B9" w:rsidP="004717B9">
      <w:pPr>
        <w:pStyle w:val="Brdtext"/>
        <w:rPr>
          <w:rFonts w:ascii="Arial"/>
          <w:sz w:val="20"/>
        </w:rPr>
      </w:pPr>
    </w:p>
    <w:p w:rsidR="004717B9" w:rsidRDefault="004717B9" w:rsidP="004717B9">
      <w:pPr>
        <w:pStyle w:val="Brdtext"/>
        <w:rPr>
          <w:rFonts w:ascii="Arial"/>
          <w:sz w:val="20"/>
        </w:rPr>
      </w:pPr>
    </w:p>
    <w:p w:rsidR="004717B9" w:rsidRDefault="004717B9" w:rsidP="004717B9">
      <w:pPr>
        <w:pStyle w:val="Brdtext"/>
        <w:rPr>
          <w:rFonts w:ascii="Arial"/>
          <w:sz w:val="20"/>
        </w:rPr>
      </w:pPr>
    </w:p>
    <w:p w:rsidR="004717B9" w:rsidRDefault="004717B9" w:rsidP="004717B9">
      <w:pPr>
        <w:pStyle w:val="Brdtext"/>
        <w:rPr>
          <w:rFonts w:ascii="Arial"/>
          <w:sz w:val="20"/>
        </w:rPr>
      </w:pPr>
    </w:p>
    <w:p w:rsidR="004717B9" w:rsidRDefault="004717B9" w:rsidP="004717B9">
      <w:pPr>
        <w:pStyle w:val="Brdtext"/>
        <w:spacing w:before="5"/>
        <w:rPr>
          <w:rFonts w:ascii="Arial"/>
          <w:sz w:val="19"/>
        </w:rPr>
      </w:pPr>
    </w:p>
    <w:p w:rsidR="004717B9" w:rsidRDefault="004717B9" w:rsidP="004717B9">
      <w:pPr>
        <w:pStyle w:val="Rubrik"/>
        <w:spacing w:line="276" w:lineRule="auto"/>
      </w:pPr>
      <w:r>
        <w:t>Överläggningspromemoria till arbetsmarknadsutskottet om kommissionens aviserade handlingsplan för genomförandet av pelaren för sociala rättigheter</w:t>
      </w:r>
    </w:p>
    <w:p w:rsidR="004717B9" w:rsidRDefault="004717B9" w:rsidP="004717B9">
      <w:pPr>
        <w:pStyle w:val="Brdtext"/>
        <w:rPr>
          <w:rFonts w:ascii="Arial"/>
          <w:sz w:val="28"/>
        </w:rPr>
      </w:pPr>
    </w:p>
    <w:p w:rsidR="004717B9" w:rsidRDefault="004717B9" w:rsidP="004717B9">
      <w:pPr>
        <w:pStyle w:val="Brdtext"/>
        <w:spacing w:before="2"/>
        <w:rPr>
          <w:rFonts w:ascii="Arial"/>
          <w:sz w:val="24"/>
        </w:rPr>
      </w:pPr>
    </w:p>
    <w:p w:rsidR="004717B9" w:rsidRDefault="004717B9" w:rsidP="004717B9">
      <w:pPr>
        <w:spacing w:before="1"/>
        <w:ind w:left="1587"/>
        <w:rPr>
          <w:sz w:val="25"/>
        </w:rPr>
      </w:pPr>
      <w:r>
        <w:rPr>
          <w:b/>
        </w:rPr>
        <w:t xml:space="preserve">Dokument: </w:t>
      </w:r>
      <w:proofErr w:type="gramStart"/>
      <w:r>
        <w:rPr>
          <w:sz w:val="25"/>
        </w:rPr>
        <w:t>KOM(</w:t>
      </w:r>
      <w:proofErr w:type="gramEnd"/>
      <w:r>
        <w:rPr>
          <w:sz w:val="25"/>
        </w:rPr>
        <w:t>2020)14</w:t>
      </w:r>
    </w:p>
    <w:p w:rsidR="004717B9" w:rsidRDefault="004717B9" w:rsidP="004717B9">
      <w:pPr>
        <w:pStyle w:val="Brdtext"/>
        <w:spacing w:before="5"/>
        <w:rPr>
          <w:sz w:val="28"/>
        </w:rPr>
      </w:pPr>
    </w:p>
    <w:p w:rsidR="004717B9" w:rsidRDefault="004717B9" w:rsidP="004717B9">
      <w:pPr>
        <w:spacing w:line="278" w:lineRule="auto"/>
        <w:ind w:left="1587" w:right="740"/>
      </w:pPr>
      <w:r>
        <w:rPr>
          <w:b/>
        </w:rPr>
        <w:t xml:space="preserve">Tidigare dokument: </w:t>
      </w:r>
      <w:r>
        <w:t>Faktapromemoria 2019/20: FPM16 Ett starkt socialt Europa för rättvis omställning</w:t>
      </w:r>
    </w:p>
    <w:p w:rsidR="004717B9" w:rsidRDefault="004717B9" w:rsidP="004717B9">
      <w:pPr>
        <w:pStyle w:val="Brdtext"/>
        <w:spacing w:before="6"/>
        <w:rPr>
          <w:sz w:val="24"/>
        </w:rPr>
      </w:pPr>
    </w:p>
    <w:p w:rsidR="004717B9" w:rsidRDefault="004717B9" w:rsidP="004717B9">
      <w:pPr>
        <w:ind w:left="1587"/>
        <w:rPr>
          <w:b/>
        </w:rPr>
      </w:pPr>
      <w:r>
        <w:rPr>
          <w:b/>
        </w:rPr>
        <w:t>Tidigare behandlad vid samråd med EU-nämnden:</w:t>
      </w:r>
    </w:p>
    <w:p w:rsidR="004717B9" w:rsidRDefault="004717B9" w:rsidP="004717B9">
      <w:pPr>
        <w:pStyle w:val="Brdtext"/>
        <w:rPr>
          <w:b/>
          <w:sz w:val="24"/>
        </w:rPr>
      </w:pPr>
    </w:p>
    <w:p w:rsidR="004717B9" w:rsidRDefault="004717B9" w:rsidP="0069356D">
      <w:pPr>
        <w:ind w:left="1587" w:right="343"/>
      </w:pPr>
      <w:r>
        <w:rPr>
          <w:b/>
        </w:rPr>
        <w:t xml:space="preserve">Tidigare behandlad vid möte med arbetsmarknadsutskottet: </w:t>
      </w:r>
      <w:r>
        <w:t>Överläggning om kommissionens initiativ att inrätta en pelare för sociala rättigheter ägde rum den 30 augusti 2016.</w:t>
      </w:r>
    </w:p>
    <w:p w:rsidR="004717B9" w:rsidRDefault="004717B9" w:rsidP="0069356D">
      <w:pPr>
        <w:pStyle w:val="Brdtext"/>
        <w:rPr>
          <w:sz w:val="26"/>
        </w:rPr>
      </w:pPr>
    </w:p>
    <w:p w:rsidR="004717B9" w:rsidRDefault="004717B9" w:rsidP="004717B9">
      <w:pPr>
        <w:pStyle w:val="Brdtext"/>
        <w:spacing w:before="10"/>
        <w:rPr>
          <w:sz w:val="26"/>
        </w:rPr>
      </w:pPr>
    </w:p>
    <w:p w:rsidR="004717B9" w:rsidRDefault="004717B9" w:rsidP="004717B9">
      <w:pPr>
        <w:pStyle w:val="Liststycke"/>
        <w:widowControl w:val="0"/>
        <w:numPr>
          <w:ilvl w:val="0"/>
          <w:numId w:val="6"/>
        </w:numPr>
        <w:tabs>
          <w:tab w:val="clear" w:pos="284"/>
          <w:tab w:val="left" w:pos="1857"/>
        </w:tabs>
        <w:autoSpaceDE w:val="0"/>
        <w:autoSpaceDN w:val="0"/>
        <w:ind w:hanging="270"/>
        <w:contextualSpacing w:val="0"/>
        <w:rPr>
          <w:sz w:val="24"/>
        </w:rPr>
      </w:pPr>
      <w:r>
        <w:rPr>
          <w:sz w:val="24"/>
        </w:rPr>
        <w:t>Bakgrund</w:t>
      </w:r>
    </w:p>
    <w:p w:rsidR="004717B9" w:rsidRDefault="004717B9" w:rsidP="004717B9">
      <w:pPr>
        <w:pStyle w:val="Brdtext"/>
        <w:spacing w:before="123" w:line="276" w:lineRule="auto"/>
        <w:ind w:left="1587" w:right="548"/>
      </w:pPr>
      <w:r>
        <w:t>Europeiska kommissionen lade den 8 mars 2016 fram ett meddelande om samråd en europeisk pelare för sociala rättigheter. Den europeiska pelaren för sociala rättigheter proklamerades av Europaparlamentet, rådet och kommissionen vid toppmötet om rättvisa jobb och tillväxt i Göteborg den 17 november 2017. Pelaren omfattar 20 principer och rättigheter som ska bidra till rättvisa och välfungerande arbetsmarknader på tre områden: lika möjligheter och tillgång till arbetsmarknaden, rättvisa arbetsvillkor samt social trygghet och inkludering.</w:t>
      </w:r>
    </w:p>
    <w:p w:rsidR="004717B9" w:rsidRDefault="004717B9" w:rsidP="004717B9">
      <w:pPr>
        <w:pStyle w:val="Brdtext"/>
        <w:spacing w:before="10"/>
        <w:rPr>
          <w:sz w:val="24"/>
        </w:rPr>
      </w:pPr>
    </w:p>
    <w:p w:rsidR="004717B9" w:rsidRDefault="004717B9" w:rsidP="004717B9">
      <w:pPr>
        <w:pStyle w:val="Brdtext"/>
        <w:spacing w:before="1" w:line="276" w:lineRule="auto"/>
        <w:ind w:left="1587" w:right="408"/>
      </w:pPr>
      <w:r>
        <w:t>Den 14 januari 2020 presenterade kommissionen sitt meddelande Ett starkt socialt Europa för rättvis omställning. I meddelandet beskrivs vägen mot en handlingsplan för att genomföra den europeiska pelaren för sociala rättigheter. I meddelandet presenteras initiativ på EU-nivå som stöder</w:t>
      </w:r>
    </w:p>
    <w:p w:rsidR="004717B9" w:rsidRDefault="004717B9" w:rsidP="004717B9">
      <w:pPr>
        <w:spacing w:line="276" w:lineRule="auto"/>
        <w:sectPr w:rsidR="004717B9">
          <w:type w:val="continuous"/>
          <w:pgSz w:w="11910" w:h="16840"/>
          <w:pgMar w:top="480" w:right="1680" w:bottom="280" w:left="880" w:header="720" w:footer="720" w:gutter="0"/>
          <w:cols w:space="720"/>
        </w:sectPr>
      </w:pPr>
    </w:p>
    <w:p w:rsidR="004717B9" w:rsidRDefault="004717B9" w:rsidP="004717B9">
      <w:pPr>
        <w:pStyle w:val="Brdtext"/>
        <w:rPr>
          <w:sz w:val="20"/>
        </w:rPr>
      </w:pPr>
    </w:p>
    <w:p w:rsidR="004717B9" w:rsidRDefault="004717B9" w:rsidP="004717B9">
      <w:pPr>
        <w:pStyle w:val="Brdtext"/>
        <w:spacing w:before="217" w:line="276" w:lineRule="auto"/>
        <w:ind w:left="1587" w:right="543"/>
      </w:pPr>
      <w:r>
        <w:t>genomförandet av pelaren. Meddelandet är på offentligt samråd t.o.m. den sista november i år och utgör starten på en bred diskussion.</w:t>
      </w:r>
    </w:p>
    <w:p w:rsidR="004717B9" w:rsidRDefault="004717B9" w:rsidP="004717B9">
      <w:pPr>
        <w:pStyle w:val="Brdtext"/>
        <w:spacing w:before="1"/>
      </w:pPr>
    </w:p>
    <w:p w:rsidR="004717B9" w:rsidRDefault="004717B9" w:rsidP="004717B9">
      <w:pPr>
        <w:pStyle w:val="Brdtext"/>
        <w:spacing w:line="276" w:lineRule="auto"/>
        <w:ind w:left="1587" w:right="350"/>
      </w:pPr>
      <w:r>
        <w:t xml:space="preserve">Efter samrådet avser kommissionen att i februari 2021 lägga fram en handlingsplan som omsätter pelarens rättigheter och principer i praktiken. Enligt kommissionen ska handlingsplanen utgöra kommissionens viktigaste instrument för att bidra till socioekonomisk återhämtning och </w:t>
      </w:r>
      <w:proofErr w:type="spellStart"/>
      <w:r>
        <w:t>resiliens</w:t>
      </w:r>
      <w:proofErr w:type="spellEnd"/>
      <w:r>
        <w:t xml:space="preserve"> på medellång och lång sikt, i syfte att göra den digitala och gröna omställningen mer socialt rättvis. Kommissionens avsikt är att handlingsplanen godkänns av de andra EU-institutionerna vid ett socialt toppmöte som det inkommande portugisiska ordförandeskapet planerar att genomföra i Porto i maj 2021.</w:t>
      </w:r>
    </w:p>
    <w:p w:rsidR="004717B9" w:rsidRDefault="004717B9" w:rsidP="004717B9">
      <w:pPr>
        <w:pStyle w:val="Brdtext"/>
        <w:spacing w:before="5"/>
        <w:rPr>
          <w:sz w:val="28"/>
        </w:rPr>
      </w:pPr>
    </w:p>
    <w:p w:rsidR="004717B9" w:rsidRDefault="004717B9" w:rsidP="004717B9">
      <w:pPr>
        <w:pStyle w:val="Liststycke"/>
        <w:widowControl w:val="0"/>
        <w:numPr>
          <w:ilvl w:val="0"/>
          <w:numId w:val="6"/>
        </w:numPr>
        <w:tabs>
          <w:tab w:val="clear" w:pos="284"/>
          <w:tab w:val="left" w:pos="1857"/>
        </w:tabs>
        <w:autoSpaceDE w:val="0"/>
        <w:autoSpaceDN w:val="0"/>
        <w:ind w:hanging="270"/>
        <w:contextualSpacing w:val="0"/>
        <w:rPr>
          <w:sz w:val="24"/>
        </w:rPr>
      </w:pPr>
      <w:r>
        <w:rPr>
          <w:sz w:val="24"/>
        </w:rPr>
        <w:t>Regeringens</w:t>
      </w:r>
      <w:r>
        <w:rPr>
          <w:spacing w:val="-1"/>
          <w:sz w:val="24"/>
        </w:rPr>
        <w:t xml:space="preserve"> </w:t>
      </w:r>
      <w:r>
        <w:rPr>
          <w:sz w:val="24"/>
        </w:rPr>
        <w:t>ståndpunkt</w:t>
      </w:r>
    </w:p>
    <w:p w:rsidR="004717B9" w:rsidRDefault="004717B9" w:rsidP="004717B9">
      <w:pPr>
        <w:pStyle w:val="Brdtext"/>
        <w:spacing w:before="120" w:line="276" w:lineRule="auto"/>
        <w:ind w:left="1587" w:right="546"/>
      </w:pPr>
      <w:r>
        <w:t>EU står inför stora politiska, ekonomiska, miljömässiga och sociala utmaningar, både internt inom unionen och globalt. Det nya coronaviruset prövar vårt samhälle. Medlemsstaterna har påverkats djupt av utbrottet av covid-19 och dess ekonomiska och sociala konsekvenser, vilka väntas komma att kräva hantering under flera år framöver, nationellt och inom unionen.</w:t>
      </w:r>
    </w:p>
    <w:p w:rsidR="004717B9" w:rsidRDefault="004717B9" w:rsidP="004717B9">
      <w:pPr>
        <w:pStyle w:val="Brdtext"/>
      </w:pPr>
    </w:p>
    <w:p w:rsidR="004717B9" w:rsidRDefault="004717B9" w:rsidP="004717B9">
      <w:pPr>
        <w:pStyle w:val="Brdtext"/>
        <w:spacing w:before="1" w:line="276" w:lineRule="auto"/>
        <w:ind w:left="1587" w:right="350"/>
      </w:pPr>
      <w:r>
        <w:t>Ett starkt socialt Europa kräver tillväxt, konkurrenskraft och ett dynamiskt näringsliv, men även en politik som ser betydelsen av jämlikhet, jämställdhet och ett samhälle som håller ihop. Fler jobb är den primära vägen ut ur fattigdom och stärker förutsättningarna att öka investeringarna i offentligt finansierad välfärd.</w:t>
      </w:r>
    </w:p>
    <w:p w:rsidR="004717B9" w:rsidRDefault="004717B9" w:rsidP="004717B9">
      <w:pPr>
        <w:pStyle w:val="Brdtext"/>
        <w:spacing w:before="9"/>
        <w:rPr>
          <w:sz w:val="24"/>
        </w:rPr>
      </w:pPr>
    </w:p>
    <w:p w:rsidR="004717B9" w:rsidRDefault="004717B9" w:rsidP="004717B9">
      <w:pPr>
        <w:pStyle w:val="Brdtext"/>
        <w:spacing w:line="276" w:lineRule="auto"/>
        <w:ind w:left="1587" w:right="381"/>
      </w:pPr>
      <w:r>
        <w:t>Ekonomisk tillväxt och fler jobb leder i sig inte nödvändigtvis till ett socialt rättvist, inkluderande eller jämlikt samhälle. Därför är det viktigt att EU- samarbetet har en fortsatt stark social dimension som bidrar till uppfyllelsen av FN:s globala mål för hållbar utveckling. Ett integrerat jämställdhetsperspektiv krävs dessutom för att få full utväxling av satsningar på det sociala området. Regeringen anser även att det är viktigt att lyfta fram den betydelse som utbildning och livslångt lärande har både för kompetensförsörjning och för social inkludering.</w:t>
      </w:r>
    </w:p>
    <w:p w:rsidR="004717B9" w:rsidRDefault="004717B9" w:rsidP="004717B9">
      <w:pPr>
        <w:pStyle w:val="Brdtext"/>
        <w:spacing w:before="11"/>
        <w:rPr>
          <w:sz w:val="24"/>
        </w:rPr>
      </w:pPr>
    </w:p>
    <w:p w:rsidR="004717B9" w:rsidRDefault="004717B9" w:rsidP="004717B9">
      <w:pPr>
        <w:pStyle w:val="Brdtext"/>
        <w:spacing w:line="276" w:lineRule="auto"/>
        <w:ind w:left="1587" w:right="439"/>
      </w:pPr>
      <w:r>
        <w:t>Regeringen delar i huvudsak kommissionens uppfattning om att pelaren för sociala rättigheter omfattar de prioriteringar som krävs för att möta dessa utmaningar och ser initiativet som en möjlighet till ett gemensamt politiskt</w:t>
      </w:r>
    </w:p>
    <w:p w:rsidR="004717B9" w:rsidRDefault="004717B9" w:rsidP="004717B9">
      <w:pPr>
        <w:spacing w:line="276" w:lineRule="auto"/>
        <w:sectPr w:rsidR="004717B9">
          <w:footerReference w:type="default" r:id="rId9"/>
          <w:pgSz w:w="11910" w:h="16840"/>
          <w:pgMar w:top="1580" w:right="1680" w:bottom="1740" w:left="880" w:header="0" w:footer="1546" w:gutter="0"/>
          <w:pgNumType w:start="2"/>
          <w:cols w:space="720"/>
        </w:sectPr>
      </w:pPr>
    </w:p>
    <w:p w:rsidR="004717B9" w:rsidRDefault="004717B9" w:rsidP="004717B9">
      <w:pPr>
        <w:pStyle w:val="Brdtext"/>
        <w:rPr>
          <w:sz w:val="20"/>
        </w:rPr>
      </w:pPr>
    </w:p>
    <w:p w:rsidR="004717B9" w:rsidRDefault="004717B9" w:rsidP="004717B9">
      <w:pPr>
        <w:pStyle w:val="Brdtext"/>
        <w:spacing w:before="217" w:line="276" w:lineRule="auto"/>
        <w:ind w:left="1587" w:right="293"/>
      </w:pPr>
      <w:r>
        <w:t>agerande som kan leverera positiva resultat i medlemsstaterna. I sammanhanget är det positivt men också nödvändigt att kommissionen lyfter fram det nationella ansvaret och arbetsmarknadens parters roll.</w:t>
      </w:r>
    </w:p>
    <w:p w:rsidR="004717B9" w:rsidRDefault="004717B9" w:rsidP="004717B9">
      <w:pPr>
        <w:pStyle w:val="Brdtext"/>
        <w:spacing w:before="10"/>
        <w:rPr>
          <w:sz w:val="24"/>
        </w:rPr>
      </w:pPr>
    </w:p>
    <w:p w:rsidR="004717B9" w:rsidRDefault="004717B9" w:rsidP="004717B9">
      <w:pPr>
        <w:pStyle w:val="Brdtext"/>
        <w:spacing w:line="276" w:lineRule="auto"/>
        <w:ind w:left="1587" w:right="457"/>
      </w:pPr>
      <w:r>
        <w:t>En central utgångspunkt för regeringen är respekt för fördelningen av befogenheter mellan EU och medlemsstaterna, nationella system avseende arbetsmarknad, sociala frågor och på skatte- och utbildningsområdet samt för principerna om subsidiaritet och proportionalitet. Pelaren för sociala rättigheter ändrar inte kompetensfördelningen enligt EU:s fördrag, utan ger inom givna ramar vägledning om vilka frågor på det sociala området som EU och medlemsstaterna bör bidra med utifrån sina befogenheter.</w:t>
      </w:r>
    </w:p>
    <w:p w:rsidR="004717B9" w:rsidRDefault="004717B9" w:rsidP="004717B9">
      <w:pPr>
        <w:pStyle w:val="Brdtext"/>
        <w:spacing w:before="2" w:line="276" w:lineRule="auto"/>
        <w:ind w:left="1587" w:right="325"/>
      </w:pPr>
      <w:r>
        <w:t>Regeringen förutsätter att kommissionen fullt ut respekterar detta och tillförsäkrar att rätt beslut sker på rätt nivå. Samarbete på området bör främst ske genom förstärkt erfarenhetsutbyte, inte genom bindande lagstiftning på EU-nivå.</w:t>
      </w:r>
    </w:p>
    <w:p w:rsidR="004717B9" w:rsidRDefault="004717B9" w:rsidP="004717B9">
      <w:pPr>
        <w:pStyle w:val="Brdtext"/>
        <w:spacing w:before="9"/>
        <w:rPr>
          <w:sz w:val="24"/>
        </w:rPr>
      </w:pPr>
    </w:p>
    <w:p w:rsidR="004717B9" w:rsidRDefault="004717B9" w:rsidP="004717B9">
      <w:pPr>
        <w:pStyle w:val="Brdtext"/>
        <w:spacing w:line="276" w:lineRule="auto"/>
        <w:ind w:left="1587" w:right="368"/>
      </w:pPr>
      <w:r>
        <w:t xml:space="preserve">Utvecklingen av ekonomin, arbetsmarknaden och den sociala ojämlikheten i ett medlemsland påverkar utvecklingen i övriga medlemsstater. En god arbetsmarknad i ett land kan skapa möjligheter till arbete för människor från andra länder. Samtidigt kan bristfälliga och </w:t>
      </w:r>
      <w:proofErr w:type="spellStart"/>
      <w:r>
        <w:t>ojämställda</w:t>
      </w:r>
      <w:proofErr w:type="spellEnd"/>
      <w:r>
        <w:t xml:space="preserve"> villkor och diskriminering av utsatta grupper i några medlemsstater påverka förutsättningarna för löntagare i andra medlemsstater. Förbättrade villkor på EU:s arbetsmarknader skulle också bidra till förbättrade levnadsvillkor samt minska risken för osund konkurrens. Det är därför viktigt att alla medlemsstater arbetar för goda sociala villkor för sina medborgare.</w:t>
      </w:r>
    </w:p>
    <w:p w:rsidR="004717B9" w:rsidRDefault="004717B9" w:rsidP="004717B9">
      <w:pPr>
        <w:pStyle w:val="Brdtext"/>
      </w:pPr>
    </w:p>
    <w:p w:rsidR="004717B9" w:rsidRDefault="004717B9" w:rsidP="004717B9">
      <w:pPr>
        <w:pStyle w:val="Brdtext"/>
        <w:spacing w:line="276" w:lineRule="auto"/>
        <w:ind w:left="1587" w:right="363"/>
      </w:pPr>
      <w:r>
        <w:t>Regeringen ser stärkt social dialog, god arbetsmiljö, möjligheter till utbildning av god kvalitet och omställning, social inkludering, hållbara och inkluderande sociala trygghetssystem samt välfungerande hälso- och sjukvårdssystem som främjar god och jämlik hälsa och ökad jämställdhet som prioriterade områden. Det huvudsakliga ansvaret för genomförandet av pelaren för sociala rättigheter vilar på medlemsstaterna inklusive nationella, regionala och lokala aktörer. Regeringen verkar därför för att den europeiska pelaren för sociala rättigheter främst ska följas upp genom samordningen av medlemsstaternas sysselsättnings- och socialpolitik och välkomnar mot den bakgrunden att relevanta delar av den sociala pelaren fortsatt följs upp inom den europeiska planeringsterminen.</w:t>
      </w:r>
    </w:p>
    <w:p w:rsidR="004717B9" w:rsidRDefault="004717B9" w:rsidP="004717B9">
      <w:pPr>
        <w:spacing w:line="276" w:lineRule="auto"/>
        <w:sectPr w:rsidR="004717B9">
          <w:pgSz w:w="11910" w:h="16840"/>
          <w:pgMar w:top="1580" w:right="1680" w:bottom="1740" w:left="880" w:header="0" w:footer="1546" w:gutter="0"/>
          <w:cols w:space="720"/>
        </w:sectPr>
      </w:pPr>
    </w:p>
    <w:p w:rsidR="004717B9" w:rsidRDefault="004717B9" w:rsidP="004717B9">
      <w:pPr>
        <w:pStyle w:val="Brdtext"/>
        <w:rPr>
          <w:sz w:val="20"/>
        </w:rPr>
      </w:pPr>
    </w:p>
    <w:p w:rsidR="004717B9" w:rsidRDefault="004717B9" w:rsidP="004717B9">
      <w:pPr>
        <w:pStyle w:val="Brdtext"/>
        <w:spacing w:before="217" w:line="276" w:lineRule="auto"/>
        <w:ind w:left="1587" w:right="303"/>
      </w:pPr>
      <w:r>
        <w:t>Arbetet inom ramen för den europeiska planeringsterminen bör bygga vidare på framgångsfaktorerna i Europa 2020-strategin och anpassas för en rättvis digital och grön omställning. Planeringsterminen bör även fortsättningsvis fokusera på sina kärnområden, som rör att säkerställa sunda offentliga finanser, förebygga och korrigera makroekonomiska obalanser samt att främja hållbar ekonomisk tillväxt, välfungerande arbetsmarknader och social inkludering.</w:t>
      </w:r>
    </w:p>
    <w:p w:rsidR="004717B9" w:rsidRDefault="004717B9" w:rsidP="004717B9">
      <w:pPr>
        <w:pStyle w:val="Brdtext"/>
        <w:spacing w:before="10"/>
        <w:rPr>
          <w:sz w:val="24"/>
        </w:rPr>
      </w:pPr>
    </w:p>
    <w:p w:rsidR="004717B9" w:rsidRDefault="004717B9" w:rsidP="004717B9">
      <w:pPr>
        <w:pStyle w:val="Brdtext"/>
        <w:spacing w:line="276" w:lineRule="auto"/>
        <w:ind w:left="1587" w:right="319"/>
      </w:pPr>
      <w:r>
        <w:t>För att öka samstämmigheten mellan olika styr- och måldokument bör ramverket för planeringsterminen anpassas i enlighet med Agenda 2030. Mer konkret föreslås fortsatt arbete med att integrera relevanta delmål från de globala hållbarhetsmålen i de allmänna ekonomiska riktlinjerna och sysselsättningsriktlinjerna, som utgör grunden för de landspecifika rekommendationerna inom ramen för planeringsterminen.</w:t>
      </w:r>
    </w:p>
    <w:p w:rsidR="004717B9" w:rsidRDefault="004717B9" w:rsidP="004717B9">
      <w:pPr>
        <w:pStyle w:val="Brdtext"/>
        <w:spacing w:before="1"/>
      </w:pPr>
    </w:p>
    <w:p w:rsidR="004717B9" w:rsidRDefault="004717B9" w:rsidP="004717B9">
      <w:pPr>
        <w:pStyle w:val="Brdtext"/>
        <w:spacing w:line="276" w:lineRule="auto"/>
        <w:ind w:left="1587" w:right="162"/>
      </w:pPr>
      <w:r>
        <w:t>Vad gäller de initiativ som kommissionen aviserar i syfte att bidra till genomförandet och uppföljningen av den sociala pelaren avser regeringen att ta ställning till dessa och återkomma till riksdagen i sedvanlig ordning, där så inte redan skett.</w:t>
      </w:r>
      <w:bookmarkEnd w:id="3"/>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p w:rsidR="004717B9" w:rsidRDefault="004717B9" w:rsidP="000C0F16">
      <w:pPr>
        <w:widowControl/>
      </w:pPr>
    </w:p>
    <w:tbl>
      <w:tblPr>
        <w:tblpPr w:leftFromText="141" w:rightFromText="141" w:vertAnchor="page" w:horzAnchor="margin" w:tblpY="688"/>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4717B9" w:rsidRPr="002C1D5A" w:rsidTr="0044592C">
        <w:trPr>
          <w:trHeight w:val="658"/>
        </w:trPr>
        <w:tc>
          <w:tcPr>
            <w:tcW w:w="4021" w:type="dxa"/>
            <w:tcBorders>
              <w:top w:val="nil"/>
              <w:left w:val="nil"/>
              <w:bottom w:val="nil"/>
              <w:right w:val="nil"/>
            </w:tcBorders>
          </w:tcPr>
          <w:p w:rsidR="004717B9" w:rsidRPr="002C1D5A" w:rsidRDefault="004717B9" w:rsidP="0044592C">
            <w:pPr>
              <w:tabs>
                <w:tab w:val="left" w:pos="1701"/>
              </w:tabs>
              <w:rPr>
                <w:sz w:val="22"/>
                <w:szCs w:val="24"/>
              </w:rPr>
            </w:pPr>
            <w:r>
              <w:rPr>
                <w:sz w:val="22"/>
                <w:szCs w:val="24"/>
              </w:rPr>
              <w:lastRenderedPageBreak/>
              <w:t>AR</w:t>
            </w:r>
            <w:r w:rsidRPr="002C1D5A">
              <w:rPr>
                <w:sz w:val="22"/>
                <w:szCs w:val="24"/>
              </w:rPr>
              <w:t>BETSMARKNADSUTSKOTTET</w:t>
            </w:r>
          </w:p>
          <w:p w:rsidR="004717B9" w:rsidRPr="002C1D5A" w:rsidRDefault="004717B9" w:rsidP="0044592C">
            <w:pPr>
              <w:tabs>
                <w:tab w:val="left" w:pos="1701"/>
              </w:tabs>
              <w:rPr>
                <w:sz w:val="22"/>
                <w:szCs w:val="24"/>
              </w:rPr>
            </w:pPr>
          </w:p>
        </w:tc>
        <w:tc>
          <w:tcPr>
            <w:tcW w:w="4021" w:type="dxa"/>
            <w:tcBorders>
              <w:top w:val="nil"/>
              <w:left w:val="nil"/>
              <w:bottom w:val="nil"/>
              <w:right w:val="nil"/>
            </w:tcBorders>
          </w:tcPr>
          <w:p w:rsidR="004717B9" w:rsidRPr="002C1D5A" w:rsidRDefault="004717B9" w:rsidP="0044592C">
            <w:pPr>
              <w:tabs>
                <w:tab w:val="left" w:pos="1701"/>
              </w:tabs>
              <w:jc w:val="center"/>
              <w:rPr>
                <w:b/>
                <w:sz w:val="22"/>
                <w:szCs w:val="24"/>
              </w:rPr>
            </w:pPr>
          </w:p>
        </w:tc>
        <w:tc>
          <w:tcPr>
            <w:tcW w:w="1685" w:type="dxa"/>
            <w:tcBorders>
              <w:top w:val="nil"/>
              <w:left w:val="nil"/>
              <w:bottom w:val="nil"/>
              <w:right w:val="nil"/>
            </w:tcBorders>
          </w:tcPr>
          <w:p w:rsidR="004717B9" w:rsidRPr="002C1D5A" w:rsidRDefault="004717B9" w:rsidP="0044592C">
            <w:pPr>
              <w:tabs>
                <w:tab w:val="left" w:pos="1701"/>
              </w:tabs>
              <w:rPr>
                <w:b/>
                <w:sz w:val="22"/>
                <w:szCs w:val="24"/>
              </w:rPr>
            </w:pPr>
            <w:r>
              <w:rPr>
                <w:b/>
                <w:sz w:val="22"/>
                <w:szCs w:val="24"/>
              </w:rPr>
              <w:t>Bilaga 3</w:t>
            </w:r>
          </w:p>
          <w:p w:rsidR="004717B9" w:rsidRPr="002C1D5A" w:rsidRDefault="004717B9" w:rsidP="0044592C">
            <w:pPr>
              <w:tabs>
                <w:tab w:val="left" w:pos="1701"/>
              </w:tabs>
              <w:rPr>
                <w:sz w:val="22"/>
                <w:szCs w:val="24"/>
              </w:rPr>
            </w:pPr>
            <w:r w:rsidRPr="002C1D5A">
              <w:rPr>
                <w:sz w:val="22"/>
                <w:szCs w:val="24"/>
              </w:rPr>
              <w:t>till protokoll</w:t>
            </w:r>
          </w:p>
          <w:p w:rsidR="004717B9" w:rsidRDefault="004717B9" w:rsidP="0044592C">
            <w:pPr>
              <w:tabs>
                <w:tab w:val="left" w:pos="1701"/>
              </w:tabs>
              <w:rPr>
                <w:sz w:val="22"/>
                <w:szCs w:val="24"/>
              </w:rPr>
            </w:pPr>
            <w:r>
              <w:rPr>
                <w:sz w:val="22"/>
                <w:szCs w:val="24"/>
              </w:rPr>
              <w:t>2020/21:11</w:t>
            </w:r>
          </w:p>
          <w:p w:rsidR="004717B9" w:rsidRPr="002C1D5A" w:rsidRDefault="004717B9" w:rsidP="0044592C">
            <w:pPr>
              <w:tabs>
                <w:tab w:val="left" w:pos="1701"/>
              </w:tabs>
              <w:rPr>
                <w:sz w:val="22"/>
                <w:szCs w:val="24"/>
              </w:rPr>
            </w:pPr>
          </w:p>
        </w:tc>
      </w:tr>
    </w:tbl>
    <w:p w:rsidR="004717B9" w:rsidRDefault="003C4C58" w:rsidP="004717B9">
      <w:pPr>
        <w:pStyle w:val="Rubrik1"/>
        <w:rPr>
          <w:rFonts w:asciiTheme="minorHAnsi" w:hAnsiTheme="minorHAnsi" w:cstheme="minorHAnsi"/>
          <w:sz w:val="36"/>
        </w:rPr>
      </w:pPr>
      <w:r>
        <w:rPr>
          <w:rFonts w:asciiTheme="minorHAnsi" w:hAnsiTheme="minorHAnsi" w:cstheme="minorHAnsi"/>
          <w:sz w:val="36"/>
        </w:rPr>
        <w:t>A</w:t>
      </w:r>
      <w:r w:rsidR="004717B9" w:rsidRPr="004717B9">
        <w:rPr>
          <w:rFonts w:asciiTheme="minorHAnsi" w:hAnsiTheme="minorHAnsi" w:cstheme="minorHAnsi"/>
          <w:sz w:val="36"/>
        </w:rPr>
        <w:t xml:space="preserve">vvikande ståndpunkt </w:t>
      </w:r>
      <w:r>
        <w:rPr>
          <w:rFonts w:asciiTheme="minorHAnsi" w:hAnsiTheme="minorHAnsi" w:cstheme="minorHAnsi"/>
          <w:sz w:val="36"/>
        </w:rPr>
        <w:t>M, KD</w:t>
      </w:r>
    </w:p>
    <w:p w:rsidR="003C4C58" w:rsidRDefault="003C4C58" w:rsidP="003C4C58">
      <w:r>
        <w:t xml:space="preserve">Den sociala pelaren </w:t>
      </w:r>
      <w:r w:rsidR="0069356D">
        <w:t>stadfästes</w:t>
      </w:r>
      <w:r>
        <w:t xml:space="preserve"> under EU-toppmötet i Göteborg under Stefan </w:t>
      </w:r>
      <w:proofErr w:type="spellStart"/>
      <w:r>
        <w:t>Löfvens</w:t>
      </w:r>
      <w:proofErr w:type="spellEnd"/>
      <w:r>
        <w:t xml:space="preserve"> ledning. De farhågor och den kritik som framfördes från bl.a. Moderaterna och Kristdemokraterna om att denna skulle leda till att EU skulle börja bestämma över medlemsstaterna när det gäller sociala frågor och arbetsmarknad - i synnerhet den kritiska och mycket aktuella frågan om införandet av s.k. minimilön. Stefan </w:t>
      </w:r>
      <w:proofErr w:type="spellStart"/>
      <w:r>
        <w:t>Löfven</w:t>
      </w:r>
      <w:proofErr w:type="spellEnd"/>
      <w:r>
        <w:t xml:space="preserve"> avfärdade då den kritiken rakt av.</w:t>
      </w:r>
    </w:p>
    <w:p w:rsidR="003C4C58" w:rsidRDefault="003C4C58" w:rsidP="003C4C58"/>
    <w:p w:rsidR="003C4C58" w:rsidRDefault="003C4C58" w:rsidP="003C4C58">
      <w:r>
        <w:t>-Debatten om att makt kommer överföras till EU och Bryssel är en dimridå. De som hävdar detta gör det för att de inte vill ha schyssta villkor och social trygghet. En felaktig uppgift blir inte mer sann bara för att den upprepas hur många gånger som helst, uttalade han då (GP 17/11 2017).</w:t>
      </w:r>
    </w:p>
    <w:p w:rsidR="003C4C58" w:rsidRDefault="003C4C58" w:rsidP="003C4C58"/>
    <w:p w:rsidR="003C4C58" w:rsidRDefault="003C4C58" w:rsidP="003C4C58">
      <w:r>
        <w:t xml:space="preserve">EU befinner sig i en svår ekonomisk kris. Konsekvenserna för sysselsättningen och fattigdomen i EU är och kommer att vara betydande. Det finns tydliga behov av reformer för ett mer konkurrenskraftigt Europa som kan skapa tillväxt, välfärd och sysselsättning för sina medborgare. EU står också inför akuta problem att lösa, till exempel när det gäller migration och terrorism, samtidigt som vi är mitt inne i en svår pandemi. </w:t>
      </w:r>
    </w:p>
    <w:p w:rsidR="003C4C58" w:rsidRDefault="003C4C58" w:rsidP="003C4C58"/>
    <w:p w:rsidR="003C4C58" w:rsidRDefault="003C4C58" w:rsidP="003C4C58">
      <w:r>
        <w:t>Förutsättningen för att uppnå bättre sociala villkor är en konkurrenskraftig ekonomi som tillhandahåller en stabil tillväxt där människor får möjlighet att ta sig från utanförskap och bidrag till arbete. Det kräver sunda offentliga finanser och genomförande av strukturreformer på nationell nivå. Vidare är ett effektivt EU en viktig faktor för att medlemsstaternas ekonomier ska kunna vara konkurrenskraftiga på en global marknad. Därför behöver den inre marknaden fördjupas och effektiviseras.</w:t>
      </w:r>
    </w:p>
    <w:p w:rsidR="003C4C58" w:rsidRDefault="003C4C58" w:rsidP="003C4C58"/>
    <w:p w:rsidR="003C4C58" w:rsidRDefault="003C4C58" w:rsidP="003C4C58">
      <w:r>
        <w:t>Andra akuta frågor som EU behöver ta sig an är samordning av migrationspolitiken och bekämpande av gränsöverskridande brottslighet och internationell terrorism. Vi ser hur EU-samarbetet idag ifrågasätts från flera håll, inte minst genom Storbritanniens utträde ur unionen. För att öka sin legitimitet måste EU ägna sig åt rätt saker. I detta sammanhang är det fel att EU fokuserar på att driva fram en gemensam socialpolitik.</w:t>
      </w:r>
    </w:p>
    <w:p w:rsidR="003C4C58" w:rsidRDefault="003C4C58" w:rsidP="003C4C58"/>
    <w:p w:rsidR="003C4C58" w:rsidRDefault="003C4C58" w:rsidP="003C4C58">
      <w:r>
        <w:t>EU ska vara den främsta arenan för att hitta gemensamma lösningar på problem Sverige inte kan lösa på egen hand, eller som vi löser betydligt bättre tillsammans med andra, som klimat- och miljöfrågan, handelsfrågor, migration samt många säkerhetsfrågor. Regeringen prioriterar framförallt frågor som inte kräver samarbete och som inte bör hanteras i EU. Regeringen tror att den kan exportera den svenska modellen. Men Europasamarbetet handlar inte om likriktning eller att andra länder ska bli som vi. Det är varken önskvärt eller praktiskt genomförbart, och leder istället till dagens situation där Sverige behöver kompromissa om sina välfärdsambitioner</w:t>
      </w:r>
      <w:r w:rsidR="0006333D">
        <w:t>.</w:t>
      </w:r>
    </w:p>
    <w:p w:rsidR="003C4C58" w:rsidRDefault="003C4C58" w:rsidP="003C4C58"/>
    <w:p w:rsidR="003C4C58" w:rsidRDefault="003C4C58" w:rsidP="003C4C58">
      <w:r>
        <w:t xml:space="preserve">Vi har redan från början kraftigt avvisat den sociala pelaren då vi anser att den leder till mer överstatlighet på det socialpolitiska området. Vi kan konstatera att kommissionen de senaste åren, med hänvisning till den sociala pelaren, kommit med en lång rad förslag om bindande regler på det socialpolitiska området, inte minst på arbetsrättens område. Detta är något vi djupt beklagar. </w:t>
      </w:r>
    </w:p>
    <w:p w:rsidR="003C4C58" w:rsidRDefault="003C4C58" w:rsidP="003C4C58"/>
    <w:p w:rsidR="003C4C58" w:rsidRDefault="003C4C58" w:rsidP="003C4C58">
      <w:r>
        <w:t xml:space="preserve">Frågor som rör sysselsättning och socialpolitik är fundamentala för alla medlemsstater. Förstärkt erfarenhetsutbyte bör dock, som vi flertalet gånger påtalat, vara den främsta samarbetsformen på området. Genom inrättandet av den sociala pelaren har sociala och arbetsmarknadspolitiska frågor förts upp på EU-nivå vilket innebär att vi nu lägger alltmer kraft </w:t>
      </w:r>
      <w:r>
        <w:lastRenderedPageBreak/>
        <w:t xml:space="preserve">och energi på att motverka förslag som riskerar att skära rakt in i den svenska arbetsmarknadsmodellen. Därtill tar implementeringen av den sociala pelaren tid och ekonomiska resurser som istället borde läggas på mer prioriterade områden. Det menar vi är olyckligt. </w:t>
      </w:r>
    </w:p>
    <w:p w:rsidR="003C4C58" w:rsidRDefault="003C4C58" w:rsidP="003C4C58"/>
    <w:p w:rsidR="003C4C58" w:rsidRDefault="003C4C58" w:rsidP="003C4C58">
      <w:r>
        <w:t>Till skillnad från utskottet har vi sedan antagandet av den sociala pelaren 2017 varnat för att den kommer att leda till att kompetensfördelningen mellan EU och medlemsländerna urholkas. Vi konstaterar nu tre år senare att farhågorna har besannats. Det finns många exempel på detta. EU har antagit ett långtgående direktiv om arbetsvillkor och bindande regler om balans mellan arbete och privatliv. EU har vidare upprättat en gemensam arbetsmyndighet och försökt driva igenom kvotering i bolagsstyrelser. Bland de senaste förslagen ser vi införandet av minimilöner, vilket är ett direkt hot mot den svenska arbetsmarknadsmodellen. Vi ser också förslag om en gemensam arbetslöshetsförsäkring och en barngaranti med rätt till barnomsorg, som vi befarar ska bekostas med EU:s gemensamma medel.</w:t>
      </w:r>
    </w:p>
    <w:p w:rsidR="003C4C58" w:rsidRDefault="003C4C58" w:rsidP="003C4C58"/>
    <w:p w:rsidR="003C4C58" w:rsidRDefault="003C4C58" w:rsidP="003C4C58">
      <w:r>
        <w:t xml:space="preserve">Vår bestämda uppfattning är att dessa förslag är ett resultat av den sociala pelaren, som regeringen så ivrigt drev fram. Vi beklagar att utskottet inte ser detta. Förutom att dessa initiativ riskerar att undergräva den svenska arbetsmarknadsmodellen där arbetsmarknadens parter förhandlar om villkor på arbetsmarknaden öppnar de även för att EU fortsättningsvis kommer att bortse från den nationella kompentensen på det socialpolitiska och arbetsrättsliga området. Om medlemsländerna en gång har accepterat att kompetensfördelningen överträds blir det framöver lättare för kommissionen att föreslå nya åtgärder på området. Vi är rädda för var det kan sluta och kan inte nog understryka att den nationella kompetensen måste respekteras. Samarbete på det socialpolitiska området bör främst ske genom förstärkt erfarenhetsutbyte, inte genom bindande lagstiftning på EU-nivå. </w:t>
      </w:r>
    </w:p>
    <w:p w:rsidR="003C4C58" w:rsidRDefault="003C4C58" w:rsidP="003C4C58"/>
    <w:p w:rsidR="003C4C58" w:rsidRDefault="003C4C58" w:rsidP="003C4C58">
      <w:r>
        <w:t>Mot bakgrund av detta anser vi att handlingsplanen för genomförandet av den sociala pelaren inte bör vara en prioriterad del i kommissionens handlingsplan. EU-kommissionen behöver ta ett steg tillbaka på det socialpolitiska området och i stället fokusera på den ekonomiska återhämtningen efter Coronakrisen. De sociala reformer som en del länder behöver genomföra, som att förbättra arbetslöshetsförsäkringen eller bygga ut barnomsorgen, är just ett nationellt ansvar och inget som EU ska använda sina resurser till att driva fram.</w:t>
      </w:r>
    </w:p>
    <w:p w:rsidR="003C4C58" w:rsidRDefault="003C4C58" w:rsidP="003C4C58"/>
    <w:p w:rsidR="003C4C58" w:rsidRPr="003C4C58" w:rsidRDefault="003C4C58" w:rsidP="003C4C58"/>
    <w:p w:rsidR="003C4C58" w:rsidRPr="003C4C58" w:rsidRDefault="003C4C58" w:rsidP="003C4C58"/>
    <w:p w:rsidR="003C4C58" w:rsidRPr="003C4C58" w:rsidRDefault="003C4C58" w:rsidP="003C4C58"/>
    <w:p w:rsidR="003C4C58" w:rsidRP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Pr="003C4C58" w:rsidRDefault="003C4C58" w:rsidP="003C4C58"/>
    <w:tbl>
      <w:tblPr>
        <w:tblpPr w:leftFromText="141" w:rightFromText="141" w:vertAnchor="page" w:horzAnchor="margin" w:tblpY="567"/>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3C4C58" w:rsidRPr="002C1D5A" w:rsidTr="003C4C58">
        <w:trPr>
          <w:trHeight w:val="658"/>
        </w:trPr>
        <w:tc>
          <w:tcPr>
            <w:tcW w:w="4021" w:type="dxa"/>
            <w:tcBorders>
              <w:top w:val="nil"/>
              <w:left w:val="nil"/>
              <w:bottom w:val="nil"/>
              <w:right w:val="nil"/>
            </w:tcBorders>
          </w:tcPr>
          <w:p w:rsidR="003C4C58" w:rsidRPr="002C1D5A" w:rsidRDefault="003C4C58" w:rsidP="003C4C58">
            <w:pPr>
              <w:tabs>
                <w:tab w:val="left" w:pos="1701"/>
              </w:tabs>
              <w:rPr>
                <w:sz w:val="22"/>
                <w:szCs w:val="24"/>
              </w:rPr>
            </w:pPr>
            <w:r>
              <w:rPr>
                <w:sz w:val="22"/>
                <w:szCs w:val="24"/>
              </w:rPr>
              <w:lastRenderedPageBreak/>
              <w:t>AR</w:t>
            </w:r>
            <w:r w:rsidRPr="002C1D5A">
              <w:rPr>
                <w:sz w:val="22"/>
                <w:szCs w:val="24"/>
              </w:rPr>
              <w:t>BETSMARKNADSUTSKOTTET</w:t>
            </w:r>
          </w:p>
          <w:p w:rsidR="003C4C58" w:rsidRPr="002C1D5A" w:rsidRDefault="003C4C58" w:rsidP="003C4C58">
            <w:pPr>
              <w:tabs>
                <w:tab w:val="left" w:pos="1701"/>
              </w:tabs>
              <w:rPr>
                <w:sz w:val="22"/>
                <w:szCs w:val="24"/>
              </w:rPr>
            </w:pPr>
          </w:p>
        </w:tc>
        <w:tc>
          <w:tcPr>
            <w:tcW w:w="4021" w:type="dxa"/>
            <w:tcBorders>
              <w:top w:val="nil"/>
              <w:left w:val="nil"/>
              <w:bottom w:val="nil"/>
              <w:right w:val="nil"/>
            </w:tcBorders>
          </w:tcPr>
          <w:p w:rsidR="003C4C58" w:rsidRPr="002C1D5A" w:rsidRDefault="003C4C58" w:rsidP="003C4C58">
            <w:pPr>
              <w:tabs>
                <w:tab w:val="left" w:pos="1701"/>
              </w:tabs>
              <w:jc w:val="center"/>
              <w:rPr>
                <w:b/>
                <w:sz w:val="22"/>
                <w:szCs w:val="24"/>
              </w:rPr>
            </w:pPr>
          </w:p>
        </w:tc>
        <w:tc>
          <w:tcPr>
            <w:tcW w:w="1685" w:type="dxa"/>
            <w:tcBorders>
              <w:top w:val="nil"/>
              <w:left w:val="nil"/>
              <w:bottom w:val="nil"/>
              <w:right w:val="nil"/>
            </w:tcBorders>
          </w:tcPr>
          <w:p w:rsidR="003C4C58" w:rsidRPr="002C1D5A" w:rsidRDefault="003C4C58" w:rsidP="003C4C58">
            <w:pPr>
              <w:tabs>
                <w:tab w:val="left" w:pos="1701"/>
              </w:tabs>
              <w:rPr>
                <w:b/>
                <w:sz w:val="22"/>
                <w:szCs w:val="24"/>
              </w:rPr>
            </w:pPr>
            <w:r>
              <w:rPr>
                <w:b/>
                <w:sz w:val="22"/>
                <w:szCs w:val="24"/>
              </w:rPr>
              <w:t>Bilaga 4</w:t>
            </w:r>
          </w:p>
          <w:p w:rsidR="003C4C58" w:rsidRPr="002C1D5A" w:rsidRDefault="003C4C58" w:rsidP="003C4C58">
            <w:pPr>
              <w:tabs>
                <w:tab w:val="left" w:pos="1701"/>
              </w:tabs>
              <w:rPr>
                <w:sz w:val="22"/>
                <w:szCs w:val="24"/>
              </w:rPr>
            </w:pPr>
            <w:r w:rsidRPr="002C1D5A">
              <w:rPr>
                <w:sz w:val="22"/>
                <w:szCs w:val="24"/>
              </w:rPr>
              <w:t>till protokoll</w:t>
            </w:r>
          </w:p>
          <w:p w:rsidR="003C4C58" w:rsidRDefault="003C4C58" w:rsidP="003C4C58">
            <w:pPr>
              <w:tabs>
                <w:tab w:val="left" w:pos="1701"/>
              </w:tabs>
              <w:rPr>
                <w:sz w:val="22"/>
                <w:szCs w:val="24"/>
              </w:rPr>
            </w:pPr>
            <w:r>
              <w:rPr>
                <w:sz w:val="22"/>
                <w:szCs w:val="24"/>
              </w:rPr>
              <w:t>2020/21:11</w:t>
            </w:r>
          </w:p>
          <w:p w:rsidR="003C4C58" w:rsidRPr="002C1D5A" w:rsidRDefault="003C4C58" w:rsidP="003C4C58">
            <w:pPr>
              <w:tabs>
                <w:tab w:val="left" w:pos="1701"/>
              </w:tabs>
              <w:rPr>
                <w:sz w:val="22"/>
                <w:szCs w:val="24"/>
              </w:rPr>
            </w:pPr>
          </w:p>
        </w:tc>
      </w:tr>
    </w:tbl>
    <w:p w:rsidR="003C4C58" w:rsidRDefault="003C4C58" w:rsidP="003C4C58"/>
    <w:p w:rsidR="003C4C58" w:rsidRDefault="003C4C58" w:rsidP="003C4C58"/>
    <w:p w:rsidR="004717B9" w:rsidRDefault="003C4C58" w:rsidP="003C4C58">
      <w:pPr>
        <w:pStyle w:val="Rubrik1"/>
        <w:rPr>
          <w:rFonts w:asciiTheme="minorHAnsi" w:hAnsiTheme="minorHAnsi" w:cstheme="minorHAnsi"/>
          <w:sz w:val="36"/>
        </w:rPr>
      </w:pPr>
      <w:r>
        <w:rPr>
          <w:rFonts w:asciiTheme="minorHAnsi" w:hAnsiTheme="minorHAnsi" w:cstheme="minorHAnsi"/>
          <w:sz w:val="36"/>
        </w:rPr>
        <w:t>A</w:t>
      </w:r>
      <w:r w:rsidRPr="004717B9">
        <w:rPr>
          <w:rFonts w:asciiTheme="minorHAnsi" w:hAnsiTheme="minorHAnsi" w:cstheme="minorHAnsi"/>
          <w:sz w:val="36"/>
        </w:rPr>
        <w:t xml:space="preserve">vvikande ståndpunkt </w:t>
      </w:r>
      <w:r>
        <w:rPr>
          <w:rFonts w:asciiTheme="minorHAnsi" w:hAnsiTheme="minorHAnsi" w:cstheme="minorHAnsi"/>
          <w:sz w:val="36"/>
        </w:rPr>
        <w:t>SD</w:t>
      </w:r>
    </w:p>
    <w:p w:rsidR="003C4C58" w:rsidRDefault="003C4C58" w:rsidP="003C4C58"/>
    <w:p w:rsidR="0069356D" w:rsidRPr="0069356D" w:rsidRDefault="0069356D" w:rsidP="0069356D">
      <w:pPr>
        <w:autoSpaceDE w:val="0"/>
        <w:autoSpaceDN w:val="0"/>
        <w:rPr>
          <w:color w:val="000000"/>
        </w:rPr>
      </w:pPr>
      <w:r w:rsidRPr="0069356D">
        <w:rPr>
          <w:color w:val="000000"/>
        </w:rPr>
        <w:t xml:space="preserve">Sverigedemokraterna motsätter sig inte alla former av samarbeten på arbetsmarknadsområdet men vi anser att det är nödvändigt att hålla en konsekvent linje gentemot den så kallade sociala pelaren. </w:t>
      </w:r>
    </w:p>
    <w:p w:rsidR="0069356D" w:rsidRPr="0069356D" w:rsidRDefault="0069356D" w:rsidP="0069356D">
      <w:pPr>
        <w:autoSpaceDE w:val="0"/>
        <w:autoSpaceDN w:val="0"/>
        <w:rPr>
          <w:color w:val="000000"/>
        </w:rPr>
      </w:pPr>
    </w:p>
    <w:p w:rsidR="0069356D" w:rsidRPr="0069356D" w:rsidRDefault="0069356D" w:rsidP="0069356D">
      <w:pPr>
        <w:autoSpaceDE w:val="0"/>
        <w:autoSpaceDN w:val="0"/>
        <w:rPr>
          <w:color w:val="000000"/>
        </w:rPr>
      </w:pPr>
      <w:r w:rsidRPr="0069356D">
        <w:rPr>
          <w:color w:val="000000"/>
        </w:rPr>
        <w:t>Pelaren i sig innehåller inga konkreta förslag men ett antal förslag som har lagts med hän</w:t>
      </w:r>
      <w:r w:rsidR="00A50F74">
        <w:rPr>
          <w:color w:val="000000"/>
        </w:rPr>
        <w:t>visning</w:t>
      </w:r>
      <w:r w:rsidRPr="0069356D">
        <w:rPr>
          <w:color w:val="000000"/>
        </w:rPr>
        <w:t xml:space="preserve"> till pelaren har varit mindre bra.</w:t>
      </w:r>
    </w:p>
    <w:p w:rsidR="0069356D" w:rsidRPr="0069356D" w:rsidRDefault="0069356D" w:rsidP="0069356D">
      <w:pPr>
        <w:autoSpaceDE w:val="0"/>
        <w:autoSpaceDN w:val="0"/>
        <w:rPr>
          <w:color w:val="000000"/>
        </w:rPr>
      </w:pPr>
    </w:p>
    <w:p w:rsidR="003C4C58" w:rsidRDefault="0069356D" w:rsidP="00D5681C">
      <w:pPr>
        <w:autoSpaceDE w:val="0"/>
        <w:autoSpaceDN w:val="0"/>
      </w:pPr>
      <w:r w:rsidRPr="0069356D">
        <w:rPr>
          <w:color w:val="000000"/>
        </w:rPr>
        <w:t>Pelaren utgör inte en rättslig grund men kan ändå komma att användas som rättskälla vid tillämpning av rättsakter som tillkommit inom ramen för de</w:t>
      </w:r>
      <w:r w:rsidR="00A50F74">
        <w:rPr>
          <w:color w:val="000000"/>
        </w:rPr>
        <w:t>n</w:t>
      </w:r>
      <w:r w:rsidRPr="0069356D">
        <w:rPr>
          <w:color w:val="000000"/>
        </w:rPr>
        <w:t xml:space="preserve">samma. Vi motsatte oss därför deklarationen från Göteborg och vi anser att regeringens ståndpunkt ska vara </w:t>
      </w:r>
      <w:r w:rsidR="00A50F74">
        <w:rPr>
          <w:color w:val="000000"/>
        </w:rPr>
        <w:t xml:space="preserve">att </w:t>
      </w:r>
      <w:r w:rsidRPr="0069356D">
        <w:rPr>
          <w:color w:val="000000"/>
        </w:rPr>
        <w:t>arbetet med pelaren ska nedprioritera</w:t>
      </w:r>
      <w:r w:rsidR="00A50F74">
        <w:rPr>
          <w:color w:val="000000"/>
        </w:rPr>
        <w:t>s</w:t>
      </w:r>
      <w:r w:rsidRPr="0069356D">
        <w:rPr>
          <w:color w:val="000000"/>
        </w:rPr>
        <w:t xml:space="preserve"> eller helst avslutas helt.</w:t>
      </w:r>
    </w:p>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p w:rsidR="003C4C58" w:rsidRDefault="003C4C58" w:rsidP="003C4C58">
      <w:r>
        <w:tab/>
      </w:r>
      <w:r>
        <w:tab/>
      </w:r>
      <w:r>
        <w:tab/>
      </w:r>
      <w:r>
        <w:tab/>
      </w:r>
      <w:r>
        <w:tab/>
      </w:r>
      <w:r>
        <w:tab/>
      </w:r>
    </w:p>
    <w:p w:rsidR="003C4C58" w:rsidRPr="003C4C58" w:rsidRDefault="003C4C58" w:rsidP="00D5681C">
      <w:pPr>
        <w:widowControl/>
        <w:rPr>
          <w:rFonts w:ascii="Calibri" w:eastAsia="Calibri" w:hAnsi="Calibri" w:cs="Calibri"/>
          <w:sz w:val="22"/>
          <w:szCs w:val="22"/>
        </w:rPr>
      </w:pPr>
      <w:r w:rsidRPr="003C4C58">
        <w:rPr>
          <w:rFonts w:ascii="Calibri" w:eastAsia="Calibri" w:hAnsi="Calibri" w:cs="Calibri"/>
          <w:sz w:val="22"/>
          <w:szCs w:val="22"/>
        </w:rPr>
        <w:tab/>
      </w:r>
      <w:r>
        <w:rPr>
          <w:rFonts w:ascii="Calibri" w:eastAsia="Calibri" w:hAnsi="Calibri" w:cs="Calibri"/>
          <w:sz w:val="22"/>
          <w:szCs w:val="22"/>
        </w:rPr>
        <w:tab/>
      </w:r>
      <w:r w:rsidRPr="003C4C58">
        <w:rPr>
          <w:rFonts w:ascii="Calibri" w:eastAsia="Calibri" w:hAnsi="Calibri" w:cs="Calibri"/>
          <w:sz w:val="22"/>
          <w:szCs w:val="22"/>
        </w:rPr>
        <w:tab/>
      </w:r>
      <w:r w:rsidRPr="003C4C58">
        <w:rPr>
          <w:rFonts w:ascii="Calibri" w:eastAsia="Calibri" w:hAnsi="Calibri" w:cs="Calibri"/>
          <w:sz w:val="22"/>
          <w:szCs w:val="22"/>
        </w:rPr>
        <w:tab/>
      </w:r>
      <w:r w:rsidRPr="003C4C58">
        <w:rPr>
          <w:rFonts w:ascii="Calibri" w:eastAsia="Calibri" w:hAnsi="Calibri" w:cs="Calibri"/>
          <w:sz w:val="22"/>
          <w:szCs w:val="22"/>
        </w:rPr>
        <w:tab/>
      </w:r>
      <w:r w:rsidRPr="003C4C58">
        <w:rPr>
          <w:rFonts w:ascii="Calibri" w:eastAsia="Calibri" w:hAnsi="Calibri" w:cs="Calibri"/>
          <w:sz w:val="22"/>
          <w:szCs w:val="22"/>
        </w:rPr>
        <w:tab/>
      </w:r>
      <w:r w:rsidRPr="003C4C58">
        <w:rPr>
          <w:rFonts w:ascii="Calibri" w:eastAsia="Calibri" w:hAnsi="Calibri" w:cs="Calibri"/>
          <w:sz w:val="22"/>
          <w:szCs w:val="22"/>
        </w:rPr>
        <w:tab/>
      </w:r>
      <w:r w:rsidRPr="003C4C58">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3C4C58" w:rsidRPr="003C4C58" w:rsidRDefault="003C4C58" w:rsidP="003C4C58"/>
    <w:sectPr w:rsidR="003C4C58" w:rsidRPr="003C4C58" w:rsidSect="0070211B">
      <w:pgSz w:w="11906" w:h="16838"/>
      <w:pgMar w:top="568" w:right="1134" w:bottom="568" w:left="15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82B" w:rsidRDefault="00285558">
      <w:r>
        <w:separator/>
      </w:r>
    </w:p>
  </w:endnote>
  <w:endnote w:type="continuationSeparator" w:id="0">
    <w:p w:rsidR="0025382B" w:rsidRDefault="0028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79A" w:rsidRDefault="00C41F58">
    <w:pPr>
      <w:pStyle w:val="Brd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82B" w:rsidRDefault="00285558">
      <w:r>
        <w:separator/>
      </w:r>
    </w:p>
  </w:footnote>
  <w:footnote w:type="continuationSeparator" w:id="0">
    <w:p w:rsidR="0025382B" w:rsidRDefault="00285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1CF61BA"/>
    <w:multiLevelType w:val="hybridMultilevel"/>
    <w:tmpl w:val="DE5C3132"/>
    <w:lvl w:ilvl="0" w:tplc="D8ACE21E">
      <w:start w:val="1"/>
      <w:numFmt w:val="decimal"/>
      <w:lvlText w:val="%1."/>
      <w:lvlJc w:val="left"/>
      <w:pPr>
        <w:ind w:left="1856" w:hanging="269"/>
      </w:pPr>
      <w:rPr>
        <w:rFonts w:ascii="Arial" w:eastAsia="Arial" w:hAnsi="Arial" w:cs="Arial" w:hint="default"/>
        <w:w w:val="99"/>
        <w:sz w:val="24"/>
        <w:szCs w:val="24"/>
        <w:lang w:val="sv-SE" w:eastAsia="en-US" w:bidi="ar-SA"/>
      </w:rPr>
    </w:lvl>
    <w:lvl w:ilvl="1" w:tplc="526EBB8A">
      <w:numFmt w:val="bullet"/>
      <w:lvlText w:val="•"/>
      <w:lvlJc w:val="left"/>
      <w:pPr>
        <w:ind w:left="2608" w:hanging="269"/>
      </w:pPr>
      <w:rPr>
        <w:rFonts w:hint="default"/>
        <w:lang w:val="sv-SE" w:eastAsia="en-US" w:bidi="ar-SA"/>
      </w:rPr>
    </w:lvl>
    <w:lvl w:ilvl="2" w:tplc="345ACDBC">
      <w:numFmt w:val="bullet"/>
      <w:lvlText w:val="•"/>
      <w:lvlJc w:val="left"/>
      <w:pPr>
        <w:ind w:left="3357" w:hanging="269"/>
      </w:pPr>
      <w:rPr>
        <w:rFonts w:hint="default"/>
        <w:lang w:val="sv-SE" w:eastAsia="en-US" w:bidi="ar-SA"/>
      </w:rPr>
    </w:lvl>
    <w:lvl w:ilvl="3" w:tplc="33F00E34">
      <w:numFmt w:val="bullet"/>
      <w:lvlText w:val="•"/>
      <w:lvlJc w:val="left"/>
      <w:pPr>
        <w:ind w:left="4105" w:hanging="269"/>
      </w:pPr>
      <w:rPr>
        <w:rFonts w:hint="default"/>
        <w:lang w:val="sv-SE" w:eastAsia="en-US" w:bidi="ar-SA"/>
      </w:rPr>
    </w:lvl>
    <w:lvl w:ilvl="4" w:tplc="2AF6638C">
      <w:numFmt w:val="bullet"/>
      <w:lvlText w:val="•"/>
      <w:lvlJc w:val="left"/>
      <w:pPr>
        <w:ind w:left="4854" w:hanging="269"/>
      </w:pPr>
      <w:rPr>
        <w:rFonts w:hint="default"/>
        <w:lang w:val="sv-SE" w:eastAsia="en-US" w:bidi="ar-SA"/>
      </w:rPr>
    </w:lvl>
    <w:lvl w:ilvl="5" w:tplc="63927034">
      <w:numFmt w:val="bullet"/>
      <w:lvlText w:val="•"/>
      <w:lvlJc w:val="left"/>
      <w:pPr>
        <w:ind w:left="5603" w:hanging="269"/>
      </w:pPr>
      <w:rPr>
        <w:rFonts w:hint="default"/>
        <w:lang w:val="sv-SE" w:eastAsia="en-US" w:bidi="ar-SA"/>
      </w:rPr>
    </w:lvl>
    <w:lvl w:ilvl="6" w:tplc="F8EAC2F6">
      <w:numFmt w:val="bullet"/>
      <w:lvlText w:val="•"/>
      <w:lvlJc w:val="left"/>
      <w:pPr>
        <w:ind w:left="6351" w:hanging="269"/>
      </w:pPr>
      <w:rPr>
        <w:rFonts w:hint="default"/>
        <w:lang w:val="sv-SE" w:eastAsia="en-US" w:bidi="ar-SA"/>
      </w:rPr>
    </w:lvl>
    <w:lvl w:ilvl="7" w:tplc="FEE682C0">
      <w:numFmt w:val="bullet"/>
      <w:lvlText w:val="•"/>
      <w:lvlJc w:val="left"/>
      <w:pPr>
        <w:ind w:left="7100" w:hanging="269"/>
      </w:pPr>
      <w:rPr>
        <w:rFonts w:hint="default"/>
        <w:lang w:val="sv-SE" w:eastAsia="en-US" w:bidi="ar-SA"/>
      </w:rPr>
    </w:lvl>
    <w:lvl w:ilvl="8" w:tplc="7C449ECE">
      <w:numFmt w:val="bullet"/>
      <w:lvlText w:val="•"/>
      <w:lvlJc w:val="left"/>
      <w:pPr>
        <w:ind w:left="7849" w:hanging="269"/>
      </w:pPr>
      <w:rPr>
        <w:rFonts w:hint="default"/>
        <w:lang w:val="sv-SE" w:eastAsia="en-US" w:bidi="ar-SA"/>
      </w:rPr>
    </w:lvl>
  </w:abstractNum>
  <w:abstractNum w:abstractNumId="2" w15:restartNumberingAfterBreak="0">
    <w:nsid w:val="38E56029"/>
    <w:multiLevelType w:val="hybridMultilevel"/>
    <w:tmpl w:val="809C5612"/>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973F48"/>
    <w:multiLevelType w:val="hybridMultilevel"/>
    <w:tmpl w:val="F16AF23C"/>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B23D17"/>
    <w:multiLevelType w:val="hybridMultilevel"/>
    <w:tmpl w:val="AA2626D0"/>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E5069D2"/>
    <w:multiLevelType w:val="hybridMultilevel"/>
    <w:tmpl w:val="7318C728"/>
    <w:lvl w:ilvl="0" w:tplc="F2A8BF6C">
      <w:start w:val="1"/>
      <w:numFmt w:val="decimal"/>
      <w:lvlText w:val="%1."/>
      <w:lvlJc w:val="left"/>
      <w:pPr>
        <w:ind w:left="2771" w:hanging="360"/>
      </w:pPr>
      <w:rPr>
        <w:rFonts w:ascii="Times New Roman" w:hAnsi="Times New Roman" w:cs="Times New Roman" w:hint="default"/>
        <w:b/>
        <w:i w:val="0"/>
        <w:color w:val="auto"/>
        <w:sz w:val="24"/>
        <w:szCs w:val="24"/>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3470E"/>
    <w:rsid w:val="00037EDF"/>
    <w:rsid w:val="0004283E"/>
    <w:rsid w:val="00043563"/>
    <w:rsid w:val="00054788"/>
    <w:rsid w:val="0005486A"/>
    <w:rsid w:val="0006333D"/>
    <w:rsid w:val="00082012"/>
    <w:rsid w:val="00094CEF"/>
    <w:rsid w:val="000A10F5"/>
    <w:rsid w:val="000A278B"/>
    <w:rsid w:val="000B0463"/>
    <w:rsid w:val="000B2293"/>
    <w:rsid w:val="000B7C05"/>
    <w:rsid w:val="000C0F16"/>
    <w:rsid w:val="000C6ED6"/>
    <w:rsid w:val="000D0939"/>
    <w:rsid w:val="000D4D83"/>
    <w:rsid w:val="000D4DF1"/>
    <w:rsid w:val="000F2258"/>
    <w:rsid w:val="000F47DE"/>
    <w:rsid w:val="000F4B22"/>
    <w:rsid w:val="00102BE9"/>
    <w:rsid w:val="00104694"/>
    <w:rsid w:val="0011169D"/>
    <w:rsid w:val="00121B03"/>
    <w:rsid w:val="00133B7E"/>
    <w:rsid w:val="00140387"/>
    <w:rsid w:val="001507C0"/>
    <w:rsid w:val="001534D9"/>
    <w:rsid w:val="00161AA6"/>
    <w:rsid w:val="001631CE"/>
    <w:rsid w:val="00176EC8"/>
    <w:rsid w:val="00177D86"/>
    <w:rsid w:val="00181693"/>
    <w:rsid w:val="00186BCD"/>
    <w:rsid w:val="0019469E"/>
    <w:rsid w:val="001A1578"/>
    <w:rsid w:val="001A7AE7"/>
    <w:rsid w:val="001B395F"/>
    <w:rsid w:val="001C74B4"/>
    <w:rsid w:val="001E1FAC"/>
    <w:rsid w:val="00213339"/>
    <w:rsid w:val="002174A8"/>
    <w:rsid w:val="002373C0"/>
    <w:rsid w:val="00245992"/>
    <w:rsid w:val="00246D79"/>
    <w:rsid w:val="00246FAC"/>
    <w:rsid w:val="002517D1"/>
    <w:rsid w:val="0025382B"/>
    <w:rsid w:val="002544E0"/>
    <w:rsid w:val="002624FF"/>
    <w:rsid w:val="002703D2"/>
    <w:rsid w:val="00274266"/>
    <w:rsid w:val="00274858"/>
    <w:rsid w:val="00275CD2"/>
    <w:rsid w:val="00277F93"/>
    <w:rsid w:val="00285558"/>
    <w:rsid w:val="00296D10"/>
    <w:rsid w:val="002B1854"/>
    <w:rsid w:val="002B34A2"/>
    <w:rsid w:val="002B51DB"/>
    <w:rsid w:val="002D2AB5"/>
    <w:rsid w:val="002D7861"/>
    <w:rsid w:val="002E1614"/>
    <w:rsid w:val="002F0A0A"/>
    <w:rsid w:val="002F1AF3"/>
    <w:rsid w:val="002F284C"/>
    <w:rsid w:val="003102EF"/>
    <w:rsid w:val="00311F19"/>
    <w:rsid w:val="00314F14"/>
    <w:rsid w:val="00332CC0"/>
    <w:rsid w:val="003378A2"/>
    <w:rsid w:val="00340842"/>
    <w:rsid w:val="0034388C"/>
    <w:rsid w:val="00360479"/>
    <w:rsid w:val="00362805"/>
    <w:rsid w:val="00363647"/>
    <w:rsid w:val="003745F4"/>
    <w:rsid w:val="0037567A"/>
    <w:rsid w:val="00380417"/>
    <w:rsid w:val="003815DF"/>
    <w:rsid w:val="003863A9"/>
    <w:rsid w:val="00394192"/>
    <w:rsid w:val="003952A4"/>
    <w:rsid w:val="0039591D"/>
    <w:rsid w:val="003A48EB"/>
    <w:rsid w:val="003A729A"/>
    <w:rsid w:val="003B7502"/>
    <w:rsid w:val="003C4C58"/>
    <w:rsid w:val="003D2B22"/>
    <w:rsid w:val="003D3213"/>
    <w:rsid w:val="003D65DF"/>
    <w:rsid w:val="003E3027"/>
    <w:rsid w:val="003E7936"/>
    <w:rsid w:val="003F49FA"/>
    <w:rsid w:val="003F642F"/>
    <w:rsid w:val="003F76C0"/>
    <w:rsid w:val="00407CF8"/>
    <w:rsid w:val="00410437"/>
    <w:rsid w:val="0041580F"/>
    <w:rsid w:val="0041582D"/>
    <w:rsid w:val="00416EC2"/>
    <w:rsid w:val="00417945"/>
    <w:rsid w:val="004206DB"/>
    <w:rsid w:val="00422FA5"/>
    <w:rsid w:val="004245AC"/>
    <w:rsid w:val="0044250B"/>
    <w:rsid w:val="00445589"/>
    <w:rsid w:val="00446353"/>
    <w:rsid w:val="0046393D"/>
    <w:rsid w:val="004717B9"/>
    <w:rsid w:val="00494D6F"/>
    <w:rsid w:val="00497C89"/>
    <w:rsid w:val="004A0DC8"/>
    <w:rsid w:val="004B6D8F"/>
    <w:rsid w:val="004C27C6"/>
    <w:rsid w:val="004C5D4F"/>
    <w:rsid w:val="004C6112"/>
    <w:rsid w:val="004D0396"/>
    <w:rsid w:val="004D717F"/>
    <w:rsid w:val="004E0699"/>
    <w:rsid w:val="004E3A31"/>
    <w:rsid w:val="004E43E1"/>
    <w:rsid w:val="004F1B55"/>
    <w:rsid w:val="004F3AC5"/>
    <w:rsid w:val="004F680C"/>
    <w:rsid w:val="0050040F"/>
    <w:rsid w:val="00502075"/>
    <w:rsid w:val="005037D2"/>
    <w:rsid w:val="005108E6"/>
    <w:rsid w:val="00510CEB"/>
    <w:rsid w:val="00511E86"/>
    <w:rsid w:val="00517E7E"/>
    <w:rsid w:val="00527AF1"/>
    <w:rsid w:val="00533D68"/>
    <w:rsid w:val="00540AE9"/>
    <w:rsid w:val="00555EB7"/>
    <w:rsid w:val="00565087"/>
    <w:rsid w:val="00572831"/>
    <w:rsid w:val="00574036"/>
    <w:rsid w:val="00581568"/>
    <w:rsid w:val="00592BE9"/>
    <w:rsid w:val="00594C8C"/>
    <w:rsid w:val="005B0262"/>
    <w:rsid w:val="005C1541"/>
    <w:rsid w:val="005C2F5F"/>
    <w:rsid w:val="005C3A33"/>
    <w:rsid w:val="005D6615"/>
    <w:rsid w:val="005E28B9"/>
    <w:rsid w:val="005E439C"/>
    <w:rsid w:val="005F493C"/>
    <w:rsid w:val="005F4C6A"/>
    <w:rsid w:val="005F57D4"/>
    <w:rsid w:val="00614540"/>
    <w:rsid w:val="00651B0E"/>
    <w:rsid w:val="00681154"/>
    <w:rsid w:val="00681596"/>
    <w:rsid w:val="006847DD"/>
    <w:rsid w:val="0069356D"/>
    <w:rsid w:val="00697EB5"/>
    <w:rsid w:val="006A511D"/>
    <w:rsid w:val="006B206D"/>
    <w:rsid w:val="006B7B0C"/>
    <w:rsid w:val="006C21FA"/>
    <w:rsid w:val="006C5288"/>
    <w:rsid w:val="006D1E81"/>
    <w:rsid w:val="006D3126"/>
    <w:rsid w:val="006F3C58"/>
    <w:rsid w:val="0070211B"/>
    <w:rsid w:val="007057F4"/>
    <w:rsid w:val="00723D66"/>
    <w:rsid w:val="00726EE5"/>
    <w:rsid w:val="00731EE4"/>
    <w:rsid w:val="007446AC"/>
    <w:rsid w:val="00750FF0"/>
    <w:rsid w:val="007515BB"/>
    <w:rsid w:val="007557B6"/>
    <w:rsid w:val="00755B50"/>
    <w:rsid w:val="00767BDA"/>
    <w:rsid w:val="00771B76"/>
    <w:rsid w:val="00780720"/>
    <w:rsid w:val="00796F72"/>
    <w:rsid w:val="007C2094"/>
    <w:rsid w:val="007C699C"/>
    <w:rsid w:val="007C6A9B"/>
    <w:rsid w:val="007D2F5F"/>
    <w:rsid w:val="007F6B0D"/>
    <w:rsid w:val="00815B5B"/>
    <w:rsid w:val="00827158"/>
    <w:rsid w:val="00834B38"/>
    <w:rsid w:val="008378F7"/>
    <w:rsid w:val="00847371"/>
    <w:rsid w:val="00851B09"/>
    <w:rsid w:val="008557FA"/>
    <w:rsid w:val="0086262B"/>
    <w:rsid w:val="008808A5"/>
    <w:rsid w:val="008A4E92"/>
    <w:rsid w:val="008B0BC6"/>
    <w:rsid w:val="008C68ED"/>
    <w:rsid w:val="008F4D68"/>
    <w:rsid w:val="008F656A"/>
    <w:rsid w:val="00906C2D"/>
    <w:rsid w:val="00915674"/>
    <w:rsid w:val="00921E58"/>
    <w:rsid w:val="009249A0"/>
    <w:rsid w:val="00937BF3"/>
    <w:rsid w:val="00946978"/>
    <w:rsid w:val="00947E4C"/>
    <w:rsid w:val="00953D59"/>
    <w:rsid w:val="00954010"/>
    <w:rsid w:val="0096348C"/>
    <w:rsid w:val="00973D8B"/>
    <w:rsid w:val="009815DB"/>
    <w:rsid w:val="00984F1C"/>
    <w:rsid w:val="009A68FE"/>
    <w:rsid w:val="009B0A01"/>
    <w:rsid w:val="009B0E9B"/>
    <w:rsid w:val="009C3BE7"/>
    <w:rsid w:val="009D1BB5"/>
    <w:rsid w:val="009D6560"/>
    <w:rsid w:val="009E4C2E"/>
    <w:rsid w:val="009F6E99"/>
    <w:rsid w:val="00A258F2"/>
    <w:rsid w:val="00A401A5"/>
    <w:rsid w:val="00A46C20"/>
    <w:rsid w:val="00A50F74"/>
    <w:rsid w:val="00A55748"/>
    <w:rsid w:val="00A6590E"/>
    <w:rsid w:val="00A70B78"/>
    <w:rsid w:val="00A744C3"/>
    <w:rsid w:val="00A81721"/>
    <w:rsid w:val="00A84DE6"/>
    <w:rsid w:val="00A90C14"/>
    <w:rsid w:val="00A9262A"/>
    <w:rsid w:val="00AB3136"/>
    <w:rsid w:val="00AF7C8D"/>
    <w:rsid w:val="00B15788"/>
    <w:rsid w:val="00B3204F"/>
    <w:rsid w:val="00B533AB"/>
    <w:rsid w:val="00B54D41"/>
    <w:rsid w:val="00B60B32"/>
    <w:rsid w:val="00B64A91"/>
    <w:rsid w:val="00B656ED"/>
    <w:rsid w:val="00B8416B"/>
    <w:rsid w:val="00B85160"/>
    <w:rsid w:val="00B9203B"/>
    <w:rsid w:val="00BA274A"/>
    <w:rsid w:val="00BC4033"/>
    <w:rsid w:val="00BD15C9"/>
    <w:rsid w:val="00BE7A1F"/>
    <w:rsid w:val="00C00C2D"/>
    <w:rsid w:val="00C16B87"/>
    <w:rsid w:val="00C17661"/>
    <w:rsid w:val="00C3591B"/>
    <w:rsid w:val="00C41F58"/>
    <w:rsid w:val="00C468E7"/>
    <w:rsid w:val="00C4713F"/>
    <w:rsid w:val="00C60220"/>
    <w:rsid w:val="00C702CD"/>
    <w:rsid w:val="00C901AA"/>
    <w:rsid w:val="00C919F3"/>
    <w:rsid w:val="00C92589"/>
    <w:rsid w:val="00C93236"/>
    <w:rsid w:val="00CA262C"/>
    <w:rsid w:val="00CA39FE"/>
    <w:rsid w:val="00CA4F10"/>
    <w:rsid w:val="00CB4BD3"/>
    <w:rsid w:val="00CF4289"/>
    <w:rsid w:val="00D00C3B"/>
    <w:rsid w:val="00D044B7"/>
    <w:rsid w:val="00D12EAD"/>
    <w:rsid w:val="00D226B6"/>
    <w:rsid w:val="00D360F7"/>
    <w:rsid w:val="00D44270"/>
    <w:rsid w:val="00D47AB1"/>
    <w:rsid w:val="00D52626"/>
    <w:rsid w:val="00D5385D"/>
    <w:rsid w:val="00D55F95"/>
    <w:rsid w:val="00D5681C"/>
    <w:rsid w:val="00D67826"/>
    <w:rsid w:val="00D77353"/>
    <w:rsid w:val="00D86979"/>
    <w:rsid w:val="00D87775"/>
    <w:rsid w:val="00D90620"/>
    <w:rsid w:val="00D93637"/>
    <w:rsid w:val="00D96F98"/>
    <w:rsid w:val="00DA15EE"/>
    <w:rsid w:val="00DA3029"/>
    <w:rsid w:val="00DA7DB7"/>
    <w:rsid w:val="00DB3764"/>
    <w:rsid w:val="00DC58D9"/>
    <w:rsid w:val="00DC604D"/>
    <w:rsid w:val="00DD0388"/>
    <w:rsid w:val="00DD2E3A"/>
    <w:rsid w:val="00DD7DC3"/>
    <w:rsid w:val="00E31AA3"/>
    <w:rsid w:val="00E33857"/>
    <w:rsid w:val="00E4055F"/>
    <w:rsid w:val="00E45D77"/>
    <w:rsid w:val="00E60DE8"/>
    <w:rsid w:val="00E67EBA"/>
    <w:rsid w:val="00E70A95"/>
    <w:rsid w:val="00E77C22"/>
    <w:rsid w:val="00E8578D"/>
    <w:rsid w:val="00E916EA"/>
    <w:rsid w:val="00E91F39"/>
    <w:rsid w:val="00E92A77"/>
    <w:rsid w:val="00E9326E"/>
    <w:rsid w:val="00E948E9"/>
    <w:rsid w:val="00E96868"/>
    <w:rsid w:val="00EA30B4"/>
    <w:rsid w:val="00EA7B07"/>
    <w:rsid w:val="00EA7B53"/>
    <w:rsid w:val="00EB6347"/>
    <w:rsid w:val="00ED4EF3"/>
    <w:rsid w:val="00EE3B2D"/>
    <w:rsid w:val="00EE7FFE"/>
    <w:rsid w:val="00EF70DA"/>
    <w:rsid w:val="00F064EF"/>
    <w:rsid w:val="00F236AC"/>
    <w:rsid w:val="00F37A94"/>
    <w:rsid w:val="00F46F5A"/>
    <w:rsid w:val="00F51B66"/>
    <w:rsid w:val="00F70370"/>
    <w:rsid w:val="00F74A90"/>
    <w:rsid w:val="00F93B25"/>
    <w:rsid w:val="00F968D3"/>
    <w:rsid w:val="00FA384F"/>
    <w:rsid w:val="00FB538C"/>
    <w:rsid w:val="00FC7B39"/>
    <w:rsid w:val="00FD13A3"/>
    <w:rsid w:val="00FE0133"/>
    <w:rsid w:val="00FE35DD"/>
    <w:rsid w:val="00FE364E"/>
    <w:rsid w:val="00FF31A4"/>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styleId="Liststycke">
    <w:name w:val="List Paragraph"/>
    <w:basedOn w:val="Normal"/>
    <w:uiPriority w:val="1"/>
    <w:qFormat/>
    <w:rsid w:val="002D7861"/>
    <w:pPr>
      <w:widowControl/>
      <w:tabs>
        <w:tab w:val="left" w:pos="284"/>
      </w:tabs>
      <w:ind w:left="720"/>
      <w:contextualSpacing/>
    </w:pPr>
    <w:rPr>
      <w:sz w:val="22"/>
      <w:szCs w:val="36"/>
    </w:rPr>
  </w:style>
  <w:style w:type="character" w:styleId="Hyperlnk">
    <w:name w:val="Hyperlink"/>
    <w:basedOn w:val="Standardstycketeckensnitt"/>
    <w:uiPriority w:val="99"/>
    <w:unhideWhenUsed/>
    <w:rsid w:val="002D7861"/>
    <w:rPr>
      <w:color w:val="0563C1" w:themeColor="hyperlink"/>
      <w:u w:val="single"/>
    </w:rPr>
  </w:style>
  <w:style w:type="paragraph" w:styleId="Normalwebb">
    <w:name w:val="Normal (Web)"/>
    <w:basedOn w:val="Normal"/>
    <w:uiPriority w:val="99"/>
    <w:unhideWhenUsed/>
    <w:rsid w:val="007446AC"/>
    <w:pPr>
      <w:widowControl/>
      <w:spacing w:before="100" w:beforeAutospacing="1" w:after="100" w:afterAutospacing="1"/>
    </w:pPr>
    <w:rPr>
      <w:szCs w:val="24"/>
    </w:rPr>
  </w:style>
  <w:style w:type="paragraph" w:customStyle="1" w:styleId="Default">
    <w:name w:val="Default"/>
    <w:rsid w:val="003E7936"/>
    <w:pPr>
      <w:autoSpaceDE w:val="0"/>
      <w:autoSpaceDN w:val="0"/>
      <w:adjustRightInd w:val="0"/>
    </w:pPr>
    <w:rPr>
      <w:color w:val="000000"/>
      <w:sz w:val="24"/>
      <w:szCs w:val="24"/>
    </w:rPr>
  </w:style>
  <w:style w:type="paragraph" w:styleId="Brdtext">
    <w:name w:val="Body Text"/>
    <w:basedOn w:val="Normal"/>
    <w:link w:val="BrdtextChar"/>
    <w:uiPriority w:val="1"/>
    <w:qFormat/>
    <w:rsid w:val="006847DD"/>
    <w:pPr>
      <w:autoSpaceDE w:val="0"/>
      <w:autoSpaceDN w:val="0"/>
    </w:pPr>
    <w:rPr>
      <w:rFonts w:ascii="Garamond" w:eastAsia="Garamond" w:hAnsi="Garamond" w:cs="Garamond"/>
      <w:sz w:val="25"/>
      <w:szCs w:val="25"/>
      <w:lang w:eastAsia="en-US"/>
    </w:rPr>
  </w:style>
  <w:style w:type="character" w:customStyle="1" w:styleId="BrdtextChar">
    <w:name w:val="Brödtext Char"/>
    <w:basedOn w:val="Standardstycketeckensnitt"/>
    <w:link w:val="Brdtext"/>
    <w:uiPriority w:val="1"/>
    <w:rsid w:val="006847DD"/>
    <w:rPr>
      <w:rFonts w:ascii="Garamond" w:eastAsia="Garamond" w:hAnsi="Garamond" w:cs="Garamond"/>
      <w:sz w:val="25"/>
      <w:szCs w:val="25"/>
      <w:lang w:eastAsia="en-US"/>
    </w:rPr>
  </w:style>
  <w:style w:type="paragraph" w:styleId="Rubrik">
    <w:name w:val="Title"/>
    <w:basedOn w:val="Normal"/>
    <w:link w:val="RubrikChar"/>
    <w:uiPriority w:val="10"/>
    <w:qFormat/>
    <w:rsid w:val="004717B9"/>
    <w:pPr>
      <w:autoSpaceDE w:val="0"/>
      <w:autoSpaceDN w:val="0"/>
      <w:spacing w:before="91"/>
      <w:ind w:left="1587" w:right="531"/>
    </w:pPr>
    <w:rPr>
      <w:rFonts w:ascii="Arial" w:eastAsia="Arial" w:hAnsi="Arial" w:cs="Arial"/>
      <w:sz w:val="26"/>
      <w:szCs w:val="26"/>
      <w:lang w:eastAsia="en-US"/>
    </w:rPr>
  </w:style>
  <w:style w:type="character" w:customStyle="1" w:styleId="RubrikChar">
    <w:name w:val="Rubrik Char"/>
    <w:basedOn w:val="Standardstycketeckensnitt"/>
    <w:link w:val="Rubrik"/>
    <w:uiPriority w:val="10"/>
    <w:rsid w:val="004717B9"/>
    <w:rPr>
      <w:rFonts w:ascii="Arial" w:eastAsia="Arial" w:hAnsi="Arial" w:cs="Arial"/>
      <w:sz w:val="26"/>
      <w:szCs w:val="26"/>
      <w:lang w:eastAsia="en-US"/>
    </w:rPr>
  </w:style>
  <w:style w:type="paragraph" w:styleId="Sidhuvud">
    <w:name w:val="header"/>
    <w:basedOn w:val="Normal"/>
    <w:link w:val="SidhuvudChar"/>
    <w:rsid w:val="003C4C58"/>
    <w:pPr>
      <w:tabs>
        <w:tab w:val="center" w:pos="4536"/>
        <w:tab w:val="right" w:pos="9072"/>
      </w:tabs>
    </w:pPr>
  </w:style>
  <w:style w:type="character" w:customStyle="1" w:styleId="SidhuvudChar">
    <w:name w:val="Sidhuvud Char"/>
    <w:basedOn w:val="Standardstycketeckensnitt"/>
    <w:link w:val="Sidhuvud"/>
    <w:rsid w:val="003C4C58"/>
    <w:rPr>
      <w:sz w:val="24"/>
    </w:rPr>
  </w:style>
  <w:style w:type="paragraph" w:styleId="Sidfot">
    <w:name w:val="footer"/>
    <w:basedOn w:val="Normal"/>
    <w:link w:val="SidfotChar"/>
    <w:rsid w:val="003C4C58"/>
    <w:pPr>
      <w:tabs>
        <w:tab w:val="center" w:pos="4536"/>
        <w:tab w:val="right" w:pos="9072"/>
      </w:tabs>
    </w:pPr>
  </w:style>
  <w:style w:type="character" w:customStyle="1" w:styleId="SidfotChar">
    <w:name w:val="Sidfot Char"/>
    <w:basedOn w:val="Standardstycketeckensnitt"/>
    <w:link w:val="Sidfot"/>
    <w:rsid w:val="003C4C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39883">
      <w:bodyDiv w:val="1"/>
      <w:marLeft w:val="0"/>
      <w:marRight w:val="0"/>
      <w:marTop w:val="0"/>
      <w:marBottom w:val="0"/>
      <w:divBdr>
        <w:top w:val="none" w:sz="0" w:space="0" w:color="auto"/>
        <w:left w:val="none" w:sz="0" w:space="0" w:color="auto"/>
        <w:bottom w:val="none" w:sz="0" w:space="0" w:color="auto"/>
        <w:right w:val="none" w:sz="0" w:space="0" w:color="auto"/>
      </w:divBdr>
    </w:div>
    <w:div w:id="173813695">
      <w:bodyDiv w:val="1"/>
      <w:marLeft w:val="0"/>
      <w:marRight w:val="0"/>
      <w:marTop w:val="0"/>
      <w:marBottom w:val="0"/>
      <w:divBdr>
        <w:top w:val="none" w:sz="0" w:space="0" w:color="auto"/>
        <w:left w:val="none" w:sz="0" w:space="0" w:color="auto"/>
        <w:bottom w:val="none" w:sz="0" w:space="0" w:color="auto"/>
        <w:right w:val="none" w:sz="0" w:space="0" w:color="auto"/>
      </w:divBdr>
    </w:div>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06120694">
      <w:bodyDiv w:val="1"/>
      <w:marLeft w:val="0"/>
      <w:marRight w:val="0"/>
      <w:marTop w:val="0"/>
      <w:marBottom w:val="0"/>
      <w:divBdr>
        <w:top w:val="none" w:sz="0" w:space="0" w:color="auto"/>
        <w:left w:val="none" w:sz="0" w:space="0" w:color="auto"/>
        <w:bottom w:val="none" w:sz="0" w:space="0" w:color="auto"/>
        <w:right w:val="none" w:sz="0" w:space="0" w:color="auto"/>
      </w:divBdr>
    </w:div>
    <w:div w:id="176633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11</Pages>
  <Words>2623</Words>
  <Characters>17258</Characters>
  <Application>Microsoft Office Word</Application>
  <DocSecurity>4</DocSecurity>
  <Lines>1438</Lines>
  <Paragraphs>261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2020-11-24T13:38:00Z</cp:lastPrinted>
  <dcterms:created xsi:type="dcterms:W3CDTF">2020-12-03T12:09:00Z</dcterms:created>
  <dcterms:modified xsi:type="dcterms:W3CDTF">2020-12-03T12:09:00Z</dcterms:modified>
</cp:coreProperties>
</file>