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64647E" w:rsidRDefault="0064647E">
            <w:pPr>
              <w:pStyle w:val="HuvudRubrik"/>
            </w:pPr>
            <w:bookmarkStart w:id="0" w:name="BetänkandeRubrik"/>
            <w:bookmarkEnd w:id="0"/>
            <w:r>
              <w:t>Skatteutskottets betänkande</w:t>
            </w:r>
            <w:r w:rsidR="00710E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6415284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64647E" w:rsidRDefault="0064647E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37034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64647E" w:rsidRDefault="0064647E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37034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64647E" w:rsidRDefault="0064647E">
            <w:pPr>
              <w:pStyle w:val="HuvudRubrikRad2"/>
            </w:pPr>
            <w:bookmarkStart w:id="17" w:name="BetänkandeNr"/>
            <w:bookmarkEnd w:id="17"/>
            <w:r>
              <w:t>1998/99:SkU22</w:t>
            </w:r>
          </w:p>
          <w:p w:rsidR="0064647E" w:rsidRDefault="0064647E">
            <w:pPr>
              <w:pStyle w:val="BetnkandeRubrik"/>
            </w:pPr>
            <w:bookmarkStart w:id="18" w:name="Huvudrubrik"/>
            <w:bookmarkEnd w:id="18"/>
            <w:r>
              <w:t>Vissa frågor inför den allmänna fastighets</w:t>
            </w:r>
            <w:r>
              <w:softHyphen/>
              <w:t>taxerin</w:t>
            </w:r>
            <w:r>
              <w:t>g</w:t>
            </w:r>
            <w:r>
              <w:t>en år 2000, m.m.</w:t>
            </w:r>
          </w:p>
        </w:tc>
        <w:tc>
          <w:tcPr>
            <w:tcW w:w="1559" w:type="dxa"/>
            <w:tcBorders>
              <w:bottom w:val="nil"/>
            </w:tcBorders>
          </w:tcPr>
          <w:p w:rsidR="0064647E" w:rsidRDefault="0064647E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64647E" w:rsidRDefault="0064647E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64647E" w:rsidRDefault="0064647E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64647E" w:rsidRDefault="0064647E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64647E" w:rsidRDefault="0064647E">
            <w:pPr>
              <w:pStyle w:val="rtal"/>
            </w:pPr>
            <w:r>
              <w:t>SkU22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64647E" w:rsidRDefault="0064647E">
            <w:pPr>
              <w:pStyle w:val="StatusSida1"/>
            </w:pPr>
          </w:p>
        </w:tc>
        <w:tc>
          <w:tcPr>
            <w:tcW w:w="3012" w:type="dxa"/>
          </w:tcPr>
          <w:p w:rsidR="0064647E" w:rsidRDefault="0064647E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64647E" w:rsidRDefault="0064647E"/>
        </w:tc>
      </w:tr>
    </w:tbl>
    <w:p w:rsidR="0064647E" w:rsidRDefault="0064647E">
      <w:pPr>
        <w:pStyle w:val="Rubrik1"/>
        <w:spacing w:before="0"/>
      </w:pPr>
      <w:bookmarkStart w:id="19" w:name="_Toc450447734"/>
      <w:r>
        <w:t>Sammanfattning</w:t>
      </w:r>
      <w:bookmarkEnd w:id="19"/>
    </w:p>
    <w:p w:rsidR="0064647E" w:rsidRDefault="0064647E">
      <w:pPr>
        <w:rPr>
          <w:snapToGrid w:val="0"/>
        </w:rPr>
      </w:pPr>
      <w:bookmarkStart w:id="20" w:name="Textstart"/>
      <w:bookmarkEnd w:id="20"/>
      <w:r>
        <w:rPr>
          <w:snapToGrid w:val="0"/>
        </w:rPr>
        <w:t>I betänkandet tillstyrker utskottets regeringens förslag till ändringar i b</w:t>
      </w:r>
      <w:r>
        <w:rPr>
          <w:snapToGrid w:val="0"/>
        </w:rPr>
        <w:t>e</w:t>
      </w:r>
      <w:r>
        <w:rPr>
          <w:snapToGrid w:val="0"/>
        </w:rPr>
        <w:t>stämmelserna inför 2000 års allmänna fastighetstaxering av hyreshus</w:t>
      </w:r>
      <w:r>
        <w:rPr>
          <w:snapToGrid w:val="0"/>
        </w:rPr>
        <w:softHyphen/>
        <w:t>enheter, industrienheter inklusive elproduktionsenheter samt specialenheter. Förslaget innebär bl.a. at</w:t>
      </w:r>
      <w:r>
        <w:t xml:space="preserve">t </w:t>
      </w:r>
      <w:r>
        <w:rPr>
          <w:snapToGrid w:val="0"/>
        </w:rPr>
        <w:t>elproduktionsenheterna lagtekniskt bryts ut från industrie</w:t>
      </w:r>
      <w:r>
        <w:rPr>
          <w:snapToGrid w:val="0"/>
        </w:rPr>
        <w:t>n</w:t>
      </w:r>
      <w:r>
        <w:rPr>
          <w:snapToGrid w:val="0"/>
        </w:rPr>
        <w:t>heterna och bildar en särskild typ av taxeringsenhet. En ny bygg</w:t>
      </w:r>
      <w:r>
        <w:rPr>
          <w:snapToGrid w:val="0"/>
        </w:rPr>
        <w:softHyphen/>
        <w:t>nadstyp – kraftverksbyggnad – införs som följd av detta. S</w:t>
      </w:r>
      <w:r>
        <w:t>killnader i vatten</w:t>
      </w:r>
      <w:r>
        <w:softHyphen/>
        <w:t>kraftve</w:t>
      </w:r>
      <w:r>
        <w:t>r</w:t>
      </w:r>
      <w:r>
        <w:t>kens värde skall vid taxeringen enklare kunna beaktas genom att värderingen i fortsättningen utgår från kraftverkets normalårspro</w:t>
      </w:r>
      <w:r>
        <w:t>duktion i kilowattimmar i stället för dess installerade effekt. Värderingen skall vidare utgå från ett s.k. normkraftverk och inte som hittills från ett nybyggt vatten</w:t>
      </w:r>
      <w:r>
        <w:softHyphen/>
        <w:t>kraftverk. Försl</w:t>
      </w:r>
      <w:r>
        <w:t>a</w:t>
      </w:r>
      <w:r>
        <w:t xml:space="preserve">get innebär vidare att </w:t>
      </w:r>
      <w:r>
        <w:rPr>
          <w:snapToGrid w:val="0"/>
        </w:rPr>
        <w:t>definitionen av den s.k. normbyggna</w:t>
      </w:r>
      <w:r>
        <w:rPr>
          <w:snapToGrid w:val="0"/>
        </w:rPr>
        <w:softHyphen/>
        <w:t>den vid taxeringen av hyreshus och industribyggnader ändras för att bättre anknyta till byg</w:t>
      </w:r>
      <w:r>
        <w:rPr>
          <w:snapToGrid w:val="0"/>
        </w:rPr>
        <w:t>g</w:t>
      </w:r>
      <w:r>
        <w:rPr>
          <w:snapToGrid w:val="0"/>
        </w:rPr>
        <w:t xml:space="preserve">nadsbeståndets genomsnittliga ålder. Slutligen förenklas beslutshanteringen genom att de grundläggande taxeringsbesluten skall kunna fattas genom automatisk databehandling.  </w:t>
      </w:r>
    </w:p>
    <w:p w:rsidR="0064647E" w:rsidRDefault="0064647E">
      <w:pPr>
        <w:pStyle w:val="Rubrik1"/>
      </w:pPr>
      <w:bookmarkStart w:id="21" w:name="_Toc450447735"/>
      <w:r>
        <w:t>P</w:t>
      </w:r>
      <w:r>
        <w:t>ropositionen</w:t>
      </w:r>
      <w:bookmarkEnd w:id="21"/>
    </w:p>
    <w:p w:rsidR="0064647E" w:rsidRDefault="0064647E">
      <w:r>
        <w:t>Regeringen (Finansdepartementet) föreslår i proposition 1998/99:109 att riksdagen antar de i propositionen framlagda fö</w:t>
      </w:r>
      <w:r>
        <w:t>r</w:t>
      </w:r>
      <w:r>
        <w:t>slagen till</w:t>
      </w:r>
    </w:p>
    <w:p w:rsidR="0064647E" w:rsidRDefault="0064647E">
      <w:pPr>
        <w:pStyle w:val="Normaltindrag"/>
      </w:pPr>
      <w:r>
        <w:t xml:space="preserve">1. lag om ändring i fastighetstaxeringslagen (1979:1152), </w:t>
      </w:r>
    </w:p>
    <w:p w:rsidR="0064647E" w:rsidRDefault="0064647E">
      <w:pPr>
        <w:pStyle w:val="Normaltindrag"/>
      </w:pPr>
      <w:r>
        <w:t xml:space="preserve">2. lag om ändring i lagen (1984:1052) om statlig fastighetsskatt, </w:t>
      </w:r>
    </w:p>
    <w:p w:rsidR="0064647E" w:rsidRDefault="0064647E">
      <w:pPr>
        <w:pStyle w:val="Normaltindrag"/>
      </w:pPr>
      <w:r>
        <w:t xml:space="preserve">3. lag om ändring i kommunalskattelagen (1928:370), </w:t>
      </w:r>
    </w:p>
    <w:p w:rsidR="0064647E" w:rsidRDefault="0064647E">
      <w:pPr>
        <w:pStyle w:val="Normaltindrag"/>
      </w:pPr>
      <w:r>
        <w:t>4. lag om ändring i lagen (1991:687) om särskild löneskatt på pension</w:t>
      </w:r>
      <w:r>
        <w:t>s</w:t>
      </w:r>
      <w:r>
        <w:softHyphen/>
        <w:t xml:space="preserve">kostnader, </w:t>
      </w:r>
    </w:p>
    <w:p w:rsidR="0064647E" w:rsidRDefault="0064647E">
      <w:pPr>
        <w:pStyle w:val="Normaltindrag"/>
      </w:pPr>
      <w:r>
        <w:t xml:space="preserve">5. lag om ändring i lagen (1999:300) om ändring i fastighetstaxeringslagen (1979:1152).  </w:t>
      </w:r>
    </w:p>
    <w:p w:rsidR="0064647E" w:rsidRDefault="0064647E">
      <w:r>
        <w:t>I propositionen föreslås vissa ändringar i bestämmelserna om fastighetstax</w:t>
      </w:r>
      <w:r>
        <w:t>e</w:t>
      </w:r>
      <w:r>
        <w:softHyphen/>
        <w:t>ring inför 2000 års allmänna fastighetstaxering av hyreshusenheter, industr</w:t>
      </w:r>
      <w:r>
        <w:t>i</w:t>
      </w:r>
      <w:r>
        <w:softHyphen/>
        <w:t>enheter inklusive elproduktionsenheter samt specialenheter.</w:t>
      </w:r>
    </w:p>
    <w:p w:rsidR="0064647E" w:rsidRDefault="0064647E">
      <w:pPr>
        <w:pStyle w:val="Normaltindrag"/>
      </w:pPr>
      <w:r>
        <w:t>Inför taxeringen av elproduktionsenheter föreslås vissa ändringar med hä</w:t>
      </w:r>
      <w:r>
        <w:t>n</w:t>
      </w:r>
      <w:r>
        <w:softHyphen/>
        <w:t>syn till att elmarknaden har avreglerats. När det gäller vattenkraftverk för</w:t>
      </w:r>
      <w:r>
        <w:t>e</w:t>
      </w:r>
      <w:r>
        <w:softHyphen/>
        <w:t xml:space="preserve">slås bl.a. att värderingen skall bygga på kraftverkets normalårsproduktion i kilowattimmar i stället för som tidigare på dess installerade effekt. Vidare </w:t>
      </w:r>
      <w:r>
        <w:lastRenderedPageBreak/>
        <w:t>föreslås att elproduktionsenheterna i lagtekniskt hänseende bryts ut från industrienheterna för att bilda en särskild typ av taxeringsenhet. I konsekvens härmed föreslås att en ny byggnadstyp – kraftverksbyggnad – införs.</w:t>
      </w:r>
    </w:p>
    <w:p w:rsidR="0064647E" w:rsidRDefault="0064647E">
      <w:pPr>
        <w:pStyle w:val="Normaltindrag"/>
      </w:pPr>
      <w:r>
        <w:t xml:space="preserve">Inför taxeringen av hyreshusenheter och industrienheter </w:t>
      </w:r>
      <w:r>
        <w:t>föreslås att defin</w:t>
      </w:r>
      <w:r>
        <w:t>i</w:t>
      </w:r>
      <w:r>
        <w:softHyphen/>
        <w:t>tionen av den s.k. normbyggnaden ändras.</w:t>
      </w:r>
    </w:p>
    <w:p w:rsidR="0064647E" w:rsidRDefault="0064647E">
      <w:pPr>
        <w:pStyle w:val="Normaltindrag"/>
      </w:pPr>
      <w:r>
        <w:t>För att förenkla och rationalisera beslutshanteringen vid fastighetstax</w:t>
      </w:r>
      <w:r>
        <w:t>e</w:t>
      </w:r>
      <w:r>
        <w:softHyphen/>
        <w:t>ringen föreslås att de grundläggande besluten om allmän fastighetstaxering skall fattas genom automatisk databehandling.</w:t>
      </w:r>
    </w:p>
    <w:p w:rsidR="0064647E" w:rsidRDefault="0064647E">
      <w:pPr>
        <w:pStyle w:val="Normaltindrag"/>
      </w:pPr>
      <w:r>
        <w:t>De nya bestämmelserna föreslås träda i kraft den 1 juli 1999 och tillämpas första gången vid 2000 års fastighetstaxering.</w:t>
      </w:r>
    </w:p>
    <w:p w:rsidR="0064647E" w:rsidRDefault="0064647E">
      <w:r>
        <w:t>Lagförslagen finns i en bilaga till betänkandet.</w:t>
      </w:r>
    </w:p>
    <w:p w:rsidR="0064647E" w:rsidRDefault="0064647E">
      <w:pPr>
        <w:pStyle w:val="Rubrik1"/>
      </w:pPr>
      <w:bookmarkStart w:id="22" w:name="_Toc450447737"/>
      <w:r>
        <w:t>Utskottet</w:t>
      </w:r>
      <w:bookmarkEnd w:id="22"/>
    </w:p>
    <w:p w:rsidR="0064647E" w:rsidRDefault="0064647E">
      <w:pPr>
        <w:pStyle w:val="R2"/>
        <w:spacing w:before="123"/>
      </w:pPr>
      <w:r>
        <w:t xml:space="preserve">Ställningstagande </w:t>
      </w:r>
    </w:p>
    <w:p w:rsidR="0064647E" w:rsidRDefault="0064647E">
      <w:r>
        <w:t>Utskottet har inget att erinra mot regeringens förslag och tillstyrker propos</w:t>
      </w:r>
      <w:r>
        <w:t>i</w:t>
      </w:r>
      <w:r>
        <w:softHyphen/>
        <w:t>tionen.</w:t>
      </w:r>
    </w:p>
    <w:p w:rsidR="0064647E" w:rsidRDefault="0064647E">
      <w:pPr>
        <w:pStyle w:val="Rubrik2"/>
      </w:pPr>
      <w:r>
        <w:t>Hemställan</w:t>
      </w:r>
    </w:p>
    <w:p w:rsidR="0064647E" w:rsidRDefault="0064647E">
      <w:r>
        <w:t>Utskottet hemställer</w:t>
      </w:r>
    </w:p>
    <w:p w:rsidR="0064647E" w:rsidRDefault="0064647E">
      <w:pPr>
        <w:pStyle w:val="hembetr"/>
      </w:pPr>
      <w:r>
        <w:t>att riksdagen med bifall till proposition 1998/99:109 antar de i pro</w:t>
      </w:r>
      <w:r>
        <w:softHyphen/>
        <w:t xml:space="preserve">positionen framlagda förslagen till </w:t>
      </w:r>
    </w:p>
    <w:p w:rsidR="0064647E" w:rsidRDefault="0064647E">
      <w:pPr>
        <w:pStyle w:val="hemtext"/>
      </w:pPr>
      <w:r>
        <w:t>1. lag om ändring i fastighetstaxeringslagen (1979:1152),</w:t>
      </w:r>
    </w:p>
    <w:p w:rsidR="0064647E" w:rsidRDefault="0064647E">
      <w:pPr>
        <w:pStyle w:val="hemtext"/>
      </w:pPr>
      <w:r>
        <w:t>2. lag om ändring i lagen (1984:1052) om statlig fastighetsskatt,</w:t>
      </w:r>
    </w:p>
    <w:p w:rsidR="0064647E" w:rsidRDefault="0064647E">
      <w:pPr>
        <w:pStyle w:val="hemtext"/>
      </w:pPr>
      <w:r>
        <w:t>3. lag om ändring i kommunalskattelagen (1928:370),</w:t>
      </w:r>
    </w:p>
    <w:p w:rsidR="0064647E" w:rsidRDefault="0064647E">
      <w:pPr>
        <w:pStyle w:val="hemtext"/>
      </w:pPr>
      <w:r>
        <w:t>4. lag om ändring i lagen (1991:687) om särskild löneskatt på pension</w:t>
      </w:r>
      <w:r>
        <w:t>s</w:t>
      </w:r>
      <w:r>
        <w:t>kostnader,</w:t>
      </w:r>
    </w:p>
    <w:p w:rsidR="0064647E" w:rsidRDefault="0064647E">
      <w:pPr>
        <w:pStyle w:val="hemtext"/>
      </w:pPr>
      <w:r>
        <w:t>5. lag om ändring i lagen (1999:300) om ändring i fastighetstaxe</w:t>
      </w:r>
      <w:r>
        <w:softHyphen/>
        <w:t>ringslagen (1979:1152).</w:t>
      </w:r>
    </w:p>
    <w:p w:rsidR="0064647E" w:rsidRDefault="0064647E">
      <w:pPr>
        <w:pStyle w:val="Stockholm"/>
      </w:pPr>
      <w:r>
        <w:t xml:space="preserve">Stockholm den 25 maj 1999 </w:t>
      </w:r>
    </w:p>
    <w:p w:rsidR="0064647E" w:rsidRDefault="0064647E">
      <w:pPr>
        <w:pStyle w:val="Vgnar"/>
      </w:pPr>
      <w:r>
        <w:t>På skatteutskottets vägnar</w:t>
      </w:r>
    </w:p>
    <w:p w:rsidR="0064647E" w:rsidRDefault="0064647E">
      <w:pPr>
        <w:pStyle w:val="Ordfnamn"/>
      </w:pPr>
      <w:bookmarkStart w:id="23" w:name="Ordförande"/>
      <w:bookmarkEnd w:id="23"/>
      <w:r>
        <w:t xml:space="preserve">Arne Kjörnsberg </w:t>
      </w:r>
    </w:p>
    <w:p w:rsidR="0064647E" w:rsidRDefault="0064647E">
      <w:pPr>
        <w:pStyle w:val="Deltagare"/>
      </w:pPr>
      <w:bookmarkStart w:id="24" w:name="Deltagare"/>
      <w:bookmarkEnd w:id="24"/>
      <w:r>
        <w:t>I beslutet har deltagit: Arne Kjörnsberg (s), Lisbeth Staaf-Igelström (s), Per Rosengren (v), Carl Fredrik Graf (m), Per Erik Granström (s), Carl Erik Hedlund (m), Ulla Wester (s), Kenneth Lantz (kd), Marietta de Pourbaix-Lundin (m), Rolf Kenneryd (c), Johan Pehrson (fp), Lars U Granberg (s), Catharina Hagen (m), Per-Olof Svensson (s), Desirée Pethrus Engström (kd) och Lennart Värmby (v).</w:t>
      </w:r>
    </w:p>
    <w:p w:rsidR="0064647E" w:rsidRDefault="0064647E"/>
    <w:p w:rsidR="0064647E" w:rsidRDefault="0064647E">
      <w:pPr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64647E" w:rsidRDefault="0064647E">
      <w:pPr>
        <w:tabs>
          <w:tab w:val="left" w:pos="851"/>
        </w:tabs>
        <w:rPr>
          <w:spacing w:val="-2"/>
          <w:sz w:val="24"/>
        </w:rPr>
      </w:pP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  <w:r>
        <w:rPr>
          <w:sz w:val="24"/>
        </w:rPr>
        <w:t>2.5</w:t>
      </w:r>
      <w:r>
        <w:rPr>
          <w:sz w:val="24"/>
        </w:rPr>
        <w:tab/>
      </w:r>
      <w:r>
        <w:rPr>
          <w:spacing w:val="-2"/>
          <w:sz w:val="24"/>
        </w:rPr>
        <w:t xml:space="preserve">Förslag till lag om ändring i lagen (1999:300) om </w:t>
      </w:r>
      <w:r>
        <w:rPr>
          <w:sz w:val="24"/>
        </w:rPr>
        <w:tab/>
      </w:r>
      <w:r>
        <w:rPr>
          <w:spacing w:val="-2"/>
          <w:sz w:val="24"/>
        </w:rPr>
        <w:t>ändring i fastighetstaxeringslagen (1979:1152)</w:t>
      </w:r>
    </w:p>
    <w:p w:rsidR="0064647E" w:rsidRDefault="0064647E">
      <w:pPr>
        <w:pStyle w:val="Normaltindrag"/>
      </w:pPr>
    </w:p>
    <w:p w:rsidR="0064647E" w:rsidRDefault="0064647E">
      <w:pPr>
        <w:pStyle w:val="Normaltindrag"/>
        <w:rPr>
          <w:sz w:val="20"/>
        </w:rPr>
      </w:pPr>
      <w:r>
        <w:rPr>
          <w:sz w:val="20"/>
        </w:rPr>
        <w:t>Härigenom föreskrivs att 2 kap. 2 § fastighetstaxeringslagen (1979:1152) i paragrafens lydelse enligt lagen (1999:300) om ändring i nämnda lag och ikraftträdandebestämmelserna till lagen (1999:300) skall ha följande lydelse.</w:t>
      </w:r>
    </w:p>
    <w:p w:rsidR="0064647E" w:rsidRDefault="0064647E">
      <w:pPr>
        <w:pStyle w:val="Normaltindrag"/>
      </w:pPr>
    </w:p>
    <w:p w:rsidR="0064647E" w:rsidRDefault="0064647E">
      <w:r>
        <w:br w:type="page"/>
      </w:r>
      <w:r>
        <w:br w:type="page"/>
      </w:r>
      <w:r>
        <w:br w:type="page"/>
      </w:r>
    </w:p>
    <w:p w:rsidR="0064647E" w:rsidRDefault="0064647E">
      <w:pPr>
        <w:pStyle w:val="Tryckort"/>
        <w:framePr w:wrap="around"/>
      </w:pPr>
      <w:r>
        <w:t>Elanders Gotab, Stockholm  1999</w:t>
      </w:r>
    </w:p>
    <w:p w:rsidR="0064647E" w:rsidRDefault="0064647E">
      <w:pPr>
        <w:pStyle w:val="Normaltindrag"/>
      </w:pPr>
    </w:p>
    <w:sectPr w:rsidR="0064647E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47E" w:rsidRDefault="0064647E">
      <w:pPr>
        <w:spacing w:before="0" w:line="240" w:lineRule="auto"/>
      </w:pPr>
      <w:r>
        <w:separator/>
      </w:r>
    </w:p>
  </w:endnote>
  <w:endnote w:type="continuationSeparator" w:id="0">
    <w:p w:rsidR="0064647E" w:rsidRDefault="0064647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47E" w:rsidRDefault="0064647E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64647E" w:rsidRDefault="006464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47E" w:rsidRDefault="0064647E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64647E" w:rsidRDefault="006464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47E" w:rsidRDefault="0064647E">
      <w:pPr>
        <w:pStyle w:val="Sidfot"/>
      </w:pPr>
    </w:p>
  </w:footnote>
  <w:footnote w:type="continuationSeparator" w:id="0">
    <w:p w:rsidR="0064647E" w:rsidRDefault="0064647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47E" w:rsidRDefault="0064647E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1998/99:SkU22</w:t>
    </w:r>
  </w:p>
  <w:p w:rsidR="0064647E" w:rsidRDefault="0064647E">
    <w:pPr>
      <w:pStyle w:val="SidhuvudKantBilaga"/>
      <w:framePr w:w="1985" w:h="2743" w:hRule="exact" w:wrap="around" w:vAnchor="page" w:hAnchor="page" w:x="7372" w:y="568" w:anchorLock="0"/>
      <w:rPr>
        <w:noProof/>
      </w:rPr>
    </w:pPr>
  </w:p>
  <w:p w:rsidR="0064647E" w:rsidRDefault="0064647E">
    <w:pPr>
      <w:pStyle w:val="SidhuvudKant"/>
      <w:framePr w:w="1985" w:h="2743" w:hRule="exact" w:wrap="around" w:vAnchor="page" w:hAnchor="page" w:x="7372" w:y="568" w:anchorLock="0"/>
    </w:pPr>
  </w:p>
  <w:p w:rsidR="0064647E" w:rsidRDefault="006464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47E" w:rsidRDefault="0064647E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1998/99:SkU22</w:t>
    </w:r>
  </w:p>
  <w:p w:rsidR="0064647E" w:rsidRDefault="0064647E">
    <w:pPr>
      <w:pStyle w:val="SidhuvudKantBilaga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Bilaga</w:t>
    </w:r>
  </w:p>
  <w:p w:rsidR="0064647E" w:rsidRDefault="0064647E">
    <w:pPr>
      <w:pStyle w:val="SidhuvudKant"/>
      <w:framePr w:w="1985" w:h="2743" w:hRule="exact" w:wrap="around" w:vAnchor="page" w:hAnchor="page" w:x="7372" w:y="568" w:anchorLock="0"/>
    </w:pPr>
  </w:p>
  <w:p w:rsidR="0064647E" w:rsidRDefault="0064647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katteutskottets"/>
    <w:docVar w:name="Skapår" w:val="9899"/>
  </w:docVars>
  <w:rsids>
    <w:rsidRoot w:val="006A5D75"/>
    <w:rsid w:val="0064647E"/>
    <w:rsid w:val="006A5D75"/>
    <w:rsid w:val="0071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D888-26C5-4700-BE33-A69E8094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3869</Characters>
  <Application>Microsoft Office Word</Application>
  <DocSecurity>4</DocSecurity>
  <Lines>128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Skatteutskottets betänkande</vt:lpstr>
      <vt:lpstr>Sammanfattning</vt:lpstr>
      <vt:lpstr>Propositionen</vt:lpstr>
      <vt:lpstr>Utskottet</vt:lpstr>
      <vt:lpstr>    Hemställan</vt:lpstr>
    </vt:vector>
  </TitlesOfParts>
  <Company>Riksdagen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Skatteutskottets betänkande</dc:title>
  <dc:subject>Skatteutskottets betänkande</dc:subject>
  <dc:creator>Riksdagen</dc:creator>
  <cp:keywords>Riksdagen</cp:keywords>
  <cp:lastModifiedBy>Lars Brink</cp:lastModifiedBy>
  <cp:revision>2</cp:revision>
  <cp:lastPrinted>1999-05-31T08:26:00Z</cp:lastPrinted>
  <dcterms:created xsi:type="dcterms:W3CDTF">2025-12-15T19:32:00Z</dcterms:created>
  <dcterms:modified xsi:type="dcterms:W3CDTF">2025-12-15T19:32:00Z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22</vt:lpwstr>
  </property>
  <property fmtid="{D5CDD505-2E9C-101B-9397-08002B2CF9AE}" pid="3" name="Utskott">
    <vt:lpwstr>SkU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