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01DCCE5CEE34968BFD788C8A1B91567"/>
        </w:placeholder>
        <w:text/>
      </w:sdtPr>
      <w:sdtEndPr/>
      <w:sdtContent>
        <w:p w:rsidRPr="009B062B" w:rsidR="00AF30DD" w:rsidP="00DA28CE" w:rsidRDefault="00AF30DD" w14:paraId="1C9BBBA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14c5be8-53a0-4786-b7da-98de305a440d"/>
        <w:id w:val="1767189911"/>
        <w:lock w:val="sdtLocked"/>
      </w:sdtPr>
      <w:sdtEndPr/>
      <w:sdtContent>
        <w:p w:rsidR="009E1632" w:rsidRDefault="00B96350" w14:paraId="1C9BBBA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ska verka för att ett granskningsförfarande upprättas för det underlag som EU-domstolen har för sina domar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F38CE14FA42420591E74D91A761D35C"/>
        </w:placeholder>
        <w:text/>
      </w:sdtPr>
      <w:sdtEndPr/>
      <w:sdtContent>
        <w:p w:rsidRPr="009B062B" w:rsidR="006D79C9" w:rsidP="00333E95" w:rsidRDefault="006D79C9" w14:paraId="1C9BBBA2" w14:textId="77777777">
          <w:pPr>
            <w:pStyle w:val="Rubrik1"/>
          </w:pPr>
          <w:r>
            <w:t>Motivering</w:t>
          </w:r>
        </w:p>
      </w:sdtContent>
    </w:sdt>
    <w:p w:rsidRPr="00C64AFD" w:rsidR="00422B9E" w:rsidP="00C64AFD" w:rsidRDefault="00861ED2" w14:paraId="1C9BBBA3" w14:textId="7C078DB6">
      <w:pPr>
        <w:pStyle w:val="Normalutanindragellerluft"/>
      </w:pPr>
      <w:r w:rsidRPr="00C64AFD">
        <w:t>Europeiska unionens d</w:t>
      </w:r>
      <w:r w:rsidRPr="00C64AFD" w:rsidR="00853B46">
        <w:t>omstol är den högsta dömande instansen för EU-rätten. Domar som avkunnats av EU-domstolen går inte att överklaga och medlemsstaternas domstolar samt myndigheter måste rätta sig efter dem.</w:t>
      </w:r>
    </w:p>
    <w:p w:rsidRPr="00C64AFD" w:rsidR="00853B46" w:rsidP="00C64AFD" w:rsidRDefault="00853B46" w14:paraId="1C9BBBA4" w14:textId="438621BC">
      <w:r w:rsidRPr="00C64AFD">
        <w:t xml:space="preserve">I fall C-528/16 </w:t>
      </w:r>
      <w:r w:rsidRPr="00C64AFD" w:rsidR="00866D07">
        <w:t>baserades avgörandet på en bedömning av miljöriskerna med vissa nya tekniker för växtförädling. Med den bedömningen som underlag gjorde domstolen sedan en juridisk prövning. I fallet gjorde</w:t>
      </w:r>
      <w:r w:rsidRPr="00C64AFD" w:rsidR="00806CB5">
        <w:t xml:space="preserve"> domstolen </w:t>
      </w:r>
      <w:r w:rsidRPr="00C64AFD" w:rsidR="00866D07">
        <w:t>ingen egen miljöriskbedömn</w:t>
      </w:r>
      <w:r w:rsidRPr="00C64AFD" w:rsidR="00DB73B4">
        <w:t>ing utan utgick från en miljöris</w:t>
      </w:r>
      <w:r w:rsidRPr="00C64AFD" w:rsidR="00866D07">
        <w:t>kbedömning</w:t>
      </w:r>
      <w:r w:rsidRPr="00C64AFD" w:rsidR="00806CB5">
        <w:t xml:space="preserve"> som </w:t>
      </w:r>
      <w:r w:rsidRPr="00C64AFD" w:rsidR="00866D07">
        <w:t xml:space="preserve">en av parterna i målet hade använt sig av och </w:t>
      </w:r>
      <w:r w:rsidRPr="00C64AFD" w:rsidR="00806CB5">
        <w:t xml:space="preserve">som </w:t>
      </w:r>
      <w:r w:rsidRPr="00C64AFD" w:rsidR="00866D07">
        <w:t>höll</w:t>
      </w:r>
      <w:r w:rsidRPr="00C64AFD" w:rsidR="00806CB5">
        <w:t xml:space="preserve"> en mycket låg vetenskaplig kvalitet. Även om den juridiska bedömningen skulle </w:t>
      </w:r>
      <w:r w:rsidRPr="00C64AFD" w:rsidR="00DB73B4">
        <w:t xml:space="preserve">anses </w:t>
      </w:r>
      <w:r w:rsidRPr="00C64AFD" w:rsidR="00806CB5">
        <w:t>vara god, påverka</w:t>
      </w:r>
      <w:r w:rsidRPr="00C64AFD" w:rsidR="00DB73B4">
        <w:t>de</w:t>
      </w:r>
      <w:r w:rsidRPr="00C64AFD" w:rsidR="00806CB5">
        <w:t xml:space="preserve">s utfallet från den juridiska bedömningen av den undermåliga vetenskapliga bedömningen som låg till grund för denna. </w:t>
      </w:r>
      <w:r w:rsidRPr="00C64AFD" w:rsidR="00DB73B4">
        <w:t xml:space="preserve">Avsaknaden av ett gott vetenskapligt underlag gjorde att </w:t>
      </w:r>
      <w:r w:rsidRPr="00C64AFD" w:rsidR="00861ED2">
        <w:t>d</w:t>
      </w:r>
      <w:r w:rsidRPr="00C64AFD" w:rsidR="00806CB5">
        <w:t xml:space="preserve">omstolen </w:t>
      </w:r>
      <w:r w:rsidRPr="00C64AFD" w:rsidR="00DB73B4">
        <w:t xml:space="preserve">inte </w:t>
      </w:r>
      <w:r w:rsidRPr="00C64AFD" w:rsidR="00806CB5">
        <w:t xml:space="preserve">kunde se nödvändiga skillnader och </w:t>
      </w:r>
      <w:r w:rsidRPr="00C64AFD" w:rsidR="00DB73B4">
        <w:t xml:space="preserve">inte </w:t>
      </w:r>
      <w:r w:rsidRPr="00C64AFD" w:rsidR="00806CB5">
        <w:t>kunde ställa rätt frågor.</w:t>
      </w:r>
    </w:p>
    <w:p w:rsidRPr="00853B46" w:rsidR="00806CB5" w:rsidP="00853B46" w:rsidRDefault="00806CB5" w14:paraId="1C9BBBA5" w14:textId="77777777">
      <w:r>
        <w:t>För att säkerställa Europeiska unionen</w:t>
      </w:r>
      <w:r w:rsidR="00892C6B">
        <w:t>s</w:t>
      </w:r>
      <w:r>
        <w:t xml:space="preserve"> rättssäkerhet anser jag att ett obligat granskningsförfarande bör upprättas, som granskar faktainnehållet i EU-domstolens underlag innan den avkunnar sin dom.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8A8884FAA140E695796D59BF10D925"/>
        </w:placeholder>
      </w:sdtPr>
      <w:sdtEndPr>
        <w:rPr>
          <w:i w:val="0"/>
          <w:noProof w:val="0"/>
        </w:rPr>
      </w:sdtEndPr>
      <w:sdtContent>
        <w:p w:rsidR="00EB7340" w:rsidP="00A24719" w:rsidRDefault="00EB7340" w14:paraId="1C9BBBA7" w14:textId="77777777"/>
        <w:p w:rsidRPr="008E0FE2" w:rsidR="004801AC" w:rsidP="00A24719" w:rsidRDefault="00C64AFD" w14:paraId="1C9BBBA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C27FD" w:rsidRDefault="009C27FD" w14:paraId="1C9BBBAC" w14:textId="77777777"/>
    <w:sectPr w:rsidR="009C27F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BBBAE" w14:textId="77777777" w:rsidR="00A779BA" w:rsidRDefault="00A779BA" w:rsidP="000C1CAD">
      <w:pPr>
        <w:spacing w:line="240" w:lineRule="auto"/>
      </w:pPr>
      <w:r>
        <w:separator/>
      </w:r>
    </w:p>
  </w:endnote>
  <w:endnote w:type="continuationSeparator" w:id="0">
    <w:p w14:paraId="1C9BBBAF" w14:textId="77777777" w:rsidR="00A779BA" w:rsidRDefault="00A779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BBB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BBBB5" w14:textId="75952D0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64AF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BBBAC" w14:textId="77777777" w:rsidR="00A779BA" w:rsidRDefault="00A779BA" w:rsidP="000C1CAD">
      <w:pPr>
        <w:spacing w:line="240" w:lineRule="auto"/>
      </w:pPr>
      <w:r>
        <w:separator/>
      </w:r>
    </w:p>
  </w:footnote>
  <w:footnote w:type="continuationSeparator" w:id="0">
    <w:p w14:paraId="1C9BBBAD" w14:textId="77777777" w:rsidR="00A779BA" w:rsidRDefault="00A779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C9BBBB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9BBBBF" wp14:anchorId="1C9BBBB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64AFD" w14:paraId="1C9BBBC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3C394AAD8C4835AE3842855DA49F4F"/>
                              </w:placeholder>
                              <w:text/>
                            </w:sdtPr>
                            <w:sdtEndPr/>
                            <w:sdtContent>
                              <w:r w:rsidR="00853B4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BEBF282068D4586821C88B9C6237477"/>
                              </w:placeholder>
                              <w:text/>
                            </w:sdtPr>
                            <w:sdtEndPr/>
                            <w:sdtContent>
                              <w:r w:rsidR="00A24719">
                                <w:t>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9BBBB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64AFD" w14:paraId="1C9BBBC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3C394AAD8C4835AE3842855DA49F4F"/>
                        </w:placeholder>
                        <w:text/>
                      </w:sdtPr>
                      <w:sdtEndPr/>
                      <w:sdtContent>
                        <w:r w:rsidR="00853B4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BEBF282068D4586821C88B9C6237477"/>
                        </w:placeholder>
                        <w:text/>
                      </w:sdtPr>
                      <w:sdtEndPr/>
                      <w:sdtContent>
                        <w:r w:rsidR="00A24719">
                          <w:t>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9BBBB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C9BBBB2" w14:textId="77777777">
    <w:pPr>
      <w:jc w:val="right"/>
    </w:pPr>
  </w:p>
  <w:p w:rsidR="00262EA3" w:rsidP="00776B74" w:rsidRDefault="00262EA3" w14:paraId="1C9BBBB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64AFD" w14:paraId="1C9BBBB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C9BBBC1" wp14:anchorId="1C9BBBC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64AFD" w14:paraId="1C9BBB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3B4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24719">
          <w:t>18</w:t>
        </w:r>
      </w:sdtContent>
    </w:sdt>
  </w:p>
  <w:p w:rsidRPr="008227B3" w:rsidR="00262EA3" w:rsidP="008227B3" w:rsidRDefault="00C64AFD" w14:paraId="1C9BBBB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64AFD" w14:paraId="1C9BBBB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:109</w:t>
        </w:r>
      </w:sdtContent>
    </w:sdt>
  </w:p>
  <w:p w:rsidR="00262EA3" w:rsidP="00E03A3D" w:rsidRDefault="00C64AFD" w14:paraId="1C9BBBB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Staffan Eklöf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92C6B" w14:paraId="1C9BBBBB" w14:textId="77777777">
        <w:pPr>
          <w:pStyle w:val="FSHRub2"/>
        </w:pPr>
        <w:r>
          <w:t>Förfarande för faktagranskning av EU-domstolens underlag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C9BBBB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853B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89A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CB5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B46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1ED2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D07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2C6B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7F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632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719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9BA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79B1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729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7D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350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AFD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3B4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B7340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9BBB9F"/>
  <w15:chartTrackingRefBased/>
  <w15:docId w15:val="{973D0971-9E64-48E1-A1CD-A3E586F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1DCCE5CEE34968BFD788C8A1B91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601AE7-5C87-46DB-BF36-C58D25D255F7}"/>
      </w:docPartPr>
      <w:docPartBody>
        <w:p w:rsidR="00CB4A7F" w:rsidRDefault="00142DDA">
          <w:pPr>
            <w:pStyle w:val="C01DCCE5CEE34968BFD788C8A1B9156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F38CE14FA42420591E74D91A761D3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C34C64-336F-4A09-9412-B463BDCD8EE5}"/>
      </w:docPartPr>
      <w:docPartBody>
        <w:p w:rsidR="00CB4A7F" w:rsidRDefault="00142DDA">
          <w:pPr>
            <w:pStyle w:val="8F38CE14FA42420591E74D91A761D3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3C394AAD8C4835AE3842855DA49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2ECF8-6AE6-4959-B278-FE20792CBD3D}"/>
      </w:docPartPr>
      <w:docPartBody>
        <w:p w:rsidR="00CB4A7F" w:rsidRDefault="00142DDA">
          <w:pPr>
            <w:pStyle w:val="EF3C394AAD8C4835AE3842855DA49F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EBF282068D4586821C88B9C62374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2B7C5-6BE3-4F00-A60C-C25506166DA3}"/>
      </w:docPartPr>
      <w:docPartBody>
        <w:p w:rsidR="00CB4A7F" w:rsidRDefault="00142DDA">
          <w:pPr>
            <w:pStyle w:val="BBEBF282068D4586821C88B9C6237477"/>
          </w:pPr>
          <w:r>
            <w:t xml:space="preserve"> </w:t>
          </w:r>
        </w:p>
      </w:docPartBody>
    </w:docPart>
    <w:docPart>
      <w:docPartPr>
        <w:name w:val="808A8884FAA140E695796D59BF10D9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DCB65-AF69-4DFF-9839-55BA4311B98F}"/>
      </w:docPartPr>
      <w:docPartBody>
        <w:p w:rsidR="007B7937" w:rsidRDefault="007B79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7F"/>
    <w:rsid w:val="00142DDA"/>
    <w:rsid w:val="007B7937"/>
    <w:rsid w:val="00CB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01DCCE5CEE34968BFD788C8A1B91567">
    <w:name w:val="C01DCCE5CEE34968BFD788C8A1B91567"/>
  </w:style>
  <w:style w:type="paragraph" w:customStyle="1" w:styleId="1D705BC912DB44E59DC616507654E9A2">
    <w:name w:val="1D705BC912DB44E59DC616507654E9A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8B2B775B8B344959B44A36B4384FFC3">
    <w:name w:val="E8B2B775B8B344959B44A36B4384FFC3"/>
  </w:style>
  <w:style w:type="paragraph" w:customStyle="1" w:styleId="8F38CE14FA42420591E74D91A761D35C">
    <w:name w:val="8F38CE14FA42420591E74D91A761D35C"/>
  </w:style>
  <w:style w:type="paragraph" w:customStyle="1" w:styleId="CDD6901433594E1587D1EDB18B9B23F3">
    <w:name w:val="CDD6901433594E1587D1EDB18B9B23F3"/>
  </w:style>
  <w:style w:type="paragraph" w:customStyle="1" w:styleId="C129C9F3C37C41068B9D66DCD60BB47F">
    <w:name w:val="C129C9F3C37C41068B9D66DCD60BB47F"/>
  </w:style>
  <w:style w:type="paragraph" w:customStyle="1" w:styleId="EF3C394AAD8C4835AE3842855DA49F4F">
    <w:name w:val="EF3C394AAD8C4835AE3842855DA49F4F"/>
  </w:style>
  <w:style w:type="paragraph" w:customStyle="1" w:styleId="BBEBF282068D4586821C88B9C6237477">
    <w:name w:val="BBEBF282068D4586821C88B9C62374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BCE891-60F0-4A3F-A750-5CFACA08D5A5}"/>
</file>

<file path=customXml/itemProps2.xml><?xml version="1.0" encoding="utf-8"?>
<ds:datastoreItem xmlns:ds="http://schemas.openxmlformats.org/officeDocument/2006/customXml" ds:itemID="{AE39FA11-378C-4626-8024-78BAF7D20D11}"/>
</file>

<file path=customXml/itemProps3.xml><?xml version="1.0" encoding="utf-8"?>
<ds:datastoreItem xmlns:ds="http://schemas.openxmlformats.org/officeDocument/2006/customXml" ds:itemID="{A6EE79AF-0F60-464B-8742-7BA199FA4D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1198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Förfarande för faktagranskning av EU domstolens underlag</vt:lpstr>
      <vt:lpstr>
      </vt:lpstr>
    </vt:vector>
  </TitlesOfParts>
  <Company>Sveriges riksdag</Company>
  <LinksUpToDate>false</LinksUpToDate>
  <CharactersWithSpaces>1388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