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64A9B">
        <w:tblPrEx>
          <w:tblCellMar>
            <w:top w:w="0" w:type="dxa"/>
            <w:bottom w:w="0" w:type="dxa"/>
          </w:tblCellMar>
        </w:tblPrEx>
        <w:tc>
          <w:tcPr>
            <w:tcW w:w="2268" w:type="dxa"/>
          </w:tcPr>
          <w:p w:rsidR="006E4E11" w:rsidRPr="00464A9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64A9B" w:rsidRDefault="006E4E11" w:rsidP="007242A3">
            <w:pPr>
              <w:framePr w:w="5035" w:h="1644" w:wrap="notBeside" w:vAnchor="page" w:hAnchor="page" w:x="6573" w:y="721"/>
              <w:rPr>
                <w:rFonts w:ascii="TradeGothic" w:hAnsi="TradeGothic"/>
                <w:i/>
                <w:sz w:val="18"/>
              </w:rPr>
            </w:pPr>
          </w:p>
        </w:tc>
      </w:tr>
      <w:tr w:rsidR="006E4E11" w:rsidRPr="00464A9B">
        <w:tblPrEx>
          <w:tblCellMar>
            <w:top w:w="0" w:type="dxa"/>
            <w:bottom w:w="0" w:type="dxa"/>
          </w:tblCellMar>
        </w:tblPrEx>
        <w:tc>
          <w:tcPr>
            <w:tcW w:w="2268" w:type="dxa"/>
          </w:tcPr>
          <w:p w:rsidR="006E4E11" w:rsidRPr="00464A9B" w:rsidRDefault="00820538" w:rsidP="007242A3">
            <w:pPr>
              <w:framePr w:w="5035" w:h="1644" w:wrap="notBeside" w:vAnchor="page" w:hAnchor="page" w:x="6573" w:y="721"/>
              <w:rPr>
                <w:rFonts w:ascii="TradeGothic" w:hAnsi="TradeGothic"/>
                <w:b/>
                <w:sz w:val="22"/>
              </w:rPr>
            </w:pPr>
            <w:r w:rsidRPr="00464A9B">
              <w:rPr>
                <w:rFonts w:ascii="TradeGothic" w:hAnsi="TradeGothic"/>
                <w:b/>
                <w:sz w:val="22"/>
              </w:rPr>
              <w:t xml:space="preserve">Promemoria </w:t>
            </w:r>
          </w:p>
        </w:tc>
        <w:tc>
          <w:tcPr>
            <w:tcW w:w="2999" w:type="dxa"/>
            <w:gridSpan w:val="2"/>
          </w:tcPr>
          <w:p w:rsidR="006E4E11" w:rsidRPr="00464A9B" w:rsidRDefault="006E4E11" w:rsidP="007242A3">
            <w:pPr>
              <w:framePr w:w="5035" w:h="1644" w:wrap="notBeside" w:vAnchor="page" w:hAnchor="page" w:x="6573" w:y="721"/>
              <w:rPr>
                <w:rFonts w:ascii="TradeGothic" w:hAnsi="TradeGothic"/>
                <w:b/>
                <w:sz w:val="22"/>
              </w:rPr>
            </w:pPr>
          </w:p>
        </w:tc>
      </w:tr>
      <w:tr w:rsidR="006E4E11" w:rsidRPr="00464A9B">
        <w:tblPrEx>
          <w:tblCellMar>
            <w:top w:w="0" w:type="dxa"/>
            <w:bottom w:w="0" w:type="dxa"/>
          </w:tblCellMar>
        </w:tblPrEx>
        <w:tc>
          <w:tcPr>
            <w:tcW w:w="3402" w:type="dxa"/>
            <w:gridSpan w:val="2"/>
          </w:tcPr>
          <w:p w:rsidR="006E4E11" w:rsidRPr="00464A9B" w:rsidRDefault="006E4E11" w:rsidP="007242A3">
            <w:pPr>
              <w:framePr w:w="5035" w:h="1644" w:wrap="notBeside" w:vAnchor="page" w:hAnchor="page" w:x="6573" w:y="721"/>
            </w:pPr>
          </w:p>
        </w:tc>
        <w:tc>
          <w:tcPr>
            <w:tcW w:w="1865" w:type="dxa"/>
          </w:tcPr>
          <w:p w:rsidR="006E4E11" w:rsidRPr="00464A9B" w:rsidRDefault="006E4E11" w:rsidP="007242A3">
            <w:pPr>
              <w:framePr w:w="5035" w:h="1644" w:wrap="notBeside" w:vAnchor="page" w:hAnchor="page" w:x="6573" w:y="721"/>
            </w:pPr>
          </w:p>
        </w:tc>
      </w:tr>
      <w:tr w:rsidR="006E4E11" w:rsidRPr="00464A9B">
        <w:tblPrEx>
          <w:tblCellMar>
            <w:top w:w="0" w:type="dxa"/>
            <w:bottom w:w="0" w:type="dxa"/>
          </w:tblCellMar>
        </w:tblPrEx>
        <w:tc>
          <w:tcPr>
            <w:tcW w:w="2268" w:type="dxa"/>
          </w:tcPr>
          <w:p w:rsidR="006E4E11" w:rsidRPr="00464A9B" w:rsidRDefault="00751FBA" w:rsidP="007242A3">
            <w:pPr>
              <w:framePr w:w="5035" w:h="1644" w:wrap="notBeside" w:vAnchor="page" w:hAnchor="page" w:x="6573" w:y="721"/>
            </w:pPr>
            <w:r w:rsidRPr="00464A9B">
              <w:t>2011-11-11</w:t>
            </w:r>
          </w:p>
          <w:p w:rsidR="003748BA" w:rsidRPr="00464A9B" w:rsidRDefault="003748BA" w:rsidP="007242A3">
            <w:pPr>
              <w:framePr w:w="5035" w:h="1644" w:wrap="notBeside" w:vAnchor="page" w:hAnchor="page" w:x="6573" w:y="721"/>
            </w:pPr>
          </w:p>
        </w:tc>
        <w:tc>
          <w:tcPr>
            <w:tcW w:w="2999" w:type="dxa"/>
            <w:gridSpan w:val="2"/>
          </w:tcPr>
          <w:p w:rsidR="006E4E11" w:rsidRPr="00464A9B" w:rsidRDefault="006E4E11" w:rsidP="007242A3">
            <w:pPr>
              <w:framePr w:w="5035" w:h="1644" w:wrap="notBeside" w:vAnchor="page" w:hAnchor="page" w:x="6573" w:y="721"/>
            </w:pPr>
          </w:p>
        </w:tc>
      </w:tr>
      <w:tr w:rsidR="006E4E11" w:rsidRPr="00464A9B">
        <w:tblPrEx>
          <w:tblCellMar>
            <w:top w:w="0" w:type="dxa"/>
            <w:bottom w:w="0" w:type="dxa"/>
          </w:tblCellMar>
        </w:tblPrEx>
        <w:tc>
          <w:tcPr>
            <w:tcW w:w="2268" w:type="dxa"/>
          </w:tcPr>
          <w:p w:rsidR="006E4E11" w:rsidRPr="00464A9B" w:rsidRDefault="006E4E11" w:rsidP="007242A3">
            <w:pPr>
              <w:framePr w:w="5035" w:h="1644" w:wrap="notBeside" w:vAnchor="page" w:hAnchor="page" w:x="6573" w:y="721"/>
            </w:pPr>
          </w:p>
        </w:tc>
        <w:tc>
          <w:tcPr>
            <w:tcW w:w="2999" w:type="dxa"/>
            <w:gridSpan w:val="2"/>
          </w:tcPr>
          <w:p w:rsidR="006E4E11" w:rsidRPr="00464A9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64A9B">
        <w:tblPrEx>
          <w:tblCellMar>
            <w:top w:w="0" w:type="dxa"/>
            <w:bottom w:w="0" w:type="dxa"/>
          </w:tblCellMar>
        </w:tblPrEx>
        <w:trPr>
          <w:trHeight w:val="284"/>
        </w:trPr>
        <w:tc>
          <w:tcPr>
            <w:tcW w:w="4911" w:type="dxa"/>
          </w:tcPr>
          <w:p w:rsidR="006E4E11" w:rsidRPr="00464A9B" w:rsidRDefault="00820538">
            <w:pPr>
              <w:pStyle w:val="Avsndare"/>
              <w:framePr w:h="2483" w:wrap="notBeside" w:x="1504"/>
              <w:rPr>
                <w:b/>
                <w:i w:val="0"/>
                <w:sz w:val="22"/>
              </w:rPr>
            </w:pPr>
            <w:r w:rsidRPr="00464A9B">
              <w:rPr>
                <w:b/>
                <w:i w:val="0"/>
                <w:sz w:val="22"/>
              </w:rPr>
              <w:t>Näringsdepartementet</w:t>
            </w:r>
          </w:p>
        </w:tc>
      </w:tr>
      <w:tr w:rsidR="006E4E11" w:rsidRPr="00464A9B">
        <w:tblPrEx>
          <w:tblCellMar>
            <w:top w:w="0" w:type="dxa"/>
            <w:bottom w:w="0" w:type="dxa"/>
          </w:tblCellMar>
        </w:tblPrEx>
        <w:trPr>
          <w:trHeight w:val="284"/>
        </w:trPr>
        <w:tc>
          <w:tcPr>
            <w:tcW w:w="4911" w:type="dxa"/>
          </w:tcPr>
          <w:p w:rsidR="006E4E11" w:rsidRPr="00464A9B" w:rsidRDefault="006E4E11">
            <w:pPr>
              <w:pStyle w:val="Avsndare"/>
              <w:framePr w:h="2483" w:wrap="notBeside" w:x="1504"/>
              <w:rPr>
                <w:bCs/>
                <w:iCs/>
              </w:rPr>
            </w:pPr>
          </w:p>
        </w:tc>
      </w:tr>
      <w:tr w:rsidR="006E4E11" w:rsidRPr="00464A9B">
        <w:tblPrEx>
          <w:tblCellMar>
            <w:top w:w="0" w:type="dxa"/>
            <w:bottom w:w="0" w:type="dxa"/>
          </w:tblCellMar>
        </w:tblPrEx>
        <w:trPr>
          <w:trHeight w:val="284"/>
        </w:trPr>
        <w:tc>
          <w:tcPr>
            <w:tcW w:w="4911" w:type="dxa"/>
          </w:tcPr>
          <w:p w:rsidR="006E4E11" w:rsidRPr="00464A9B" w:rsidRDefault="006E4E11">
            <w:pPr>
              <w:pStyle w:val="Avsndare"/>
              <w:framePr w:h="2483" w:wrap="notBeside" w:x="1504"/>
              <w:rPr>
                <w:bCs/>
                <w:iCs/>
              </w:rPr>
            </w:pPr>
          </w:p>
        </w:tc>
      </w:tr>
      <w:tr w:rsidR="006E4E11" w:rsidRPr="00464A9B">
        <w:tblPrEx>
          <w:tblCellMar>
            <w:top w:w="0" w:type="dxa"/>
            <w:bottom w:w="0" w:type="dxa"/>
          </w:tblCellMar>
        </w:tblPrEx>
        <w:trPr>
          <w:trHeight w:val="284"/>
        </w:trPr>
        <w:tc>
          <w:tcPr>
            <w:tcW w:w="4911" w:type="dxa"/>
          </w:tcPr>
          <w:p w:rsidR="006E4E11" w:rsidRPr="00464A9B" w:rsidRDefault="006E4E11">
            <w:pPr>
              <w:pStyle w:val="Avsndare"/>
              <w:framePr w:h="2483" w:wrap="notBeside" w:x="1504"/>
              <w:rPr>
                <w:bCs/>
                <w:iCs/>
              </w:rPr>
            </w:pPr>
          </w:p>
        </w:tc>
      </w:tr>
      <w:tr w:rsidR="006E4E11" w:rsidRPr="00464A9B">
        <w:tblPrEx>
          <w:tblCellMar>
            <w:top w:w="0" w:type="dxa"/>
            <w:bottom w:w="0" w:type="dxa"/>
          </w:tblCellMar>
        </w:tblPrEx>
        <w:trPr>
          <w:trHeight w:val="284"/>
        </w:trPr>
        <w:tc>
          <w:tcPr>
            <w:tcW w:w="4911" w:type="dxa"/>
          </w:tcPr>
          <w:p w:rsidR="006E4E11" w:rsidRPr="00464A9B" w:rsidRDefault="006E4E11">
            <w:pPr>
              <w:pStyle w:val="Avsndare"/>
              <w:framePr w:h="2483" w:wrap="notBeside" w:x="1504"/>
              <w:rPr>
                <w:bCs/>
                <w:iCs/>
              </w:rPr>
            </w:pPr>
          </w:p>
        </w:tc>
      </w:tr>
      <w:tr w:rsidR="006E4E11" w:rsidRPr="00464A9B">
        <w:tblPrEx>
          <w:tblCellMar>
            <w:top w:w="0" w:type="dxa"/>
            <w:bottom w:w="0" w:type="dxa"/>
          </w:tblCellMar>
        </w:tblPrEx>
        <w:trPr>
          <w:trHeight w:val="284"/>
        </w:trPr>
        <w:tc>
          <w:tcPr>
            <w:tcW w:w="4911" w:type="dxa"/>
          </w:tcPr>
          <w:p w:rsidR="006E4E11" w:rsidRPr="00464A9B" w:rsidRDefault="006E4E11">
            <w:pPr>
              <w:pStyle w:val="Avsndare"/>
              <w:framePr w:h="2483" w:wrap="notBeside" w:x="1504"/>
              <w:rPr>
                <w:bCs/>
                <w:iCs/>
              </w:rPr>
            </w:pPr>
          </w:p>
        </w:tc>
      </w:tr>
      <w:tr w:rsidR="006E4E11" w:rsidRPr="00464A9B">
        <w:tblPrEx>
          <w:tblCellMar>
            <w:top w:w="0" w:type="dxa"/>
            <w:bottom w:w="0" w:type="dxa"/>
          </w:tblCellMar>
        </w:tblPrEx>
        <w:trPr>
          <w:trHeight w:val="284"/>
        </w:trPr>
        <w:tc>
          <w:tcPr>
            <w:tcW w:w="4911" w:type="dxa"/>
          </w:tcPr>
          <w:p w:rsidR="006E4E11" w:rsidRPr="00464A9B" w:rsidRDefault="006E4E11">
            <w:pPr>
              <w:pStyle w:val="Avsndare"/>
              <w:framePr w:h="2483" w:wrap="notBeside" w:x="1504"/>
              <w:rPr>
                <w:bCs/>
                <w:iCs/>
              </w:rPr>
            </w:pPr>
          </w:p>
        </w:tc>
      </w:tr>
      <w:tr w:rsidR="00820538" w:rsidRPr="00464A9B">
        <w:tblPrEx>
          <w:tblCellMar>
            <w:top w:w="0" w:type="dxa"/>
            <w:bottom w:w="0" w:type="dxa"/>
          </w:tblCellMar>
        </w:tblPrEx>
        <w:trPr>
          <w:trHeight w:val="284"/>
        </w:trPr>
        <w:tc>
          <w:tcPr>
            <w:tcW w:w="4911" w:type="dxa"/>
          </w:tcPr>
          <w:p w:rsidR="00820538" w:rsidRPr="00464A9B" w:rsidRDefault="00820538">
            <w:pPr>
              <w:pStyle w:val="Avsndare"/>
              <w:framePr w:h="2483" w:wrap="notBeside" w:x="1504"/>
              <w:rPr>
                <w:bCs/>
                <w:iCs/>
              </w:rPr>
            </w:pPr>
          </w:p>
        </w:tc>
      </w:tr>
    </w:tbl>
    <w:p w:rsidR="006E4E11" w:rsidRPr="00464A9B" w:rsidRDefault="00820538">
      <w:pPr>
        <w:framePr w:w="4400" w:h="2523" w:wrap="notBeside" w:vAnchor="page" w:hAnchor="page" w:x="6453" w:y="2445"/>
        <w:ind w:left="142"/>
      </w:pPr>
      <w:r w:rsidRPr="00464A9B">
        <w:t>EU-nämnden</w:t>
      </w:r>
    </w:p>
    <w:p w:rsidR="006E4E11" w:rsidRPr="00464A9B" w:rsidRDefault="00820538" w:rsidP="00783472">
      <w:pPr>
        <w:pStyle w:val="RKrubrik"/>
        <w:pBdr>
          <w:bottom w:val="single" w:sz="4" w:space="1" w:color="000000"/>
        </w:pBdr>
        <w:spacing w:before="0" w:after="0"/>
      </w:pPr>
      <w:r w:rsidRPr="00464A9B">
        <w:t xml:space="preserve">Kommenterad dagordning rådsmötet TTE (energi) den </w:t>
      </w:r>
      <w:r w:rsidR="00F342A5" w:rsidRPr="00464A9B">
        <w:t>24 november</w:t>
      </w:r>
      <w:r w:rsidR="00CD796D" w:rsidRPr="00464A9B">
        <w:t xml:space="preserve"> </w:t>
      </w:r>
      <w:r w:rsidRPr="00464A9B">
        <w:t>20</w:t>
      </w:r>
      <w:r w:rsidR="00783472" w:rsidRPr="00464A9B">
        <w:t>1</w:t>
      </w:r>
      <w:r w:rsidR="00CD796D" w:rsidRPr="00464A9B">
        <w:t>1</w:t>
      </w:r>
    </w:p>
    <w:p w:rsidR="00CD796D" w:rsidRPr="00464A9B" w:rsidRDefault="00CD796D" w:rsidP="00CD796D">
      <w:pPr>
        <w:spacing w:line="240" w:lineRule="auto"/>
      </w:pPr>
    </w:p>
    <w:p w:rsidR="00CD796D" w:rsidRPr="00464A9B" w:rsidRDefault="00CD796D" w:rsidP="00CD796D">
      <w:pPr>
        <w:spacing w:line="240" w:lineRule="auto"/>
        <w:rPr>
          <w:b/>
          <w:bCs/>
        </w:rPr>
      </w:pPr>
      <w:r w:rsidRPr="00464A9B">
        <w:rPr>
          <w:b/>
          <w:bCs/>
        </w:rPr>
        <w:t>1.</w:t>
      </w:r>
      <w:r w:rsidRPr="00464A9B">
        <w:rPr>
          <w:b/>
          <w:bCs/>
        </w:rPr>
        <w:tab/>
        <w:t>Godkännande av dagordningen</w:t>
      </w:r>
    </w:p>
    <w:p w:rsidR="00CD796D" w:rsidRPr="00464A9B" w:rsidRDefault="00CD796D" w:rsidP="00CD796D">
      <w:pPr>
        <w:spacing w:line="240" w:lineRule="auto"/>
        <w:rPr>
          <w:b/>
          <w:bCs/>
          <w:u w:val="single"/>
        </w:rPr>
      </w:pPr>
    </w:p>
    <w:p w:rsidR="00CD796D" w:rsidRPr="00464A9B" w:rsidRDefault="00CD796D" w:rsidP="00CD796D">
      <w:pPr>
        <w:spacing w:line="240" w:lineRule="auto"/>
        <w:rPr>
          <w:b/>
          <w:bCs/>
          <w:u w:val="single"/>
        </w:rPr>
      </w:pPr>
    </w:p>
    <w:p w:rsidR="00CD796D" w:rsidRPr="00464A9B" w:rsidRDefault="00CD796D" w:rsidP="00CD796D">
      <w:pPr>
        <w:spacing w:line="240" w:lineRule="auto"/>
        <w:outlineLvl w:val="0"/>
        <w:rPr>
          <w:b/>
          <w:bCs/>
          <w:color w:val="000000"/>
          <w:u w:val="single"/>
        </w:rPr>
      </w:pPr>
      <w:r w:rsidRPr="00464A9B">
        <w:rPr>
          <w:b/>
          <w:bCs/>
          <w:color w:val="000000"/>
          <w:u w:val="single"/>
        </w:rPr>
        <w:t>Lagstiftningsöverläggningar</w:t>
      </w:r>
    </w:p>
    <w:p w:rsidR="00CD796D" w:rsidRPr="00464A9B" w:rsidRDefault="00CD796D" w:rsidP="00CD796D">
      <w:pPr>
        <w:spacing w:line="240" w:lineRule="auto"/>
        <w:rPr>
          <w:b/>
          <w:bCs/>
          <w:i/>
          <w:color w:val="000000"/>
        </w:rPr>
      </w:pPr>
      <w:r w:rsidRPr="00464A9B">
        <w:rPr>
          <w:b/>
          <w:bCs/>
          <w:i/>
          <w:color w:val="000000"/>
        </w:rPr>
        <w:t>(offentlig överläggning enligt artikel 16</w:t>
      </w:r>
      <w:r w:rsidR="00F342A5" w:rsidRPr="00464A9B">
        <w:rPr>
          <w:b/>
          <w:bCs/>
          <w:i/>
          <w:color w:val="000000"/>
        </w:rPr>
        <w:t>(</w:t>
      </w:r>
      <w:r w:rsidRPr="00464A9B">
        <w:rPr>
          <w:b/>
          <w:bCs/>
          <w:i/>
          <w:color w:val="000000"/>
        </w:rPr>
        <w:t>8</w:t>
      </w:r>
      <w:r w:rsidR="00F342A5" w:rsidRPr="00464A9B">
        <w:rPr>
          <w:b/>
          <w:bCs/>
          <w:i/>
          <w:color w:val="000000"/>
        </w:rPr>
        <w:t>)</w:t>
      </w:r>
      <w:r w:rsidRPr="00464A9B">
        <w:rPr>
          <w:b/>
          <w:bCs/>
          <w:i/>
          <w:color w:val="000000"/>
        </w:rPr>
        <w:t xml:space="preserve"> i fördraget om Europeiska unionen)</w:t>
      </w:r>
    </w:p>
    <w:p w:rsidR="00CD796D" w:rsidRPr="00464A9B" w:rsidRDefault="00CD796D" w:rsidP="00CD796D">
      <w:pPr>
        <w:spacing w:line="240" w:lineRule="auto"/>
        <w:rPr>
          <w:iCs/>
        </w:rPr>
      </w:pPr>
    </w:p>
    <w:p w:rsidR="00054984" w:rsidRPr="00464A9B" w:rsidRDefault="00CD796D" w:rsidP="00054984">
      <w:pPr>
        <w:spacing w:line="240" w:lineRule="auto"/>
        <w:rPr>
          <w:b/>
          <w:bCs/>
        </w:rPr>
      </w:pPr>
      <w:r w:rsidRPr="00464A9B">
        <w:rPr>
          <w:b/>
          <w:bCs/>
        </w:rPr>
        <w:t>2.</w:t>
      </w:r>
      <w:r w:rsidRPr="00464A9B">
        <w:rPr>
          <w:b/>
          <w:bCs/>
        </w:rPr>
        <w:tab/>
        <w:t>(ev.) Godkännande av A-punktslistan</w:t>
      </w:r>
    </w:p>
    <w:p w:rsidR="00054984" w:rsidRPr="00464A9B" w:rsidRDefault="00054984" w:rsidP="00054984">
      <w:pPr>
        <w:spacing w:line="240" w:lineRule="auto"/>
        <w:rPr>
          <w:b/>
          <w:bCs/>
        </w:rPr>
      </w:pPr>
    </w:p>
    <w:p w:rsidR="00574E85" w:rsidRPr="00464A9B" w:rsidRDefault="00054984" w:rsidP="00574E85">
      <w:pPr>
        <w:pStyle w:val="RKrubrik"/>
      </w:pPr>
      <w:r w:rsidRPr="00464A9B">
        <w:t xml:space="preserve">3. Förslag till direktiv om energieffektivitet och om upphävande av direktiven 2004/8/EG och 2006/32/EG </w:t>
      </w:r>
    </w:p>
    <w:p w:rsidR="00574E85" w:rsidRPr="00464A9B" w:rsidRDefault="00574E85" w:rsidP="006F724D">
      <w:pPr>
        <w:spacing w:line="240" w:lineRule="auto"/>
        <w:ind w:left="1134" w:hanging="567"/>
        <w:jc w:val="both"/>
        <w:rPr>
          <w:i/>
        </w:rPr>
      </w:pPr>
      <w:r w:rsidRPr="00464A9B">
        <w:rPr>
          <w:i/>
        </w:rPr>
        <w:t>-</w:t>
      </w:r>
      <w:r w:rsidR="00496097" w:rsidRPr="00464A9B">
        <w:rPr>
          <w:i/>
        </w:rPr>
        <w:tab/>
      </w:r>
      <w:r w:rsidR="00054984" w:rsidRPr="00464A9B">
        <w:rPr>
          <w:i/>
        </w:rPr>
        <w:t>Lägesrapport</w:t>
      </w:r>
    </w:p>
    <w:p w:rsidR="00054984" w:rsidRPr="00464A9B" w:rsidRDefault="00054984" w:rsidP="00496097">
      <w:pPr>
        <w:spacing w:line="240" w:lineRule="auto"/>
        <w:ind w:left="567"/>
        <w:jc w:val="both"/>
      </w:pPr>
      <w:r w:rsidRPr="00464A9B">
        <w:t>16165/11 ENER 343 EN</w:t>
      </w:r>
      <w:r w:rsidR="00496097" w:rsidRPr="00464A9B">
        <w:t xml:space="preserve">V 832 TRANS 290 ECOFIN 729 RECH </w:t>
      </w:r>
      <w:r w:rsidRPr="00464A9B">
        <w:t>351 CODEC 1840</w:t>
      </w:r>
    </w:p>
    <w:p w:rsidR="00054984" w:rsidRPr="00464A9B" w:rsidRDefault="00054984" w:rsidP="006F724D">
      <w:pPr>
        <w:spacing w:line="240" w:lineRule="auto"/>
        <w:ind w:left="1134" w:hanging="567"/>
        <w:jc w:val="both"/>
      </w:pPr>
      <w:r w:rsidRPr="00464A9B">
        <w:t>KOM (2011) 370 slutlig</w:t>
      </w:r>
    </w:p>
    <w:p w:rsidR="00054984" w:rsidRPr="00464A9B" w:rsidRDefault="00054984" w:rsidP="00054984">
      <w:pPr>
        <w:spacing w:line="240" w:lineRule="auto"/>
        <w:rPr>
          <w:b/>
          <w:bCs/>
        </w:rPr>
      </w:pPr>
    </w:p>
    <w:p w:rsidR="00B508B8" w:rsidRPr="00464A9B" w:rsidRDefault="00D96793" w:rsidP="00B508B8">
      <w:pPr>
        <w:tabs>
          <w:tab w:val="left" w:pos="2835"/>
        </w:tabs>
        <w:overflowPunct/>
        <w:spacing w:line="240" w:lineRule="auto"/>
        <w:textAlignment w:val="auto"/>
        <w:rPr>
          <w:rFonts w:cs="OrigGarmnd BT"/>
          <w:color w:val="000000"/>
          <w:szCs w:val="24"/>
          <w:lang w:eastAsia="sv-SE"/>
        </w:rPr>
      </w:pPr>
      <w:r w:rsidRPr="00464A9B">
        <w:rPr>
          <w:rFonts w:cs="OrigGarmnd BT"/>
          <w:color w:val="000000"/>
          <w:szCs w:val="24"/>
          <w:lang w:eastAsia="sv-SE"/>
        </w:rPr>
        <w:t>Den 22 juni presenterade kommissionen</w:t>
      </w:r>
      <w:r w:rsidR="00B508B8" w:rsidRPr="00464A9B">
        <w:rPr>
          <w:rFonts w:cs="OrigGarmnd BT"/>
          <w:color w:val="000000"/>
          <w:szCs w:val="24"/>
          <w:lang w:eastAsia="sv-SE"/>
        </w:rPr>
        <w:t xml:space="preserve"> ett förslag till ett nytt direktiv om energieffektivitet (KOM(2011)370 slutlig). Det nya direktivet föreslås ersätta energitjänstedirektivet (2006/32/EG) och kraftvärmedirektivet (2004/8/EG). Därtill föreslås att </w:t>
      </w:r>
      <w:r w:rsidR="000A3567" w:rsidRPr="00464A9B">
        <w:rPr>
          <w:rFonts w:cs="OrigGarmnd BT"/>
          <w:color w:val="000000"/>
          <w:szCs w:val="24"/>
          <w:lang w:eastAsia="sv-SE"/>
        </w:rPr>
        <w:t>artiklarna 9.1 och 9.2 i energi</w:t>
      </w:r>
      <w:r w:rsidR="00B508B8" w:rsidRPr="00464A9B">
        <w:rPr>
          <w:rFonts w:cs="OrigGarmnd BT"/>
          <w:color w:val="000000"/>
          <w:szCs w:val="24"/>
          <w:lang w:eastAsia="sv-SE"/>
        </w:rPr>
        <w:t xml:space="preserve">märkningsdirektivet (2010/30/EU) ska upphöra att gälla. Målet är att energianvändningen i EU ska minska med 20 procent till år 2020. </w:t>
      </w:r>
    </w:p>
    <w:p w:rsidR="00B508B8" w:rsidRPr="00464A9B" w:rsidRDefault="00B508B8" w:rsidP="00B508B8">
      <w:pPr>
        <w:overflowPunct/>
        <w:spacing w:line="240" w:lineRule="auto"/>
        <w:textAlignment w:val="auto"/>
        <w:rPr>
          <w:rFonts w:cs="OrigGarmnd BT"/>
          <w:color w:val="000000"/>
          <w:szCs w:val="24"/>
          <w:lang w:eastAsia="sv-SE"/>
        </w:rPr>
      </w:pPr>
    </w:p>
    <w:p w:rsidR="00B508B8" w:rsidRPr="00464A9B" w:rsidRDefault="00B508B8" w:rsidP="00B508B8">
      <w:pPr>
        <w:tabs>
          <w:tab w:val="left" w:pos="2835"/>
        </w:tabs>
        <w:overflowPunct/>
        <w:spacing w:line="240" w:lineRule="auto"/>
        <w:textAlignment w:val="auto"/>
        <w:rPr>
          <w:rFonts w:cs="OrigGarmnd BT"/>
          <w:color w:val="000000"/>
          <w:szCs w:val="24"/>
          <w:lang w:eastAsia="sv-SE"/>
        </w:rPr>
      </w:pPr>
      <w:r w:rsidRPr="00464A9B">
        <w:rPr>
          <w:rFonts w:cs="OrigGarmnd BT"/>
          <w:color w:val="000000"/>
          <w:szCs w:val="24"/>
          <w:lang w:eastAsia="sv-SE"/>
        </w:rPr>
        <w:t xml:space="preserve">Rådsarbetsgruppen för energi har gjort en genomgång av artiklar och bilagor i det föreslagna direktivet under sommaren och hösten och det polska ordförandeskapet har tagit fram en reviderad version av texten. </w:t>
      </w:r>
    </w:p>
    <w:p w:rsidR="00B508B8" w:rsidRPr="00464A9B" w:rsidRDefault="00B508B8" w:rsidP="00B508B8">
      <w:pPr>
        <w:pStyle w:val="RKnormal"/>
      </w:pPr>
      <w:r w:rsidRPr="00464A9B">
        <w:rPr>
          <w:lang w:eastAsia="sv-SE"/>
        </w:rPr>
        <w:t>Behandlingen förväntas sedan fortsätta under det danska ordförandeskapet som meddelat att de prioriterar frågan högt.</w:t>
      </w:r>
    </w:p>
    <w:p w:rsidR="00B508B8" w:rsidRPr="00464A9B" w:rsidRDefault="00B508B8" w:rsidP="00B508B8">
      <w:pPr>
        <w:tabs>
          <w:tab w:val="left" w:pos="2835"/>
        </w:tabs>
        <w:overflowPunct/>
        <w:spacing w:line="240" w:lineRule="auto"/>
        <w:textAlignment w:val="auto"/>
        <w:rPr>
          <w:rFonts w:cs="OrigGarmnd BT"/>
          <w:color w:val="000000"/>
          <w:szCs w:val="24"/>
          <w:lang w:eastAsia="sv-SE"/>
        </w:rPr>
      </w:pPr>
    </w:p>
    <w:p w:rsidR="00B508B8" w:rsidRPr="00464A9B" w:rsidRDefault="00B508B8" w:rsidP="00B508B8">
      <w:pPr>
        <w:tabs>
          <w:tab w:val="left" w:pos="2835"/>
        </w:tabs>
        <w:overflowPunct/>
        <w:spacing w:line="240" w:lineRule="auto"/>
        <w:textAlignment w:val="auto"/>
        <w:rPr>
          <w:rFonts w:cs="OrigGarmnd BT"/>
          <w:color w:val="000000"/>
          <w:szCs w:val="24"/>
          <w:lang w:eastAsia="sv-SE"/>
        </w:rPr>
      </w:pPr>
      <w:r w:rsidRPr="00464A9B">
        <w:rPr>
          <w:rFonts w:cs="OrigGarmnd BT"/>
          <w:color w:val="000000"/>
          <w:szCs w:val="24"/>
          <w:lang w:eastAsia="sv-SE"/>
        </w:rPr>
        <w:t xml:space="preserve">Till TTE-rådet har det polska ordförandeskapet förberett en lägesrapport där de huvudsakliga frågeställningarna för den fortsatta behandlingen identifierats. Några exempel på sådana frågeställningar är mål för energieffektivisering, offentliga sektorns roll, kvotpliktssystem, energikartläggningar, individuell mätning samt främjande av kraftvärme och fjärrvärme/kyla. </w:t>
      </w:r>
    </w:p>
    <w:p w:rsidR="00B508B8" w:rsidRPr="00464A9B" w:rsidRDefault="00B508B8" w:rsidP="00B508B8">
      <w:pPr>
        <w:pStyle w:val="RKnormal"/>
      </w:pPr>
    </w:p>
    <w:p w:rsidR="00B508B8" w:rsidRPr="00464A9B" w:rsidRDefault="00B508B8" w:rsidP="00B508B8">
      <w:pPr>
        <w:pStyle w:val="RKnormal"/>
      </w:pPr>
      <w:r w:rsidRPr="00464A9B">
        <w:lastRenderedPageBreak/>
        <w:t>Ingen debatt om lägesapporten förväntas på rådsmötet.</w:t>
      </w:r>
    </w:p>
    <w:p w:rsidR="00B508B8" w:rsidRPr="00464A9B" w:rsidRDefault="00B508B8" w:rsidP="00B508B8">
      <w:pPr>
        <w:pStyle w:val="RKnormal"/>
      </w:pPr>
    </w:p>
    <w:p w:rsidR="00B508B8" w:rsidRPr="00464A9B" w:rsidRDefault="00B508B8" w:rsidP="00B508B8">
      <w:pPr>
        <w:pStyle w:val="RKnormal"/>
        <w:rPr>
          <w:bCs/>
          <w:u w:val="single"/>
        </w:rPr>
      </w:pPr>
      <w:r w:rsidRPr="00464A9B">
        <w:rPr>
          <w:bCs/>
          <w:u w:val="single"/>
        </w:rPr>
        <w:t>Förslag till svensk ståndpunkt</w:t>
      </w:r>
    </w:p>
    <w:p w:rsidR="00CD796D" w:rsidRPr="00464A9B" w:rsidRDefault="00B508B8" w:rsidP="00B508B8">
      <w:pPr>
        <w:pStyle w:val="RKnormal"/>
      </w:pPr>
      <w:r w:rsidRPr="00464A9B">
        <w:t>Sverige noterar ordförandeskapets lägesrapport.</w:t>
      </w:r>
    </w:p>
    <w:p w:rsidR="00B508B8" w:rsidRPr="00464A9B" w:rsidRDefault="00B508B8" w:rsidP="00B508B8">
      <w:pPr>
        <w:pStyle w:val="RKnormal"/>
        <w:rPr>
          <w:bCs/>
        </w:rPr>
      </w:pPr>
    </w:p>
    <w:p w:rsidR="00D33ED0" w:rsidRPr="00464A9B" w:rsidRDefault="00BB0854" w:rsidP="000A1217">
      <w:pPr>
        <w:pStyle w:val="RKrubrik"/>
      </w:pPr>
      <w:r w:rsidRPr="00464A9B">
        <w:t xml:space="preserve">4. </w:t>
      </w:r>
      <w:r w:rsidR="00D33ED0" w:rsidRPr="00464A9B">
        <w:t>Förslag till förordning gällande säkerheten vid utvinning av olja och gas till havs.</w:t>
      </w:r>
    </w:p>
    <w:p w:rsidR="00D33ED0" w:rsidRPr="00464A9B" w:rsidRDefault="000A1217" w:rsidP="00D33ED0">
      <w:pPr>
        <w:spacing w:line="240" w:lineRule="auto"/>
        <w:ind w:left="1134" w:hanging="567"/>
        <w:jc w:val="both"/>
        <w:rPr>
          <w:bCs/>
          <w:szCs w:val="24"/>
        </w:rPr>
      </w:pPr>
      <w:r w:rsidRPr="00464A9B">
        <w:rPr>
          <w:bCs/>
          <w:szCs w:val="24"/>
        </w:rPr>
        <w:t>-</w:t>
      </w:r>
      <w:r w:rsidR="00496097" w:rsidRPr="00464A9B">
        <w:rPr>
          <w:bCs/>
          <w:szCs w:val="24"/>
        </w:rPr>
        <w:tab/>
      </w:r>
      <w:r w:rsidR="00D33ED0" w:rsidRPr="00464A9B">
        <w:rPr>
          <w:bCs/>
          <w:i/>
          <w:szCs w:val="24"/>
        </w:rPr>
        <w:t xml:space="preserve">Presentation av kommissionen </w:t>
      </w:r>
    </w:p>
    <w:p w:rsidR="00D33ED0" w:rsidRPr="00464A9B" w:rsidRDefault="00D33ED0" w:rsidP="00496097">
      <w:pPr>
        <w:pStyle w:val="RKnormal"/>
        <w:tabs>
          <w:tab w:val="clear" w:pos="2835"/>
          <w:tab w:val="left" w:pos="1985"/>
        </w:tabs>
        <w:ind w:left="567"/>
      </w:pPr>
      <w:r w:rsidRPr="00464A9B">
        <w:t xml:space="preserve">16175/11 ENER 344 ENV 833 MARE 1 </w:t>
      </w:r>
      <w:r w:rsidR="000A1217" w:rsidRPr="00464A9B">
        <w:tab/>
      </w:r>
      <w:r w:rsidRPr="00464A9B">
        <w:t>COMAR 1 PROCIV 144 CODEC 1871</w:t>
      </w:r>
    </w:p>
    <w:p w:rsidR="00D33ED0" w:rsidRPr="00464A9B" w:rsidRDefault="00D33ED0" w:rsidP="00D33ED0">
      <w:pPr>
        <w:pStyle w:val="RKnormal"/>
      </w:pPr>
    </w:p>
    <w:p w:rsidR="00D33ED0" w:rsidRPr="00464A9B" w:rsidRDefault="00D33ED0" w:rsidP="00D33ED0">
      <w:pPr>
        <w:pStyle w:val="RKnormal"/>
      </w:pPr>
      <w:r w:rsidRPr="00464A9B">
        <w:t>Förordningen har inte behandlats i TTE-rådet eller EU-nämnden tidigare.</w:t>
      </w:r>
    </w:p>
    <w:p w:rsidR="00D33ED0" w:rsidRPr="00464A9B" w:rsidRDefault="00D33ED0" w:rsidP="00D33ED0">
      <w:pPr>
        <w:pStyle w:val="RKnormal"/>
      </w:pPr>
    </w:p>
    <w:p w:rsidR="00D33ED0" w:rsidRPr="00464A9B" w:rsidRDefault="00D33ED0" w:rsidP="00D33ED0">
      <w:r w:rsidRPr="00464A9B">
        <w:rPr>
          <w:u w:val="single"/>
        </w:rPr>
        <w:t>Bakgrund</w:t>
      </w:r>
    </w:p>
    <w:p w:rsidR="00D33ED0" w:rsidRPr="00464A9B" w:rsidRDefault="00D33ED0" w:rsidP="00D33ED0">
      <w:pPr>
        <w:pStyle w:val="RKnormal"/>
      </w:pPr>
      <w:r w:rsidRPr="00464A9B">
        <w:t>Olyckan på oljeplattformen Deepwater Horizon i mexikanska golfen den 20 april 2010 och de stora ekologiska, sociala och ekonomiska skador som den massiva läckan från oljekällan på ha</w:t>
      </w:r>
      <w:r w:rsidR="000A3567" w:rsidRPr="00464A9B">
        <w:t xml:space="preserve">vsbotten orsakade har medfört ett </w:t>
      </w:r>
      <w:r w:rsidRPr="00464A9B">
        <w:t>anta</w:t>
      </w:r>
      <w:r w:rsidR="000A3567" w:rsidRPr="00464A9B">
        <w:t>l initiativ från EU.</w:t>
      </w:r>
    </w:p>
    <w:p w:rsidR="00D33ED0" w:rsidRPr="00464A9B" w:rsidRDefault="00D33ED0" w:rsidP="00D33ED0">
      <w:pPr>
        <w:pStyle w:val="RKnormal"/>
      </w:pPr>
    </w:p>
    <w:p w:rsidR="00D33ED0" w:rsidRPr="00464A9B" w:rsidRDefault="00D33ED0" w:rsidP="00D33ED0">
      <w:pPr>
        <w:pStyle w:val="RKnormal"/>
      </w:pPr>
      <w:r w:rsidRPr="00464A9B">
        <w:t>Europaparlamentet antog den 7 oktober 2010 en resolution om EU-åtgärder när det gäller oljeborr</w:t>
      </w:r>
      <w:r w:rsidR="000A3567" w:rsidRPr="00464A9B">
        <w:t xml:space="preserve">ning och oljeutvinning i Europa, i vilken </w:t>
      </w:r>
      <w:r w:rsidRPr="00464A9B">
        <w:t xml:space="preserve"> kommissionen </w:t>
      </w:r>
      <w:r w:rsidR="000A3567" w:rsidRPr="00464A9B">
        <w:t xml:space="preserve">uppmanas </w:t>
      </w:r>
      <w:r w:rsidRPr="00464A9B">
        <w:t>att lägga fram en heltäckande rättslig ram som garanterar att höga säkerhetskrav tillämpas i hela EU och i tredjeländer, bl.a. om förebyggande av olyckor, hantering av katastrofer och ansvarsskyldighet.</w:t>
      </w:r>
    </w:p>
    <w:p w:rsidR="00D33ED0" w:rsidRPr="00464A9B" w:rsidRDefault="00D33ED0" w:rsidP="00D33ED0">
      <w:pPr>
        <w:pStyle w:val="RKnormal"/>
      </w:pPr>
    </w:p>
    <w:p w:rsidR="00D33ED0" w:rsidRPr="00464A9B" w:rsidRDefault="00D33ED0" w:rsidP="00D33ED0">
      <w:pPr>
        <w:pStyle w:val="RKnormal"/>
      </w:pPr>
      <w:r w:rsidRPr="00464A9B">
        <w:t xml:space="preserve">Kommissionen presenterade den 13 oktober 2010 ett meddelande om ”utmaningen att uppnå en säker olje- och gasverksamhet till havs” (KOM(2010) 560 slutlig). I meddelandet rekommenderar kommissionen ett särskilt EU-regelverk. </w:t>
      </w:r>
      <w:r w:rsidR="000A3567" w:rsidRPr="00464A9B">
        <w:t xml:space="preserve"> </w:t>
      </w:r>
      <w:r w:rsidRPr="00464A9B">
        <w:t xml:space="preserve">Den 3 </w:t>
      </w:r>
      <w:r w:rsidR="000A3567" w:rsidRPr="00464A9B">
        <w:t>december 2010 antog TTE-rådet (e</w:t>
      </w:r>
      <w:r w:rsidRPr="00464A9B">
        <w:t>nergi</w:t>
      </w:r>
      <w:r w:rsidR="000A3567" w:rsidRPr="00464A9B">
        <w:t xml:space="preserve">) slutsatser på </w:t>
      </w:r>
      <w:r w:rsidRPr="00464A9B">
        <w:t>meddelande</w:t>
      </w:r>
      <w:r w:rsidR="000A3567" w:rsidRPr="00464A9B">
        <w:t>t</w:t>
      </w:r>
      <w:r w:rsidRPr="00464A9B">
        <w:t xml:space="preserve"> och</w:t>
      </w:r>
      <w:r w:rsidR="000A3567" w:rsidRPr="00464A9B">
        <w:t xml:space="preserve"> uppmanade kommissionen att </w:t>
      </w:r>
      <w:r w:rsidRPr="00464A9B">
        <w:t xml:space="preserve">lägga </w:t>
      </w:r>
      <w:r w:rsidR="000A3567" w:rsidRPr="00464A9B">
        <w:t xml:space="preserve">fram </w:t>
      </w:r>
      <w:r w:rsidRPr="00464A9B">
        <w:t>konkreta initiativ och rättsliga förslag för att förbättra säkerhet och miljöskydd vid olje- och gasutvinning till havs.</w:t>
      </w:r>
    </w:p>
    <w:p w:rsidR="00D33ED0" w:rsidRPr="00464A9B" w:rsidRDefault="00D33ED0" w:rsidP="00D33ED0">
      <w:pPr>
        <w:pStyle w:val="RKnormal"/>
      </w:pPr>
    </w:p>
    <w:p w:rsidR="00D33ED0" w:rsidRPr="00464A9B" w:rsidRDefault="00D33ED0" w:rsidP="00D33ED0">
      <w:pPr>
        <w:pStyle w:val="RKnormal"/>
      </w:pPr>
      <w:r w:rsidRPr="00464A9B">
        <w:t>Kommissionen avser vid TTE-rådets möte att presente</w:t>
      </w:r>
      <w:r w:rsidR="000A3567" w:rsidRPr="00464A9B">
        <w:t>ra sitt förslag till förordning.</w:t>
      </w:r>
    </w:p>
    <w:p w:rsidR="00D33ED0" w:rsidRPr="00464A9B" w:rsidRDefault="00D33ED0" w:rsidP="00D33ED0">
      <w:pPr>
        <w:pStyle w:val="RKnormal"/>
      </w:pPr>
    </w:p>
    <w:p w:rsidR="00D33ED0" w:rsidRPr="00464A9B" w:rsidRDefault="00D33ED0" w:rsidP="00D33ED0">
      <w:pPr>
        <w:pStyle w:val="RKnormal"/>
        <w:rPr>
          <w:u w:val="single"/>
        </w:rPr>
      </w:pPr>
      <w:r w:rsidRPr="00464A9B">
        <w:rPr>
          <w:u w:val="single"/>
        </w:rPr>
        <w:t>Förslag till svensk ståndpunkt</w:t>
      </w:r>
    </w:p>
    <w:p w:rsidR="00D33ED0" w:rsidRPr="00464A9B" w:rsidRDefault="00D33ED0" w:rsidP="00D33ED0">
      <w:pPr>
        <w:pStyle w:val="RKnormal"/>
      </w:pPr>
    </w:p>
    <w:p w:rsidR="00D33ED0" w:rsidRPr="00464A9B" w:rsidRDefault="00D33ED0" w:rsidP="00D33ED0">
      <w:pPr>
        <w:pStyle w:val="RKnormal"/>
      </w:pPr>
      <w:r w:rsidRPr="00464A9B">
        <w:t>Regeringen välkomnar informationen från kommissionen.</w:t>
      </w:r>
    </w:p>
    <w:p w:rsidR="00B17ED9" w:rsidRPr="00464A9B" w:rsidRDefault="00B17ED9" w:rsidP="00B17ED9">
      <w:pPr>
        <w:spacing w:line="240" w:lineRule="auto"/>
        <w:ind w:left="567" w:hanging="567"/>
        <w:rPr>
          <w:iCs/>
          <w:color w:val="000000"/>
        </w:rPr>
      </w:pPr>
    </w:p>
    <w:p w:rsidR="007D2940" w:rsidRPr="00464A9B" w:rsidRDefault="007D2940" w:rsidP="00B17ED9">
      <w:pPr>
        <w:spacing w:line="240" w:lineRule="auto"/>
        <w:ind w:left="567" w:hanging="567"/>
        <w:rPr>
          <w:iCs/>
          <w:color w:val="000000"/>
        </w:rPr>
      </w:pPr>
    </w:p>
    <w:p w:rsidR="007D2940" w:rsidRPr="00464A9B" w:rsidRDefault="007D2940" w:rsidP="007D2940">
      <w:pPr>
        <w:pStyle w:val="Normalwebb"/>
        <w:ind w:left="567" w:hanging="567"/>
        <w:rPr>
          <w:b/>
          <w:lang w:val="sv-SE"/>
        </w:rPr>
      </w:pPr>
      <w:r w:rsidRPr="00464A9B">
        <w:rPr>
          <w:b/>
          <w:lang w:val="sv-SE"/>
        </w:rPr>
        <w:t>5</w:t>
      </w:r>
      <w:r w:rsidR="002F5988" w:rsidRPr="00464A9B">
        <w:rPr>
          <w:b/>
          <w:lang w:val="sv-SE"/>
        </w:rPr>
        <w:t xml:space="preserve">. </w:t>
      </w:r>
      <w:r w:rsidRPr="00464A9B">
        <w:rPr>
          <w:b/>
          <w:lang w:val="sv-SE"/>
        </w:rPr>
        <w:t>Kommissionens förslag till förordning om energiinfrastruktur</w:t>
      </w:r>
    </w:p>
    <w:p w:rsidR="007D2940" w:rsidRPr="00464A9B" w:rsidRDefault="007D2940" w:rsidP="007D2940">
      <w:pPr>
        <w:spacing w:line="240" w:lineRule="auto"/>
        <w:ind w:left="1134" w:hanging="567"/>
        <w:jc w:val="both"/>
        <w:rPr>
          <w:i/>
          <w:color w:val="000000"/>
        </w:rPr>
      </w:pPr>
      <w:r w:rsidRPr="00464A9B">
        <w:t>-</w:t>
      </w:r>
      <w:r w:rsidRPr="00464A9B">
        <w:rPr>
          <w:i/>
          <w:color w:val="000000"/>
        </w:rPr>
        <w:tab/>
        <w:t>Presentation från kommissionen</w:t>
      </w:r>
    </w:p>
    <w:p w:rsidR="007D2940" w:rsidRPr="00464A9B" w:rsidRDefault="007D2940" w:rsidP="007D2940">
      <w:pPr>
        <w:spacing w:line="240" w:lineRule="auto"/>
        <w:ind w:left="1134" w:hanging="567"/>
        <w:jc w:val="both"/>
        <w:rPr>
          <w:i/>
          <w:color w:val="000000"/>
        </w:rPr>
      </w:pPr>
      <w:r w:rsidRPr="00464A9B">
        <w:rPr>
          <w:i/>
          <w:color w:val="000000"/>
        </w:rPr>
        <w:t>-</w:t>
      </w:r>
      <w:r w:rsidRPr="00464A9B">
        <w:rPr>
          <w:i/>
          <w:color w:val="000000"/>
        </w:rPr>
        <w:tab/>
        <w:t>Inledande utbyte av synpunkter</w:t>
      </w:r>
    </w:p>
    <w:p w:rsidR="007D2940" w:rsidRPr="00464A9B" w:rsidRDefault="007D2940" w:rsidP="007D2940">
      <w:pPr>
        <w:spacing w:line="240" w:lineRule="auto"/>
        <w:ind w:left="1134" w:hanging="567"/>
        <w:jc w:val="both"/>
        <w:rPr>
          <w:szCs w:val="24"/>
        </w:rPr>
      </w:pPr>
      <w:r w:rsidRPr="00464A9B">
        <w:rPr>
          <w:szCs w:val="24"/>
        </w:rPr>
        <w:t>15813/11 ENER 330 CADREFIN 103 CODEC 1749</w:t>
      </w:r>
    </w:p>
    <w:p w:rsidR="007D2940" w:rsidRPr="00464A9B" w:rsidRDefault="007D2940" w:rsidP="002F5988">
      <w:pPr>
        <w:tabs>
          <w:tab w:val="left" w:pos="2835"/>
        </w:tabs>
        <w:ind w:firstLine="567"/>
        <w:rPr>
          <w:rFonts w:cs="OrigGarmnd BT"/>
          <w:color w:val="000000"/>
        </w:rPr>
      </w:pPr>
      <w:r w:rsidRPr="00464A9B">
        <w:rPr>
          <w:rFonts w:cs="OrigGarmnd BT"/>
          <w:color w:val="000000"/>
        </w:rPr>
        <w:t>16148/11 ENER 342 CARDEFIN 116 CODEC 1834</w:t>
      </w:r>
    </w:p>
    <w:p w:rsidR="007D2940" w:rsidRPr="00464A9B" w:rsidRDefault="007D2940" w:rsidP="007D2940">
      <w:pPr>
        <w:tabs>
          <w:tab w:val="left" w:pos="2835"/>
        </w:tabs>
        <w:rPr>
          <w:rFonts w:cs="OrigGarmnd BT"/>
          <w:color w:val="000000"/>
        </w:rPr>
      </w:pPr>
    </w:p>
    <w:p w:rsidR="007D2940" w:rsidRPr="00464A9B" w:rsidRDefault="007D2940" w:rsidP="007D2940">
      <w:pPr>
        <w:tabs>
          <w:tab w:val="left" w:pos="2835"/>
        </w:tabs>
      </w:pPr>
      <w:r w:rsidRPr="00464A9B">
        <w:t>Frågan har inte behandlats i  EU-nämnden tidigare.</w:t>
      </w:r>
    </w:p>
    <w:p w:rsidR="007D2940" w:rsidRPr="00464A9B" w:rsidRDefault="007D2940" w:rsidP="007D2940"/>
    <w:p w:rsidR="007D2940" w:rsidRPr="00464A9B" w:rsidRDefault="007D2940" w:rsidP="007D2940">
      <w:pPr>
        <w:rPr>
          <w:u w:val="single"/>
        </w:rPr>
      </w:pPr>
      <w:r w:rsidRPr="00464A9B">
        <w:rPr>
          <w:u w:val="single"/>
        </w:rPr>
        <w:t>Bakgrund</w:t>
      </w:r>
    </w:p>
    <w:p w:rsidR="007D2940" w:rsidRPr="00464A9B" w:rsidRDefault="007D2940" w:rsidP="007D2940">
      <w:pPr>
        <w:pStyle w:val="RKnormal"/>
        <w:rPr>
          <w:bCs/>
          <w:iCs/>
        </w:rPr>
      </w:pPr>
      <w:r w:rsidRPr="00464A9B">
        <w:rPr>
          <w:bCs/>
          <w:iCs/>
        </w:rPr>
        <w:t>Kommissionen antog den 19 oktober 2011 ett förslag till förordning om energiinfrastruk</w:t>
      </w:r>
      <w:r w:rsidR="00D96793" w:rsidRPr="00464A9B">
        <w:rPr>
          <w:bCs/>
          <w:iCs/>
        </w:rPr>
        <w:t>tur. Förslaget baseras på EU:s e</w:t>
      </w:r>
      <w:r w:rsidRPr="00464A9B">
        <w:rPr>
          <w:bCs/>
          <w:iCs/>
        </w:rPr>
        <w:t xml:space="preserve">nergistrategi 2011-2020 samt på de infrastrukturprioriteringar för 2020 och framåt som antogs i februari (KOM (2010) 639 och KOM (2010) 677/4). </w:t>
      </w:r>
    </w:p>
    <w:p w:rsidR="007D2940" w:rsidRPr="00464A9B" w:rsidRDefault="007D2940" w:rsidP="007D2940">
      <w:pPr>
        <w:pStyle w:val="RKnormal"/>
        <w:rPr>
          <w:bCs/>
          <w:iCs/>
        </w:rPr>
      </w:pPr>
    </w:p>
    <w:p w:rsidR="007D2940" w:rsidRPr="00464A9B" w:rsidRDefault="007D2940" w:rsidP="007D2940">
      <w:pPr>
        <w:pStyle w:val="RKnormal"/>
        <w:rPr>
          <w:bCs/>
          <w:iCs/>
        </w:rPr>
      </w:pPr>
      <w:r w:rsidRPr="00464A9B">
        <w:rPr>
          <w:bCs/>
          <w:iCs/>
        </w:rPr>
        <w:t xml:space="preserve">Bakgrunden till förslaget är kommissionens uppskattning att energiinfrastrukturinvesteringar på 200 miljarder euro behövs till 2020 för att klara EU:s klimat- och energimål. Vidare anges att de största hindren för att lyckas få dessa investeringar på plats före 2020 är långa och ineffektiva tillståndsprocesser samt avsaknad av möjligheter till finansiering av projekt. Dessutom nämns att regelverken kring nätregleringar och tariffsättning inte är konstruerade för den typ av infrastrukturprojekt som nu behöver etableras. </w:t>
      </w:r>
    </w:p>
    <w:p w:rsidR="007D2940" w:rsidRPr="00464A9B" w:rsidRDefault="007D2940" w:rsidP="007D2940">
      <w:pPr>
        <w:pStyle w:val="RKnormal"/>
        <w:rPr>
          <w:bCs/>
          <w:iCs/>
        </w:rPr>
      </w:pPr>
    </w:p>
    <w:p w:rsidR="007D2940" w:rsidRPr="00464A9B" w:rsidRDefault="007D2940" w:rsidP="007D2940">
      <w:pPr>
        <w:pStyle w:val="RKnormal"/>
        <w:rPr>
          <w:bCs/>
          <w:iCs/>
        </w:rPr>
      </w:pPr>
      <w:r w:rsidRPr="00464A9B">
        <w:rPr>
          <w:bCs/>
          <w:iCs/>
        </w:rPr>
        <w:t>För att främja de fastslagna infrastrukturprioriteringarna föreslår kommissionen en rad åtgärder. Förslaget syftar till att främja s.k. ”projekt av allmänt intresse” (PCI) inom tolv prioriterade geografiska</w:t>
      </w:r>
      <w:r w:rsidR="00D96793" w:rsidRPr="00464A9B">
        <w:rPr>
          <w:bCs/>
          <w:iCs/>
        </w:rPr>
        <w:t xml:space="preserve"> korridorer och områden. Fyra </w:t>
      </w:r>
      <w:r w:rsidRPr="00464A9B">
        <w:rPr>
          <w:bCs/>
          <w:iCs/>
        </w:rPr>
        <w:t>av korridorerna tillhör elsektorn, fyra gassektorn och en korridor gäller olja. Förutom dessa nio geografiska korridorer finns även tre mer generella prioriterade områden vilka innefattar smarta elnät,  ”motorvägar för el” samt gränsöverskridande koldioxidnät. För att ett projekt ska få status PCI krävs att ett antal grundläggande kriterier är uppfyllda.</w:t>
      </w:r>
    </w:p>
    <w:p w:rsidR="007D2940" w:rsidRPr="00464A9B" w:rsidRDefault="007D2940" w:rsidP="007D2940">
      <w:pPr>
        <w:pStyle w:val="RKnormal"/>
        <w:rPr>
          <w:bCs/>
          <w:iCs/>
        </w:rPr>
      </w:pPr>
    </w:p>
    <w:p w:rsidR="007D2940" w:rsidRPr="00464A9B" w:rsidRDefault="007D2940" w:rsidP="007D2940">
      <w:pPr>
        <w:pStyle w:val="RKnormal"/>
        <w:rPr>
          <w:bCs/>
          <w:iCs/>
        </w:rPr>
      </w:pPr>
      <w:r w:rsidRPr="00464A9B">
        <w:rPr>
          <w:bCs/>
          <w:iCs/>
        </w:rPr>
        <w:t>Projekten som kvalificeras till PCI ska enligt förslaget till förordning främjas genom att först och främst få en hög nationell prioritet. En ny metod för planering av energiinfrastruktur föreslås och PCI ska omfattas av en snabbare tillståndsprocess där en tidsgräns för tillståndsgivningen föreslås till maximalt tre år. Ett nytt regelverk kring nätreglering föreslås där kostnader ska kunna allokeras dit nyttovärden uppkommer. Projekten ska även kunna få finansiellt stöd genom den sk. ”Connecting Europe Facility” (KOM(2011) 655). Finansiering ska först och främst kunna ges för studier men även i vissa fall för genomförande av projekt.</w:t>
      </w:r>
    </w:p>
    <w:p w:rsidR="007D2940" w:rsidRPr="00464A9B" w:rsidRDefault="007D2940" w:rsidP="007D2940">
      <w:pPr>
        <w:pStyle w:val="RKnormal"/>
        <w:rPr>
          <w:bCs/>
          <w:iCs/>
        </w:rPr>
      </w:pPr>
    </w:p>
    <w:p w:rsidR="007D2940" w:rsidRPr="00464A9B" w:rsidRDefault="00D96793" w:rsidP="007D2940">
      <w:pPr>
        <w:pStyle w:val="RKnormal"/>
        <w:rPr>
          <w:bCs/>
          <w:iCs/>
        </w:rPr>
      </w:pPr>
      <w:r w:rsidRPr="00464A9B">
        <w:rPr>
          <w:bCs/>
          <w:iCs/>
        </w:rPr>
        <w:t>Diskussionen på TTE-rådet</w:t>
      </w:r>
      <w:r w:rsidR="007D2940" w:rsidRPr="00464A9B">
        <w:rPr>
          <w:bCs/>
          <w:iCs/>
        </w:rPr>
        <w:t xml:space="preserve"> kommer att utgå från tv</w:t>
      </w:r>
      <w:r w:rsidRPr="00464A9B">
        <w:rPr>
          <w:bCs/>
          <w:iCs/>
        </w:rPr>
        <w:t xml:space="preserve">å frågor från ordförandeskapet, vilka </w:t>
      </w:r>
      <w:r w:rsidR="007D2940" w:rsidRPr="00464A9B">
        <w:rPr>
          <w:bCs/>
          <w:iCs/>
        </w:rPr>
        <w:t>täcker dels den metod som ska användas för att identifiera PCI och dels huruvida de förslagna åtgärderna är tillräckliga för att få till stånd den efterfrågade infrastrukturen.</w:t>
      </w:r>
    </w:p>
    <w:p w:rsidR="007D2940" w:rsidRPr="00464A9B" w:rsidRDefault="007D2940" w:rsidP="007D2940">
      <w:pPr>
        <w:pStyle w:val="RKnormal"/>
        <w:rPr>
          <w:bCs/>
          <w:iCs/>
        </w:rPr>
      </w:pPr>
      <w:r w:rsidRPr="00464A9B">
        <w:rPr>
          <w:bCs/>
          <w:iCs/>
        </w:rPr>
        <w:tab/>
      </w:r>
    </w:p>
    <w:p w:rsidR="007D2940" w:rsidRPr="00464A9B" w:rsidRDefault="007D2940" w:rsidP="007D2940">
      <w:pPr>
        <w:rPr>
          <w:u w:val="single"/>
        </w:rPr>
      </w:pPr>
      <w:r w:rsidRPr="00464A9B">
        <w:rPr>
          <w:u w:val="single"/>
        </w:rPr>
        <w:t>Förslag till svensk ståndpunkt</w:t>
      </w:r>
    </w:p>
    <w:p w:rsidR="007D2940" w:rsidRPr="00464A9B" w:rsidRDefault="007D2940" w:rsidP="007A678A">
      <w:pPr>
        <w:pStyle w:val="RKnormal"/>
        <w:rPr>
          <w:bCs/>
          <w:iCs/>
        </w:rPr>
      </w:pPr>
      <w:r w:rsidRPr="00464A9B">
        <w:rPr>
          <w:bCs/>
          <w:iCs/>
        </w:rPr>
        <w:t>Regeringen välkomnar att kommissionen uppmärksammar den viktiga roll energiinfrastr</w:t>
      </w:r>
      <w:r w:rsidR="00D96793" w:rsidRPr="00464A9B">
        <w:rPr>
          <w:bCs/>
          <w:iCs/>
        </w:rPr>
        <w:t>uktur har för att bidra till</w:t>
      </w:r>
      <w:r w:rsidRPr="00464A9B">
        <w:rPr>
          <w:bCs/>
          <w:iCs/>
        </w:rPr>
        <w:t xml:space="preserve"> konkurrenskraft, försörjningstrygghet och hållbarhet. Regeringen framhåller särskilt vikten av att den europeiska energiinfrastrukturen ska bidra till att uppnå EU:s klimat- och energimål inom EU2020-strategin. </w:t>
      </w:r>
    </w:p>
    <w:p w:rsidR="007D2940" w:rsidRPr="00464A9B" w:rsidRDefault="007D2940" w:rsidP="007A678A">
      <w:pPr>
        <w:pStyle w:val="RKnormal"/>
        <w:rPr>
          <w:bCs/>
          <w:iCs/>
        </w:rPr>
      </w:pPr>
      <w:r w:rsidRPr="00464A9B">
        <w:rPr>
          <w:bCs/>
          <w:iCs/>
        </w:rPr>
        <w:t xml:space="preserve"> </w:t>
      </w:r>
    </w:p>
    <w:p w:rsidR="007D2940" w:rsidRPr="00464A9B" w:rsidRDefault="007D2940" w:rsidP="007A678A">
      <w:pPr>
        <w:pStyle w:val="RKnormal"/>
        <w:rPr>
          <w:bCs/>
          <w:iCs/>
        </w:rPr>
      </w:pPr>
      <w:r w:rsidRPr="00464A9B">
        <w:rPr>
          <w:bCs/>
          <w:iCs/>
        </w:rPr>
        <w:t>Regeringen välkomnar att det tredje inre marknadspaketet för de europeiska energimarknaderna betonas som ett sätt att stimulera utbyg</w:t>
      </w:r>
      <w:r w:rsidR="00D96793" w:rsidRPr="00464A9B">
        <w:rPr>
          <w:bCs/>
          <w:iCs/>
        </w:rPr>
        <w:t xml:space="preserve">gnaden av energiinfrastruktur och </w:t>
      </w:r>
      <w:r w:rsidRPr="00464A9B">
        <w:rPr>
          <w:bCs/>
          <w:iCs/>
        </w:rPr>
        <w:t xml:space="preserve">anser att de åtgärder som föreslås ska utgöra ett komplement till det tredje inremarknadspaketets planeringsverktyg, snarare än att utgöra ett parallellt planeringssystem. </w:t>
      </w:r>
    </w:p>
    <w:p w:rsidR="007D2940" w:rsidRPr="00464A9B" w:rsidRDefault="007D2940" w:rsidP="007A678A">
      <w:pPr>
        <w:pStyle w:val="RKnormal"/>
        <w:rPr>
          <w:bCs/>
          <w:iCs/>
        </w:rPr>
      </w:pPr>
    </w:p>
    <w:p w:rsidR="007D2940" w:rsidRPr="00464A9B" w:rsidRDefault="007D2940" w:rsidP="007A678A">
      <w:pPr>
        <w:pStyle w:val="RKnormal"/>
        <w:rPr>
          <w:bCs/>
          <w:iCs/>
        </w:rPr>
      </w:pPr>
      <w:r w:rsidRPr="00464A9B">
        <w:rPr>
          <w:bCs/>
          <w:iCs/>
        </w:rPr>
        <w:t xml:space="preserve">Regeringen välkomnar förslaget om utvecklade riktlinjer för fördelning av kostnader i gränsöverskridande projekt där nyttan av en  investering i ett land hamnar i ett annat. Detta är ett förslag med potential att lösa ett stort problem vid vissa gränsöverskridande projekt. </w:t>
      </w:r>
    </w:p>
    <w:p w:rsidR="007D2940" w:rsidRPr="00464A9B" w:rsidRDefault="007D2940" w:rsidP="007A678A">
      <w:pPr>
        <w:pStyle w:val="RKnormal"/>
        <w:rPr>
          <w:bCs/>
          <w:iCs/>
        </w:rPr>
      </w:pPr>
    </w:p>
    <w:p w:rsidR="007D2940" w:rsidRPr="00464A9B" w:rsidRDefault="007D2940" w:rsidP="007A678A">
      <w:pPr>
        <w:pStyle w:val="RKnormal"/>
        <w:rPr>
          <w:bCs/>
          <w:iCs/>
        </w:rPr>
      </w:pPr>
      <w:r w:rsidRPr="00464A9B">
        <w:rPr>
          <w:bCs/>
          <w:iCs/>
        </w:rPr>
        <w:t>Regeringen anser att grundprincipen alltjämt bör vara att marknadens aktörer ska ansvara för beslut om, och finansiering av, ny infrastruktur. Därför kommer Regeringen att verka för noggrant utformade kriterier för när finansiellt stöd kan bli aktuellt.</w:t>
      </w:r>
    </w:p>
    <w:p w:rsidR="007D2940" w:rsidRPr="00464A9B" w:rsidRDefault="007D2940" w:rsidP="00B17ED9">
      <w:pPr>
        <w:spacing w:line="240" w:lineRule="auto"/>
        <w:ind w:left="567" w:hanging="567"/>
        <w:rPr>
          <w:iCs/>
          <w:color w:val="000000"/>
        </w:rPr>
      </w:pPr>
    </w:p>
    <w:p w:rsidR="00B17ED9" w:rsidRPr="00464A9B" w:rsidRDefault="00B17ED9" w:rsidP="00CD796D">
      <w:pPr>
        <w:spacing w:line="240" w:lineRule="auto"/>
        <w:rPr>
          <w:iCs/>
          <w:color w:val="000000"/>
          <w:u w:val="single"/>
        </w:rPr>
      </w:pPr>
    </w:p>
    <w:p w:rsidR="00CD796D" w:rsidRPr="00464A9B" w:rsidRDefault="00CD796D" w:rsidP="00CD796D">
      <w:pPr>
        <w:spacing w:line="240" w:lineRule="auto"/>
        <w:outlineLvl w:val="0"/>
        <w:rPr>
          <w:b/>
          <w:iCs/>
          <w:color w:val="000000"/>
          <w:u w:val="single"/>
        </w:rPr>
      </w:pPr>
      <w:r w:rsidRPr="00464A9B">
        <w:rPr>
          <w:b/>
          <w:iCs/>
          <w:color w:val="000000"/>
          <w:u w:val="single"/>
        </w:rPr>
        <w:t>Icke lagstiftande verksamhet</w:t>
      </w:r>
    </w:p>
    <w:p w:rsidR="00CD796D" w:rsidRPr="00464A9B" w:rsidRDefault="00CD796D" w:rsidP="00CD796D">
      <w:pPr>
        <w:spacing w:line="240" w:lineRule="auto"/>
        <w:rPr>
          <w:iCs/>
          <w:color w:val="000000"/>
        </w:rPr>
      </w:pPr>
    </w:p>
    <w:p w:rsidR="00CD796D" w:rsidRPr="00464A9B" w:rsidRDefault="00B17ED9" w:rsidP="00CD796D">
      <w:pPr>
        <w:spacing w:line="240" w:lineRule="auto"/>
        <w:rPr>
          <w:b/>
          <w:bCs/>
        </w:rPr>
      </w:pPr>
      <w:r w:rsidRPr="00464A9B">
        <w:rPr>
          <w:b/>
          <w:bCs/>
        </w:rPr>
        <w:t>6</w:t>
      </w:r>
      <w:r w:rsidR="00CD796D" w:rsidRPr="00464A9B">
        <w:rPr>
          <w:b/>
          <w:bCs/>
        </w:rPr>
        <w:t>.</w:t>
      </w:r>
      <w:r w:rsidR="00CD796D" w:rsidRPr="00464A9B">
        <w:rPr>
          <w:b/>
          <w:bCs/>
        </w:rPr>
        <w:tab/>
        <w:t>(ev.) Godkännande av A-punktslistan</w:t>
      </w:r>
    </w:p>
    <w:p w:rsidR="00CD796D" w:rsidRPr="00464A9B" w:rsidRDefault="00CD796D" w:rsidP="00CD796D">
      <w:pPr>
        <w:spacing w:line="240" w:lineRule="auto"/>
        <w:rPr>
          <w:iCs/>
          <w:color w:val="000000"/>
        </w:rPr>
      </w:pPr>
    </w:p>
    <w:p w:rsidR="00797095" w:rsidRPr="00464A9B" w:rsidRDefault="00797095" w:rsidP="00797095">
      <w:pPr>
        <w:pStyle w:val="Normalwebb"/>
        <w:ind w:left="567" w:hanging="567"/>
        <w:rPr>
          <w:b/>
          <w:lang w:val="sv-SE"/>
        </w:rPr>
      </w:pPr>
      <w:r w:rsidRPr="00464A9B">
        <w:rPr>
          <w:b/>
          <w:lang w:val="sv-SE"/>
        </w:rPr>
        <w:t>7.</w:t>
      </w:r>
      <w:r w:rsidRPr="00464A9B">
        <w:rPr>
          <w:b/>
          <w:lang w:val="sv-SE"/>
        </w:rPr>
        <w:tab/>
        <w:t xml:space="preserve">Uppföljning av Europeiska rådet </w:t>
      </w:r>
    </w:p>
    <w:p w:rsidR="00797095" w:rsidRPr="00464A9B" w:rsidRDefault="00797095" w:rsidP="00797095">
      <w:pPr>
        <w:spacing w:line="240" w:lineRule="auto"/>
        <w:ind w:left="1134" w:hanging="567"/>
        <w:jc w:val="both"/>
        <w:rPr>
          <w:i/>
          <w:color w:val="000000"/>
        </w:rPr>
      </w:pPr>
      <w:r w:rsidRPr="00464A9B">
        <w:rPr>
          <w:i/>
        </w:rPr>
        <w:t>–</w:t>
      </w:r>
      <w:r w:rsidR="00496097" w:rsidRPr="00464A9B">
        <w:rPr>
          <w:i/>
        </w:rPr>
        <w:t xml:space="preserve"> </w:t>
      </w:r>
      <w:r w:rsidR="001A3F38" w:rsidRPr="00464A9B">
        <w:rPr>
          <w:i/>
        </w:rPr>
        <w:tab/>
      </w:r>
      <w:r w:rsidRPr="00464A9B">
        <w:rPr>
          <w:i/>
          <w:color w:val="000000"/>
        </w:rPr>
        <w:t>Ordförandeskapets lägesrapport</w:t>
      </w:r>
    </w:p>
    <w:p w:rsidR="00797095" w:rsidRPr="00464A9B" w:rsidRDefault="00797095" w:rsidP="001A3F38">
      <w:pPr>
        <w:tabs>
          <w:tab w:val="left" w:pos="1985"/>
        </w:tabs>
        <w:ind w:firstLine="567"/>
        <w:rPr>
          <w:rFonts w:cs="OrigGarmnd BT"/>
          <w:color w:val="000000"/>
        </w:rPr>
      </w:pPr>
      <w:r w:rsidRPr="00464A9B">
        <w:rPr>
          <w:rFonts w:cs="OrigGarmnd BT"/>
          <w:color w:val="000000"/>
        </w:rPr>
        <w:t>16180/11 ENER 346 ATO 128 POLGEN 178</w:t>
      </w:r>
    </w:p>
    <w:p w:rsidR="00797095" w:rsidRPr="00464A9B" w:rsidRDefault="00797095" w:rsidP="00797095">
      <w:pPr>
        <w:tabs>
          <w:tab w:val="left" w:pos="2835"/>
        </w:tabs>
      </w:pPr>
    </w:p>
    <w:p w:rsidR="00797095" w:rsidRPr="00464A9B" w:rsidRDefault="00797095" w:rsidP="00797095">
      <w:pPr>
        <w:tabs>
          <w:tab w:val="left" w:pos="2835"/>
        </w:tabs>
      </w:pPr>
      <w:r w:rsidRPr="00464A9B">
        <w:t>Frågan har inte behandlades i  EU-nämnden tidigare.</w:t>
      </w:r>
    </w:p>
    <w:p w:rsidR="00797095" w:rsidRPr="00464A9B" w:rsidRDefault="00797095" w:rsidP="00797095"/>
    <w:p w:rsidR="00797095" w:rsidRPr="00464A9B" w:rsidRDefault="00797095" w:rsidP="00797095">
      <w:pPr>
        <w:rPr>
          <w:u w:val="single"/>
        </w:rPr>
      </w:pPr>
      <w:r w:rsidRPr="00464A9B">
        <w:rPr>
          <w:u w:val="single"/>
        </w:rPr>
        <w:t>Bakgrund</w:t>
      </w:r>
    </w:p>
    <w:p w:rsidR="00797095" w:rsidRPr="00464A9B" w:rsidRDefault="00797095" w:rsidP="00797095">
      <w:pPr>
        <w:pStyle w:val="RKnormal"/>
        <w:rPr>
          <w:bCs/>
          <w:iCs/>
        </w:rPr>
      </w:pPr>
      <w:r w:rsidRPr="00464A9B">
        <w:rPr>
          <w:bCs/>
          <w:iCs/>
        </w:rPr>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Som grund för en ny energipolitisk handlingsplan 2011-2020 presenterade EU-kommissionen i november 2010 ett meddelande med förslag till </w:t>
      </w:r>
      <w:r w:rsidR="00B76AC0" w:rsidRPr="00464A9B">
        <w:rPr>
          <w:bCs/>
          <w:iCs/>
        </w:rPr>
        <w:t xml:space="preserve">en </w:t>
      </w:r>
      <w:r w:rsidRPr="00464A9B">
        <w:rPr>
          <w:bCs/>
          <w:iCs/>
        </w:rPr>
        <w:t xml:space="preserve">ny övergripande energipolitisk strategi och ett meddelande om infrastrukturprioriteringar för 2020 och därefter. </w:t>
      </w:r>
    </w:p>
    <w:p w:rsidR="00797095" w:rsidRPr="00464A9B" w:rsidRDefault="00797095" w:rsidP="00797095">
      <w:pPr>
        <w:pStyle w:val="RKnormal"/>
        <w:rPr>
          <w:bCs/>
        </w:rPr>
      </w:pPr>
    </w:p>
    <w:p w:rsidR="00797095" w:rsidRPr="00464A9B" w:rsidRDefault="00797095" w:rsidP="00797095">
      <w:r w:rsidRPr="00464A9B">
        <w:t xml:space="preserve">Vid Europeiska rådet den 4 februari 2011 antogs slutsatser på basis av dessa två meddelanden. Slutsatserna betonar vikten av samtliga tre pelare i den europeiska energipolitiken; konkurrenskraft, miljömässig hållbarhet och försörjningstrygghet. På infrastrukturområdet slår slutsatserna fast att inget medlemsland bör vara isolerat från EU:s gas och elnätverk efter 2015, att den inre marknaden ska vara fullbordad 2014, samt att viss begränsad statlig finansiering kan krävas för vissa investeringar för försörjningstrygghet. Vidare </w:t>
      </w:r>
      <w:r w:rsidR="00B76AC0" w:rsidRPr="00464A9B">
        <w:t>betona</w:t>
      </w:r>
      <w:r w:rsidRPr="00464A9B">
        <w:t>s betydelsen av energieffektivisering, förnybar energi och forskning och utveckling för att nå 202020-målen. Målet om 80-95% minskningar i utsläppen av växt</w:t>
      </w:r>
      <w:r w:rsidR="00B76AC0" w:rsidRPr="00464A9B">
        <w:t>husgaser till 2050 återupprepa</w:t>
      </w:r>
      <w:r w:rsidRPr="00464A9B">
        <w:t>s och en bättre koordinering i extern</w:t>
      </w:r>
      <w:r w:rsidR="00B76AC0" w:rsidRPr="00464A9B">
        <w:t>a energirelationer efterfråga</w:t>
      </w:r>
      <w:r w:rsidRPr="00464A9B">
        <w:t>s.</w:t>
      </w:r>
    </w:p>
    <w:p w:rsidR="00797095" w:rsidRPr="00464A9B" w:rsidRDefault="00797095" w:rsidP="00797095"/>
    <w:p w:rsidR="00797095" w:rsidRPr="00464A9B" w:rsidRDefault="00797095" w:rsidP="00797095">
      <w:r w:rsidRPr="00464A9B">
        <w:t>Vid Europeiska rådet den 9 december kommer dessa slutsatser att följas upp. Energirådet den 24 november har till uppgift att förbereda en lägesrapport till Europeiska rådet som redovisar vilka framsteg som gjorts på energiområdet sedan februari. Ordförandeskapets rapport går igenom de förslag som hittills presenterats.</w:t>
      </w:r>
    </w:p>
    <w:p w:rsidR="00797095" w:rsidRPr="00464A9B" w:rsidRDefault="00797095" w:rsidP="00797095"/>
    <w:p w:rsidR="00797095" w:rsidRPr="00464A9B" w:rsidRDefault="00797095" w:rsidP="00797095">
      <w:pPr>
        <w:rPr>
          <w:u w:val="single"/>
        </w:rPr>
      </w:pPr>
      <w:r w:rsidRPr="00464A9B">
        <w:rPr>
          <w:u w:val="single"/>
        </w:rPr>
        <w:t>Förslag till svensk ståndpunkt</w:t>
      </w:r>
    </w:p>
    <w:p w:rsidR="00797095" w:rsidRPr="00464A9B" w:rsidRDefault="00797095" w:rsidP="00797095">
      <w:r w:rsidRPr="00464A9B">
        <w:t xml:space="preserve">Regeringen kan godkänna lägesrapporten. </w:t>
      </w:r>
    </w:p>
    <w:p w:rsidR="00797095" w:rsidRPr="00464A9B" w:rsidRDefault="00797095" w:rsidP="00797095"/>
    <w:p w:rsidR="00CD796D" w:rsidRPr="00464A9B" w:rsidRDefault="00CD796D" w:rsidP="00CD796D">
      <w:pPr>
        <w:spacing w:line="240" w:lineRule="auto"/>
        <w:rPr>
          <w:color w:val="000000"/>
        </w:rPr>
      </w:pPr>
    </w:p>
    <w:p w:rsidR="00453CD3" w:rsidRPr="00464A9B" w:rsidRDefault="00453CD3" w:rsidP="00453CD3">
      <w:pPr>
        <w:pStyle w:val="Normalwebb"/>
        <w:ind w:left="567" w:hanging="567"/>
        <w:rPr>
          <w:b/>
          <w:lang w:val="sv-SE"/>
        </w:rPr>
      </w:pPr>
      <w:r w:rsidRPr="00464A9B">
        <w:rPr>
          <w:b/>
          <w:lang w:val="sv-SE"/>
        </w:rPr>
        <w:t>8.</w:t>
      </w:r>
      <w:r w:rsidRPr="00464A9B">
        <w:rPr>
          <w:b/>
          <w:lang w:val="sv-SE"/>
        </w:rPr>
        <w:tab/>
        <w:t xml:space="preserve">EU:s externa relationer på energiområdet </w:t>
      </w:r>
    </w:p>
    <w:p w:rsidR="00453CD3" w:rsidRPr="00464A9B" w:rsidRDefault="005D4D22" w:rsidP="00453CD3">
      <w:pPr>
        <w:spacing w:line="240" w:lineRule="auto"/>
        <w:ind w:left="1134" w:hanging="567"/>
        <w:jc w:val="both"/>
        <w:rPr>
          <w:i/>
        </w:rPr>
      </w:pPr>
      <w:r w:rsidRPr="00464A9B">
        <w:rPr>
          <w:i/>
        </w:rPr>
        <w:t>-</w:t>
      </w:r>
      <w:r w:rsidRPr="00464A9B">
        <w:rPr>
          <w:i/>
        </w:rPr>
        <w:tab/>
      </w:r>
      <w:r w:rsidR="00453CD3" w:rsidRPr="00464A9B">
        <w:rPr>
          <w:i/>
        </w:rPr>
        <w:t>Antagande av rådsslutsatser om EU:s externa energipolitik.</w:t>
      </w:r>
    </w:p>
    <w:p w:rsidR="005D4D22" w:rsidRPr="00464A9B" w:rsidRDefault="005D4D22" w:rsidP="005D4D22">
      <w:pPr>
        <w:spacing w:line="240" w:lineRule="auto"/>
        <w:ind w:left="1134" w:hanging="567"/>
        <w:jc w:val="both"/>
        <w:rPr>
          <w:i/>
          <w:color w:val="000000"/>
        </w:rPr>
      </w:pPr>
      <w:r w:rsidRPr="00464A9B">
        <w:rPr>
          <w:i/>
        </w:rPr>
        <w:t>-</w:t>
      </w:r>
      <w:r w:rsidRPr="00464A9B">
        <w:rPr>
          <w:i/>
        </w:rPr>
        <w:tab/>
      </w:r>
      <w:r w:rsidR="00453CD3" w:rsidRPr="00464A9B">
        <w:rPr>
          <w:i/>
          <w:color w:val="000000"/>
        </w:rPr>
        <w:t>Information om läget i en rad internationella frågor</w:t>
      </w:r>
    </w:p>
    <w:p w:rsidR="00453CD3" w:rsidRPr="00464A9B" w:rsidRDefault="00453CD3" w:rsidP="005D4D22">
      <w:pPr>
        <w:spacing w:line="240" w:lineRule="auto"/>
        <w:ind w:left="1134" w:hanging="567"/>
        <w:jc w:val="both"/>
        <w:rPr>
          <w:i/>
          <w:color w:val="000000"/>
        </w:rPr>
      </w:pPr>
      <w:r w:rsidRPr="00464A9B">
        <w:rPr>
          <w:color w:val="000000"/>
          <w:szCs w:val="24"/>
        </w:rPr>
        <w:t>13941/11 ENER 282 RELEX 884</w:t>
      </w:r>
    </w:p>
    <w:p w:rsidR="00453CD3" w:rsidRPr="00464A9B" w:rsidRDefault="00453CD3" w:rsidP="00453CD3">
      <w:pPr>
        <w:tabs>
          <w:tab w:val="left" w:pos="2835"/>
        </w:tabs>
        <w:rPr>
          <w:rFonts w:cs="OrigGarmnd BT"/>
          <w:color w:val="000000"/>
        </w:rPr>
      </w:pPr>
    </w:p>
    <w:p w:rsidR="00453CD3" w:rsidRPr="00464A9B" w:rsidRDefault="00453CD3" w:rsidP="00453CD3">
      <w:pPr>
        <w:tabs>
          <w:tab w:val="left" w:pos="2835"/>
        </w:tabs>
      </w:pPr>
      <w:r w:rsidRPr="00464A9B">
        <w:t>Frågan har inte behandlades i EU-nämnden tidigare.</w:t>
      </w:r>
    </w:p>
    <w:p w:rsidR="00453CD3" w:rsidRPr="00464A9B" w:rsidRDefault="00453CD3" w:rsidP="00453CD3"/>
    <w:p w:rsidR="00453CD3" w:rsidRPr="00464A9B" w:rsidRDefault="00453CD3" w:rsidP="00453CD3">
      <w:pPr>
        <w:rPr>
          <w:u w:val="single"/>
        </w:rPr>
      </w:pPr>
      <w:r w:rsidRPr="00464A9B">
        <w:rPr>
          <w:u w:val="single"/>
        </w:rPr>
        <w:t>Bakgrund</w:t>
      </w:r>
    </w:p>
    <w:p w:rsidR="000F2D11" w:rsidRPr="00464A9B" w:rsidRDefault="000F2D11" w:rsidP="00453CD3">
      <w:pPr>
        <w:rPr>
          <w:u w:val="single"/>
        </w:rPr>
      </w:pPr>
    </w:p>
    <w:p w:rsidR="00453CD3" w:rsidRPr="00464A9B" w:rsidRDefault="00256C97" w:rsidP="00453CD3">
      <w:pPr>
        <w:jc w:val="both"/>
        <w:rPr>
          <w:i/>
        </w:rPr>
      </w:pPr>
      <w:r w:rsidRPr="00464A9B">
        <w:rPr>
          <w:i/>
        </w:rPr>
        <w:t>-</w:t>
      </w:r>
      <w:r w:rsidR="00453CD3" w:rsidRPr="00464A9B">
        <w:rPr>
          <w:i/>
        </w:rPr>
        <w:t>Rådsslutsatser om EU:s externa energipolitik</w:t>
      </w:r>
    </w:p>
    <w:p w:rsidR="000F2D11" w:rsidRPr="00464A9B" w:rsidRDefault="000F2D11" w:rsidP="00453CD3">
      <w:pPr>
        <w:jc w:val="both"/>
        <w:rPr>
          <w:i/>
        </w:rPr>
      </w:pPr>
    </w:p>
    <w:p w:rsidR="00256C97" w:rsidRPr="00464A9B" w:rsidRDefault="00453CD3" w:rsidP="00453CD3">
      <w:r w:rsidRPr="00464A9B">
        <w:t xml:space="preserve">Vid Europeiska rådet den 4 februari 2011 antogs slutsatser i vilka man </w:t>
      </w:r>
    </w:p>
    <w:p w:rsidR="00453CD3" w:rsidRPr="00464A9B" w:rsidRDefault="00256C97" w:rsidP="00453CD3">
      <w:r w:rsidRPr="00464A9B">
        <w:t>bl a</w:t>
      </w:r>
      <w:r w:rsidR="00453CD3" w:rsidRPr="00464A9B">
        <w:t xml:space="preserve"> konstaterar att unionen</w:t>
      </w:r>
      <w:r w:rsidRPr="00464A9B">
        <w:t>s</w:t>
      </w:r>
      <w:r w:rsidR="00453CD3" w:rsidRPr="00464A9B">
        <w:t xml:space="preserve"> och medlemsstaternas verksamhet behöver samordnas bättre för att EU:s externa förbindelser med de viktigare producent-, transit- och konsumentländerna ska bli </w:t>
      </w:r>
      <w:r w:rsidRPr="00464A9B">
        <w:t xml:space="preserve">enhetliga och konsekventa. </w:t>
      </w:r>
      <w:r w:rsidR="00453CD3" w:rsidRPr="00464A9B">
        <w:t xml:space="preserve"> </w:t>
      </w:r>
      <w:r w:rsidRPr="00464A9B">
        <w:t>K</w:t>
      </w:r>
      <w:r w:rsidR="00453CD3" w:rsidRPr="00464A9B">
        <w:t xml:space="preserve">ommissionen </w:t>
      </w:r>
      <w:r w:rsidRPr="00464A9B">
        <w:t>ombads</w:t>
      </w:r>
      <w:r w:rsidR="00453CD3" w:rsidRPr="00464A9B">
        <w:t xml:space="preserve"> ta fram ett meddelande med förslag på åtgärder till juni 2011. I såväl slutsatserna från Europeiska rådet den 4 februari som </w:t>
      </w:r>
      <w:r w:rsidRPr="00464A9B">
        <w:t xml:space="preserve">vid </w:t>
      </w:r>
      <w:r w:rsidR="00453CD3" w:rsidRPr="00464A9B">
        <w:t>TTE-råd</w:t>
      </w:r>
      <w:r w:rsidRPr="00464A9B">
        <w:t>et den 28 februari framhålls</w:t>
      </w:r>
      <w:r w:rsidR="00453CD3" w:rsidRPr="00464A9B">
        <w:t xml:space="preserve"> behov av en förbättrad EU-koordinering i olika internationella fora. </w:t>
      </w:r>
    </w:p>
    <w:p w:rsidR="00052F04" w:rsidRPr="00464A9B" w:rsidRDefault="00052F04" w:rsidP="00453CD3"/>
    <w:p w:rsidR="00453CD3" w:rsidRPr="00464A9B" w:rsidRDefault="00453CD3" w:rsidP="00453CD3">
      <w:r w:rsidRPr="00464A9B">
        <w:t xml:space="preserve">Kommissionen presenterade ett meddelande om den externa dimensionen av EU:s energipolitik den 7 september. Meddelandet åtföljdes av ett förslag till beslut om att inrätta en mekanism för informationsutbyte om avtal med tredjeländer på energiområdet som dock inte </w:t>
      </w:r>
      <w:r w:rsidR="00052F04" w:rsidRPr="00464A9B">
        <w:t xml:space="preserve">kommer att </w:t>
      </w:r>
      <w:r w:rsidR="00067B85" w:rsidRPr="00464A9B">
        <w:t>behandlas vid detta TTE-råd.</w:t>
      </w:r>
      <w:r w:rsidRPr="00464A9B">
        <w:t xml:space="preserve"> </w:t>
      </w:r>
    </w:p>
    <w:p w:rsidR="00453CD3" w:rsidRPr="00464A9B" w:rsidRDefault="00453CD3" w:rsidP="00453CD3"/>
    <w:p w:rsidR="00453CD3" w:rsidRPr="00464A9B" w:rsidRDefault="00453CD3" w:rsidP="00453CD3">
      <w:r w:rsidRPr="00464A9B">
        <w:t>Frågan om EU:s externa politik har varit högt prioriterad av det polska ordförandeska</w:t>
      </w:r>
      <w:r w:rsidR="00067B85" w:rsidRPr="00464A9B">
        <w:t>pet och målet har varit att på</w:t>
      </w:r>
      <w:r w:rsidRPr="00464A9B">
        <w:t xml:space="preserve"> TTE-rådet</w:t>
      </w:r>
      <w:r w:rsidR="00067B85" w:rsidRPr="00464A9B">
        <w:t xml:space="preserve"> anta rådsslutsatser. </w:t>
      </w:r>
    </w:p>
    <w:p w:rsidR="00453CD3" w:rsidRPr="00464A9B" w:rsidRDefault="00067B85" w:rsidP="00453CD3">
      <w:r w:rsidRPr="00464A9B">
        <w:t>Slutsatserna</w:t>
      </w:r>
      <w:r w:rsidR="00453CD3" w:rsidRPr="00464A9B">
        <w:t xml:space="preserve"> följer </w:t>
      </w:r>
      <w:r w:rsidRPr="00464A9B">
        <w:t xml:space="preserve">det upplägg </w:t>
      </w:r>
      <w:r w:rsidR="00453CD3" w:rsidRPr="00464A9B">
        <w:t xml:space="preserve">som presenterades i meddelandet. Den externa dimensionen av EU:s energipolitik ska stärkas för att bidra till en väl fungerande inre energimarknad och EU:s försörjningstrygghet. Detta ska uppnås genom bl.a. ökad marknadsintegration och regelharmonisering med närliggande länder, EU-koordinering i särskilt viktiga frågor och ett fördjupat partnerskap med strategiskt viktiga länder. Sammantaget ska EU framöver bli mer strategisk och konsekvent i relationen till andra länder och internationella organisationer. </w:t>
      </w:r>
    </w:p>
    <w:p w:rsidR="000F2D11" w:rsidRPr="00464A9B" w:rsidRDefault="000F2D11" w:rsidP="00453CD3"/>
    <w:p w:rsidR="000F2D11" w:rsidRPr="00464A9B" w:rsidRDefault="000F2D11" w:rsidP="000F2D11">
      <w:pPr>
        <w:rPr>
          <w:u w:val="single"/>
        </w:rPr>
      </w:pPr>
      <w:r w:rsidRPr="00464A9B">
        <w:rPr>
          <w:u w:val="single"/>
        </w:rPr>
        <w:t>Förslag till svensk ståndpunkt</w:t>
      </w:r>
    </w:p>
    <w:p w:rsidR="000F2D11" w:rsidRPr="00464A9B" w:rsidRDefault="000F2D11" w:rsidP="000F2D11">
      <w:r w:rsidRPr="00464A9B">
        <w:t xml:space="preserve">Regeringen kan godkänna antagandet av rådsslutssatser om EU:s energipolitik. </w:t>
      </w:r>
    </w:p>
    <w:p w:rsidR="000F2D11" w:rsidRPr="00464A9B" w:rsidRDefault="000F2D11" w:rsidP="000F2D11">
      <w:r w:rsidRPr="00464A9B">
        <w:t>Regeringen har under förhandlingarna drivit att försörjningstrygghet som begrepp inte enbart får handla om en diversifiering av nya</w:t>
      </w:r>
    </w:p>
    <w:p w:rsidR="000F2D11" w:rsidRPr="00464A9B" w:rsidRDefault="000F2D11" w:rsidP="000F2D11">
      <w:r w:rsidRPr="00464A9B">
        <w:t>försörjningsvägar av gas och olja utan att det även bör inbegripa</w:t>
      </w:r>
    </w:p>
    <w:p w:rsidR="000F2D11" w:rsidRPr="00464A9B" w:rsidRDefault="000F2D11" w:rsidP="000F2D11">
      <w:r w:rsidRPr="00464A9B">
        <w:t>satsningar som innebär ett minskat importberoende genom åtgärder som</w:t>
      </w:r>
    </w:p>
    <w:p w:rsidR="000F2D11" w:rsidRPr="00464A9B" w:rsidRDefault="000F2D11" w:rsidP="000F2D11">
      <w:r w:rsidRPr="00464A9B">
        <w:t>främjar utvecklingen av förnybara energikällor och energieffektivisering.</w:t>
      </w:r>
    </w:p>
    <w:p w:rsidR="000F2D11" w:rsidRPr="00464A9B" w:rsidRDefault="000F2D11" w:rsidP="000F2D11">
      <w:r w:rsidRPr="00464A9B">
        <w:t>Regeringen har fått gehör för detta. Regeringen har också drivit att den</w:t>
      </w:r>
    </w:p>
    <w:p w:rsidR="000F2D11" w:rsidRPr="00464A9B" w:rsidRDefault="000F2D11" w:rsidP="000F2D11">
      <w:r w:rsidRPr="00464A9B">
        <w:t>externa dimensionen av EU:s energipolitik utformas så att den</w:t>
      </w:r>
    </w:p>
    <w:p w:rsidR="000F2D11" w:rsidRPr="00464A9B" w:rsidRDefault="000F2D11" w:rsidP="000F2D11">
      <w:r w:rsidRPr="00464A9B">
        <w:t>stödjer utvecklingen av EU:s inre energimarknad, t ex genom ökat samarbete inom regelharmonisering och marknadsintegration med närliggande länder.</w:t>
      </w:r>
    </w:p>
    <w:p w:rsidR="000F2D11" w:rsidRPr="00464A9B" w:rsidRDefault="000F2D11" w:rsidP="000F2D11"/>
    <w:p w:rsidR="000F2D11" w:rsidRPr="00464A9B" w:rsidRDefault="000F2D11" w:rsidP="000F2D11">
      <w:r w:rsidRPr="00464A9B">
        <w:t>Regeringen har också välkomnat förslag om att EU ska bli mer strategiskt i de externa förbindelserna. Regeringen har däremot ställt sig tveksam till förslag om en systematisk EU-koordinering i internationella fora och anser att detta bör göras utifrån en bedömning från fall till fall och baserat på bestämmelserna i fördragen och EU-praxis. Regeringen har även varit frågande till förslag till skrivningar om EU-finansierad infrastruktur eftersom det anses föregripa den diskussion som är aktuell för infrastrukturförordningen.</w:t>
      </w:r>
    </w:p>
    <w:p w:rsidR="00453CD3" w:rsidRPr="00464A9B" w:rsidRDefault="00453CD3" w:rsidP="00453CD3"/>
    <w:p w:rsidR="00453CD3" w:rsidRPr="00464A9B" w:rsidRDefault="00067B85" w:rsidP="00453CD3">
      <w:pPr>
        <w:rPr>
          <w:i/>
        </w:rPr>
      </w:pPr>
      <w:r w:rsidRPr="00464A9B">
        <w:rPr>
          <w:i/>
        </w:rPr>
        <w:t xml:space="preserve">- </w:t>
      </w:r>
      <w:r w:rsidR="00453CD3" w:rsidRPr="00464A9B">
        <w:rPr>
          <w:i/>
        </w:rPr>
        <w:t xml:space="preserve"> Information om läget i en rad internationella processer.</w:t>
      </w:r>
    </w:p>
    <w:p w:rsidR="000F2D11" w:rsidRPr="00464A9B" w:rsidRDefault="000F2D11" w:rsidP="00453CD3">
      <w:pPr>
        <w:rPr>
          <w:i/>
        </w:rPr>
      </w:pPr>
    </w:p>
    <w:p w:rsidR="00453CD3" w:rsidRPr="00464A9B" w:rsidRDefault="00453CD3" w:rsidP="00453CD3">
      <w:r w:rsidRPr="00464A9B">
        <w:t xml:space="preserve">TTE-rådet (energi) har traditionellt en stående punkt på </w:t>
      </w:r>
      <w:r w:rsidR="0060042B" w:rsidRPr="00464A9B">
        <w:t xml:space="preserve">dagordningen där läget i de löpande </w:t>
      </w:r>
      <w:r w:rsidRPr="00464A9B">
        <w:t>internationella energidialoger</w:t>
      </w:r>
      <w:r w:rsidR="0060042B" w:rsidRPr="00464A9B">
        <w:t>na</w:t>
      </w:r>
      <w:r w:rsidRPr="00464A9B">
        <w:t xml:space="preserve"> rapporteras. Syftet med de dialoger som förs är att utveckla goda relationer med EU:s energipartners för att på så sätt trygga EU:s framtida energiförsörjning och främja det internationella klimatarbetet. I dessa dialoger företräds EU vanligen av ordförandeskap</w:t>
      </w:r>
      <w:r w:rsidR="0060042B" w:rsidRPr="00464A9B">
        <w:t>et och kommissionen, som på TTE-rådet förväntas rapportera om nyligen genomförda</w:t>
      </w:r>
      <w:r w:rsidRPr="00464A9B">
        <w:t xml:space="preserve"> och kommande internationella möten. </w:t>
      </w:r>
    </w:p>
    <w:p w:rsidR="00453CD3" w:rsidRPr="00464A9B" w:rsidRDefault="00453CD3" w:rsidP="00453CD3"/>
    <w:p w:rsidR="00453CD3" w:rsidRPr="00464A9B" w:rsidRDefault="00453CD3" w:rsidP="00453CD3">
      <w:r w:rsidRPr="00464A9B">
        <w:t>På TTE-rådet den 24 november får ministrarna en lägesuppdatering om följande internationella förbindelser: EU-OPEC, Energigemenskapen för Sydöstra Europa, Södra korridoren, EU-USA, EU-Ryssland, Energistadgefördraget och IEA:s ministermöte.</w:t>
      </w:r>
    </w:p>
    <w:p w:rsidR="00453CD3" w:rsidRPr="00464A9B" w:rsidRDefault="00453CD3" w:rsidP="00453CD3"/>
    <w:p w:rsidR="000F2D11" w:rsidRPr="00464A9B" w:rsidRDefault="000F2D11" w:rsidP="000F2D11">
      <w:pPr>
        <w:rPr>
          <w:u w:val="single"/>
        </w:rPr>
      </w:pPr>
      <w:r w:rsidRPr="00464A9B">
        <w:rPr>
          <w:u w:val="single"/>
        </w:rPr>
        <w:t>Förslag till svensk ståndpunkt</w:t>
      </w:r>
    </w:p>
    <w:p w:rsidR="00453CD3" w:rsidRPr="00464A9B" w:rsidRDefault="00453CD3" w:rsidP="00453CD3">
      <w:r w:rsidRPr="00464A9B">
        <w:t>Detta är en informationspunkt och ingen diskussion väntas. Regeringen välkomnar att energiministrarna hålls informerade om de löpande externa energidialog</w:t>
      </w:r>
      <w:r w:rsidR="000F2D11" w:rsidRPr="00464A9B">
        <w:t>erna samt syftet med dessa, dvs</w:t>
      </w:r>
      <w:r w:rsidRPr="00464A9B">
        <w:t xml:space="preserve"> att utveckla goda relationer med EU:s energipartners för att på så sätt trygga energiförsörjning</w:t>
      </w:r>
      <w:r w:rsidR="000F2D11" w:rsidRPr="00464A9B">
        <w:t>en</w:t>
      </w:r>
      <w:r w:rsidRPr="00464A9B">
        <w:t xml:space="preserve"> samt ge EU stärkta möjligheter att verka för hållbar energi och klimatfrågor på det internationella planet.</w:t>
      </w:r>
    </w:p>
    <w:p w:rsidR="00F53DB3" w:rsidRPr="00464A9B" w:rsidRDefault="00F53DB3" w:rsidP="00453CD3"/>
    <w:p w:rsidR="00F53DB3" w:rsidRPr="00464A9B" w:rsidRDefault="00F53DB3" w:rsidP="00453CD3"/>
    <w:p w:rsidR="00F53DB3" w:rsidRPr="00464A9B" w:rsidRDefault="00F53DB3" w:rsidP="00F53DB3">
      <w:pPr>
        <w:spacing w:line="240" w:lineRule="auto"/>
        <w:ind w:left="567" w:hanging="567"/>
        <w:rPr>
          <w:b/>
          <w:color w:val="000000"/>
          <w:szCs w:val="24"/>
        </w:rPr>
      </w:pPr>
      <w:r w:rsidRPr="00464A9B">
        <w:rPr>
          <w:b/>
          <w:color w:val="000000"/>
          <w:szCs w:val="24"/>
        </w:rPr>
        <w:t>9.</w:t>
      </w:r>
      <w:r w:rsidRPr="00464A9B">
        <w:rPr>
          <w:b/>
          <w:color w:val="000000"/>
          <w:szCs w:val="24"/>
        </w:rPr>
        <w:tab/>
        <w:t>Övrig</w:t>
      </w:r>
      <w:r w:rsidR="007B62EA" w:rsidRPr="00464A9B">
        <w:rPr>
          <w:b/>
          <w:color w:val="000000"/>
          <w:szCs w:val="24"/>
        </w:rPr>
        <w:t>a frågor</w:t>
      </w:r>
    </w:p>
    <w:p w:rsidR="00F53DB3" w:rsidRPr="00464A9B" w:rsidRDefault="00F53DB3" w:rsidP="00F53DB3">
      <w:pPr>
        <w:spacing w:line="240" w:lineRule="auto"/>
        <w:ind w:left="567" w:hanging="567"/>
        <w:rPr>
          <w:color w:val="000000"/>
          <w:szCs w:val="24"/>
        </w:rPr>
      </w:pPr>
    </w:p>
    <w:p w:rsidR="00F53DB3" w:rsidRPr="00464A9B" w:rsidRDefault="00F53DB3" w:rsidP="00F53DB3">
      <w:pPr>
        <w:spacing w:line="240" w:lineRule="auto"/>
        <w:ind w:left="567" w:hanging="567"/>
        <w:rPr>
          <w:color w:val="000000"/>
          <w:szCs w:val="24"/>
        </w:rPr>
      </w:pPr>
      <w:r w:rsidRPr="00464A9B">
        <w:rPr>
          <w:color w:val="000000"/>
          <w:szCs w:val="24"/>
        </w:rPr>
        <w:tab/>
        <w:t>(a)</w:t>
      </w:r>
      <w:r w:rsidR="007B62EA" w:rsidRPr="00464A9B">
        <w:rPr>
          <w:color w:val="000000"/>
          <w:szCs w:val="24"/>
        </w:rPr>
        <w:tab/>
      </w:r>
      <w:r w:rsidRPr="00464A9B">
        <w:t xml:space="preserve">Recent developments concerning the exploration drilling </w:t>
      </w:r>
      <w:r w:rsidRPr="00464A9B">
        <w:tab/>
      </w:r>
      <w:r w:rsidRPr="00464A9B">
        <w:tab/>
        <w:t xml:space="preserve">in the EEZ of the </w:t>
      </w:r>
      <w:smartTag w:uri="urn:schemas-microsoft-com:office:smarttags" w:element="place">
        <w:smartTag w:uri="urn:schemas-microsoft-com:office:smarttags" w:element="PlaceType">
          <w:r w:rsidRPr="00464A9B">
            <w:t>Republic</w:t>
          </w:r>
        </w:smartTag>
        <w:r w:rsidRPr="00464A9B">
          <w:t xml:space="preserve"> of </w:t>
        </w:r>
        <w:smartTag w:uri="urn:schemas-microsoft-com:office:smarttags" w:element="PlaceName">
          <w:r w:rsidRPr="00464A9B">
            <w:t>Cyprus</w:t>
          </w:r>
        </w:smartTag>
      </w:smartTag>
      <w:r w:rsidRPr="00464A9B">
        <w:t xml:space="preserve"> </w:t>
      </w:r>
    </w:p>
    <w:p w:rsidR="00F53DB3" w:rsidRPr="00464A9B" w:rsidRDefault="00F53DB3" w:rsidP="00F53DB3">
      <w:pPr>
        <w:spacing w:line="240" w:lineRule="auto"/>
        <w:ind w:left="567" w:firstLine="567"/>
        <w:rPr>
          <w:i/>
        </w:rPr>
      </w:pPr>
      <w:r w:rsidRPr="00464A9B">
        <w:rPr>
          <w:i/>
        </w:rPr>
        <w:t>-</w:t>
      </w:r>
      <w:r w:rsidRPr="00464A9B">
        <w:rPr>
          <w:i/>
        </w:rPr>
        <w:tab/>
        <w:t>Information from the Cypriot delegation</w:t>
      </w:r>
    </w:p>
    <w:p w:rsidR="00F53DB3" w:rsidRPr="00464A9B" w:rsidRDefault="00F53DB3" w:rsidP="00F53DB3">
      <w:pPr>
        <w:spacing w:line="240" w:lineRule="auto"/>
        <w:ind w:left="1134" w:hanging="567"/>
      </w:pPr>
      <w:r w:rsidRPr="00464A9B">
        <w:t>(b)</w:t>
      </w:r>
      <w:r w:rsidRPr="00464A9B">
        <w:tab/>
        <w:t xml:space="preserve">The response of </w:t>
      </w:r>
      <w:smartTag w:uri="urn:schemas-microsoft-com:office:smarttags" w:element="country-region">
        <w:smartTag w:uri="urn:schemas-microsoft-com:office:smarttags" w:element="place">
          <w:r w:rsidRPr="00464A9B">
            <w:t>Cyprus</w:t>
          </w:r>
        </w:smartTag>
      </w:smartTag>
      <w:r w:rsidRPr="00464A9B">
        <w:t xml:space="preserve"> as to the state of emergency in the electricity sector, arising from the July 2011 accident near the Vassilikos Power Station</w:t>
      </w:r>
    </w:p>
    <w:p w:rsidR="00F53DB3" w:rsidRPr="00464A9B" w:rsidRDefault="00F53DB3" w:rsidP="007B62EA">
      <w:pPr>
        <w:spacing w:line="240" w:lineRule="auto"/>
        <w:ind w:left="567" w:firstLine="567"/>
        <w:rPr>
          <w:i/>
        </w:rPr>
      </w:pPr>
      <w:r w:rsidRPr="00464A9B">
        <w:rPr>
          <w:i/>
        </w:rPr>
        <w:t>-</w:t>
      </w:r>
      <w:r w:rsidRPr="00464A9B">
        <w:rPr>
          <w:i/>
        </w:rPr>
        <w:tab/>
        <w:t>Information from the Cypriot delegation</w:t>
      </w:r>
    </w:p>
    <w:p w:rsidR="00F53DB3" w:rsidRPr="00464A9B" w:rsidRDefault="00F53DB3" w:rsidP="00F53DB3">
      <w:pPr>
        <w:spacing w:line="240" w:lineRule="auto"/>
        <w:ind w:left="1134" w:hanging="567"/>
        <w:rPr>
          <w:color w:val="000000"/>
          <w:szCs w:val="24"/>
        </w:rPr>
      </w:pPr>
      <w:r w:rsidRPr="00464A9B">
        <w:rPr>
          <w:color w:val="000000"/>
          <w:szCs w:val="24"/>
        </w:rPr>
        <w:t>(c)</w:t>
      </w:r>
      <w:r w:rsidRPr="00464A9B">
        <w:rPr>
          <w:color w:val="000000"/>
          <w:szCs w:val="24"/>
        </w:rPr>
        <w:tab/>
        <w:t>IEA's presentation of the new study: Energy Policies of IEA Countries – Greece 2011 (</w:t>
      </w:r>
      <w:smartTag w:uri="urn:schemas-microsoft-com:office:smarttags" w:element="City">
        <w:smartTag w:uri="urn:schemas-microsoft-com:office:smarttags" w:element="place">
          <w:r w:rsidRPr="00464A9B">
            <w:rPr>
              <w:color w:val="000000"/>
              <w:szCs w:val="24"/>
            </w:rPr>
            <w:t>Athens</w:t>
          </w:r>
        </w:smartTag>
      </w:smartTag>
      <w:r w:rsidRPr="00464A9B">
        <w:rPr>
          <w:color w:val="000000"/>
          <w:szCs w:val="24"/>
        </w:rPr>
        <w:t>, 27 October 2011)</w:t>
      </w:r>
    </w:p>
    <w:p w:rsidR="00F53DB3" w:rsidRPr="00464A9B" w:rsidRDefault="00F53DB3" w:rsidP="007B62EA">
      <w:pPr>
        <w:spacing w:line="240" w:lineRule="auto"/>
        <w:ind w:left="567" w:firstLine="567"/>
        <w:rPr>
          <w:i/>
        </w:rPr>
      </w:pPr>
      <w:r w:rsidRPr="00464A9B">
        <w:rPr>
          <w:i/>
        </w:rPr>
        <w:t>-</w:t>
      </w:r>
      <w:r w:rsidRPr="00464A9B">
        <w:rPr>
          <w:i/>
        </w:rPr>
        <w:tab/>
        <w:t>Information from the Greek delegation</w:t>
      </w:r>
    </w:p>
    <w:p w:rsidR="00F53DB3" w:rsidRPr="00464A9B" w:rsidRDefault="00F53DB3" w:rsidP="00F53DB3">
      <w:pPr>
        <w:spacing w:line="240" w:lineRule="auto"/>
        <w:ind w:left="1134" w:hanging="567"/>
        <w:rPr>
          <w:color w:val="000000"/>
          <w:szCs w:val="24"/>
        </w:rPr>
      </w:pPr>
      <w:r w:rsidRPr="00464A9B">
        <w:rPr>
          <w:color w:val="000000"/>
          <w:szCs w:val="24"/>
        </w:rPr>
        <w:t>(d)</w:t>
      </w:r>
      <w:r w:rsidRPr="00464A9B">
        <w:rPr>
          <w:color w:val="000000"/>
          <w:szCs w:val="24"/>
        </w:rPr>
        <w:tab/>
        <w:t xml:space="preserve">Helios Project  </w:t>
      </w:r>
    </w:p>
    <w:p w:rsidR="00F53DB3" w:rsidRPr="00464A9B" w:rsidRDefault="00F53DB3" w:rsidP="007B62EA">
      <w:pPr>
        <w:spacing w:line="240" w:lineRule="auto"/>
        <w:ind w:left="567" w:firstLine="567"/>
        <w:rPr>
          <w:i/>
        </w:rPr>
      </w:pPr>
      <w:r w:rsidRPr="00464A9B">
        <w:rPr>
          <w:i/>
        </w:rPr>
        <w:t>-</w:t>
      </w:r>
      <w:r w:rsidRPr="00464A9B">
        <w:rPr>
          <w:i/>
        </w:rPr>
        <w:tab/>
        <w:t>Information from the Greek delegation</w:t>
      </w:r>
    </w:p>
    <w:p w:rsidR="00F53DB3" w:rsidRPr="00464A9B" w:rsidRDefault="00F53DB3" w:rsidP="00F53DB3">
      <w:pPr>
        <w:spacing w:line="240" w:lineRule="auto"/>
        <w:ind w:left="1134" w:hanging="567"/>
        <w:rPr>
          <w:color w:val="000000"/>
          <w:szCs w:val="24"/>
        </w:rPr>
      </w:pPr>
      <w:r w:rsidRPr="00464A9B">
        <w:rPr>
          <w:color w:val="000000"/>
          <w:szCs w:val="24"/>
        </w:rPr>
        <w:t>(e)</w:t>
      </w:r>
      <w:r w:rsidRPr="00464A9B">
        <w:rPr>
          <w:color w:val="000000"/>
          <w:szCs w:val="24"/>
        </w:rPr>
        <w:tab/>
        <w:t xml:space="preserve">International public invitation for the participation in non –exclusive seismic survey offshore Western and </w:t>
      </w:r>
      <w:smartTag w:uri="urn:schemas-microsoft-com:office:smarttags" w:element="place">
        <w:r w:rsidRPr="00464A9B">
          <w:rPr>
            <w:color w:val="000000"/>
            <w:szCs w:val="24"/>
          </w:rPr>
          <w:t>Southern Greece</w:t>
        </w:r>
      </w:smartTag>
    </w:p>
    <w:p w:rsidR="00F53DB3" w:rsidRPr="00464A9B" w:rsidRDefault="00F53DB3" w:rsidP="00F53DB3">
      <w:pPr>
        <w:spacing w:line="240" w:lineRule="auto"/>
        <w:ind w:left="567" w:firstLine="567"/>
        <w:rPr>
          <w:i/>
        </w:rPr>
      </w:pPr>
      <w:r w:rsidRPr="00464A9B">
        <w:rPr>
          <w:i/>
        </w:rPr>
        <w:t>-</w:t>
      </w:r>
      <w:r w:rsidRPr="00464A9B">
        <w:rPr>
          <w:i/>
        </w:rPr>
        <w:tab/>
        <w:t>Information from the Greek delegation</w:t>
      </w:r>
    </w:p>
    <w:p w:rsidR="00F53DB3" w:rsidRPr="00464A9B" w:rsidRDefault="00F53DB3" w:rsidP="00F53DB3">
      <w:pPr>
        <w:spacing w:line="240" w:lineRule="auto"/>
        <w:ind w:left="1134" w:hanging="567"/>
      </w:pPr>
      <w:r w:rsidRPr="00464A9B">
        <w:t>(f)</w:t>
      </w:r>
      <w:r w:rsidRPr="00464A9B">
        <w:tab/>
      </w:r>
      <w:smartTag w:uri="urn:schemas-microsoft-com:office:smarttags" w:element="place">
        <w:r w:rsidRPr="00464A9B">
          <w:t>Opportunity</w:t>
        </w:r>
      </w:smartTag>
      <w:r w:rsidRPr="00464A9B">
        <w:t xml:space="preserve"> for a Joint Action at EU level for the refining sector</w:t>
      </w:r>
    </w:p>
    <w:p w:rsidR="00F53DB3" w:rsidRPr="00464A9B" w:rsidRDefault="00F53DB3" w:rsidP="007B62EA">
      <w:pPr>
        <w:spacing w:line="240" w:lineRule="auto"/>
        <w:ind w:left="1134"/>
      </w:pPr>
      <w:r w:rsidRPr="00464A9B">
        <w:t>-</w:t>
      </w:r>
      <w:r w:rsidRPr="00464A9B">
        <w:tab/>
      </w:r>
      <w:r w:rsidRPr="00464A9B">
        <w:rPr>
          <w:i/>
        </w:rPr>
        <w:t>Information from the Italian delegation</w:t>
      </w:r>
    </w:p>
    <w:p w:rsidR="00F53DB3" w:rsidRPr="00464A9B" w:rsidRDefault="00F53DB3" w:rsidP="00F53DB3">
      <w:pPr>
        <w:spacing w:line="240" w:lineRule="auto"/>
        <w:ind w:left="1134" w:hanging="567"/>
      </w:pPr>
      <w:r w:rsidRPr="00464A9B">
        <w:t>(g)</w:t>
      </w:r>
      <w:r w:rsidRPr="00464A9B">
        <w:tab/>
        <w:t>Work programme of the incoming Presidency</w:t>
      </w:r>
    </w:p>
    <w:p w:rsidR="00F53DB3" w:rsidRPr="00464A9B" w:rsidRDefault="00F53DB3" w:rsidP="00F53DB3">
      <w:pPr>
        <w:spacing w:line="240" w:lineRule="auto"/>
        <w:ind w:left="1134"/>
        <w:rPr>
          <w:i/>
        </w:rPr>
      </w:pPr>
      <w:r w:rsidRPr="00464A9B">
        <w:rPr>
          <w:i/>
        </w:rPr>
        <w:t>-</w:t>
      </w:r>
      <w:r w:rsidRPr="00464A9B">
        <w:rPr>
          <w:i/>
        </w:rPr>
        <w:tab/>
        <w:t>Information from the Danish delegation</w:t>
      </w:r>
    </w:p>
    <w:p w:rsidR="00F53DB3" w:rsidRPr="00464A9B" w:rsidRDefault="00F53DB3" w:rsidP="00F53DB3">
      <w:pPr>
        <w:tabs>
          <w:tab w:val="left" w:pos="2835"/>
        </w:tabs>
        <w:rPr>
          <w:rFonts w:cs="OrigGarmnd BT"/>
          <w:color w:val="000000"/>
        </w:rPr>
      </w:pPr>
    </w:p>
    <w:p w:rsidR="00F53DB3" w:rsidRPr="00464A9B" w:rsidRDefault="007B62EA" w:rsidP="00F53DB3">
      <w:pPr>
        <w:tabs>
          <w:tab w:val="left" w:pos="2835"/>
        </w:tabs>
      </w:pPr>
      <w:r w:rsidRPr="00464A9B">
        <w:t>Frågorna</w:t>
      </w:r>
      <w:r w:rsidR="00F53DB3" w:rsidRPr="00464A9B">
        <w:t xml:space="preserve"> har inte behandlats i  EU-nämnden tidigare.</w:t>
      </w:r>
    </w:p>
    <w:p w:rsidR="00F53DB3" w:rsidRPr="00464A9B" w:rsidRDefault="00F53DB3" w:rsidP="00F53DB3"/>
    <w:p w:rsidR="00F53DB3" w:rsidRPr="00464A9B" w:rsidRDefault="00F53DB3" w:rsidP="00F53DB3">
      <w:pPr>
        <w:rPr>
          <w:u w:val="single"/>
        </w:rPr>
      </w:pPr>
      <w:r w:rsidRPr="00464A9B">
        <w:rPr>
          <w:u w:val="single"/>
        </w:rPr>
        <w:t>Bakgrund</w:t>
      </w:r>
    </w:p>
    <w:p w:rsidR="00F53DB3" w:rsidRPr="00464A9B" w:rsidRDefault="00F53DB3" w:rsidP="00F53DB3">
      <w:r w:rsidRPr="00464A9B">
        <w:t>Under punkten övrigt kommer den grekiska och cypriotiska delegationerna att informera ministrarna om ett antal frågor. Den cypriotiska delegationen kommer att informera om olyckan vid ett cypriotiskt kraftverk i juli samt om utvinning av gas i den cypriotiska ekonomiska zonen. Den grekiska delegationen kommer att informera om det sk. Helios-projektet samt om ett seminarium om en studie om seismisk aktivitet till havs. Vidare kommer den italienska delegationen att informera om möjligheterna för gemensamma åtgärder i raffinaderisektorn och den danska delegationen kommer att ta till orda för att presentera sitt arbetsprogram för det kommande ordförandeskapet.</w:t>
      </w:r>
    </w:p>
    <w:p w:rsidR="00F53DB3" w:rsidRPr="00464A9B" w:rsidRDefault="00F53DB3" w:rsidP="00F53DB3">
      <w:pPr>
        <w:rPr>
          <w:u w:val="single"/>
        </w:rPr>
      </w:pPr>
    </w:p>
    <w:p w:rsidR="00F53DB3" w:rsidRPr="00464A9B" w:rsidRDefault="00F53DB3" w:rsidP="00F53DB3">
      <w:pPr>
        <w:rPr>
          <w:u w:val="single"/>
        </w:rPr>
      </w:pPr>
      <w:r w:rsidRPr="00464A9B">
        <w:rPr>
          <w:u w:val="single"/>
        </w:rPr>
        <w:t>Förslag till svensk ståndpunkt</w:t>
      </w:r>
    </w:p>
    <w:p w:rsidR="00F53DB3" w:rsidRPr="00464A9B" w:rsidRDefault="00F53DB3" w:rsidP="00F53DB3">
      <w:r w:rsidRPr="00464A9B">
        <w:t>Regeringen bör ta del av informationen.</w:t>
      </w:r>
    </w:p>
    <w:p w:rsidR="00F53DB3" w:rsidRPr="00464A9B" w:rsidRDefault="00F53DB3" w:rsidP="00453CD3"/>
    <w:p w:rsidR="00453CD3" w:rsidRPr="00464A9B" w:rsidRDefault="00453CD3" w:rsidP="00453CD3"/>
    <w:p w:rsidR="00CD796D" w:rsidRPr="00464A9B" w:rsidRDefault="000D4EEF" w:rsidP="00453CD3">
      <w:r w:rsidRPr="00464A9B">
        <w:rPr>
          <w:b/>
          <w:color w:val="000000"/>
          <w:u w:val="single"/>
        </w:rPr>
        <w:br w:type="page"/>
      </w:r>
      <w:r w:rsidR="00CD796D" w:rsidRPr="00464A9B">
        <w:rPr>
          <w:b/>
          <w:color w:val="000000"/>
          <w:u w:val="single"/>
        </w:rPr>
        <w:t>Övriga frågor</w:t>
      </w:r>
    </w:p>
    <w:p w:rsidR="00CD796D" w:rsidRPr="00464A9B" w:rsidRDefault="00CD796D" w:rsidP="00CD796D">
      <w:pPr>
        <w:spacing w:line="240" w:lineRule="auto"/>
        <w:rPr>
          <w:b/>
          <w:bCs/>
        </w:rPr>
      </w:pPr>
      <w:r w:rsidRPr="00464A9B">
        <w:rPr>
          <w:b/>
          <w:bCs/>
        </w:rPr>
        <w:t>7.</w:t>
      </w:r>
      <w:r w:rsidRPr="00464A9B">
        <w:rPr>
          <w:b/>
          <w:bCs/>
        </w:rPr>
        <w:tab/>
        <w:t>a)</w:t>
      </w:r>
      <w:r w:rsidRPr="00464A9B">
        <w:rPr>
          <w:b/>
          <w:bCs/>
        </w:rPr>
        <w:tab/>
        <w:t xml:space="preserve">Meddelande från kommissionen till Europaparlamentet </w:t>
      </w:r>
      <w:r w:rsidRPr="00464A9B">
        <w:rPr>
          <w:b/>
          <w:bCs/>
        </w:rPr>
        <w:tab/>
        <w:t>och rådet: "Förnybar energi: Framsteg mot 2020-målet"</w:t>
      </w:r>
    </w:p>
    <w:p w:rsidR="00CD796D" w:rsidRPr="00464A9B" w:rsidRDefault="00CD796D" w:rsidP="00CD796D">
      <w:pPr>
        <w:spacing w:line="240" w:lineRule="auto"/>
        <w:ind w:left="1134"/>
        <w:rPr>
          <w:color w:val="000000"/>
          <w:u w:val="single"/>
        </w:rPr>
      </w:pPr>
      <w:r w:rsidRPr="00464A9B">
        <w:rPr>
          <w:color w:val="000000"/>
        </w:rPr>
        <w:t>–</w:t>
      </w:r>
      <w:r w:rsidRPr="00464A9B">
        <w:rPr>
          <w:i/>
          <w:color w:val="000000"/>
        </w:rPr>
        <w:tab/>
      </w:r>
      <w:r w:rsidRPr="00464A9B">
        <w:rPr>
          <w:color w:val="000000"/>
        </w:rPr>
        <w:t>Föredragning av kommissionen</w:t>
      </w:r>
      <w:r w:rsidRPr="00464A9B">
        <w:rPr>
          <w:color w:val="000000"/>
          <w:u w:val="single"/>
        </w:rPr>
        <w:t xml:space="preserve"> </w:t>
      </w:r>
    </w:p>
    <w:p w:rsidR="00CD796D" w:rsidRPr="00464A9B" w:rsidRDefault="00CD796D" w:rsidP="00CD796D">
      <w:pPr>
        <w:spacing w:line="240" w:lineRule="auto"/>
        <w:ind w:left="1701"/>
        <w:rPr>
          <w:color w:val="000000"/>
        </w:rPr>
      </w:pPr>
      <w:r w:rsidRPr="00464A9B">
        <w:rPr>
          <w:color w:val="000000"/>
        </w:rPr>
        <w:t>5965/11 ENER 13 ENV 64 POLGEN 15</w:t>
      </w:r>
    </w:p>
    <w:p w:rsidR="000B6C4B" w:rsidRPr="00464A9B" w:rsidRDefault="000B6C4B" w:rsidP="000B6C4B">
      <w:pPr>
        <w:rPr>
          <w:iCs/>
          <w:u w:val="single"/>
        </w:rPr>
      </w:pPr>
    </w:p>
    <w:p w:rsidR="000B6C4B" w:rsidRPr="00464A9B" w:rsidRDefault="000B6C4B" w:rsidP="000B6C4B">
      <w:pPr>
        <w:rPr>
          <w:iCs/>
          <w:u w:val="single"/>
        </w:rPr>
      </w:pPr>
      <w:r w:rsidRPr="00464A9B">
        <w:rPr>
          <w:iCs/>
          <w:u w:val="single"/>
        </w:rPr>
        <w:t>Bakgrund</w:t>
      </w:r>
    </w:p>
    <w:p w:rsidR="000B6C4B" w:rsidRPr="00464A9B" w:rsidRDefault="000B6C4B" w:rsidP="000B6C4B">
      <w:r w:rsidRPr="00464A9B">
        <w:t xml:space="preserve">Kommissionen kommer att presentera innehållet i meddelandet om framsteg mot målet för förnybar energi år 2020. Meddelandet baseras på de analyser som presenteras i tre underliggande dokument och som svarar för de rapporteringskrav som ställts i direktivet för främjande av förnybar energi (2009/28/EC), direktivet för främjande av förnybar el (2001/77/EC) och biodrivmedelsdirektivet (2003/30/EC). </w:t>
      </w:r>
    </w:p>
    <w:p w:rsidR="000B6C4B" w:rsidRPr="00464A9B" w:rsidRDefault="000B6C4B" w:rsidP="000B6C4B">
      <w:r w:rsidRPr="00464A9B">
        <w:t>Enligt meddelandet väntas EU</w:t>
      </w:r>
      <w:r w:rsidR="004103AC" w:rsidRPr="00464A9B">
        <w:t>-</w:t>
      </w:r>
      <w:r w:rsidRPr="00464A9B">
        <w:t>målet om 20 procent förnybar energi år 2020 uppnås och möjligen överträffas om de prognoser som finns i medlemsstaternas handlingsplaner förverkligas. Sverige förväntas överträffa sitt mål om 49 procent år 2020 och uppnå en andel om drygt 50 procent. Meddelandet betonar behovet av ytterligare åtgärder för att underlätta användningen av samarbetsmekanismer i förnybartdirektivet.</w:t>
      </w:r>
    </w:p>
    <w:p w:rsidR="000B6C4B" w:rsidRPr="00464A9B" w:rsidRDefault="000B6C4B" w:rsidP="000B6C4B">
      <w:pPr>
        <w:rPr>
          <w:iCs/>
        </w:rPr>
      </w:pPr>
      <w:r w:rsidRPr="00464A9B">
        <w:rPr>
          <w:iCs/>
        </w:rPr>
        <w:tab/>
      </w:r>
    </w:p>
    <w:p w:rsidR="000B6C4B" w:rsidRPr="00464A9B" w:rsidRDefault="000B6C4B" w:rsidP="000B6C4B">
      <w:pPr>
        <w:pStyle w:val="RKnormal"/>
        <w:rPr>
          <w:bCs/>
          <w:u w:val="single"/>
        </w:rPr>
      </w:pPr>
      <w:r w:rsidRPr="00464A9B">
        <w:rPr>
          <w:bCs/>
          <w:u w:val="single"/>
        </w:rPr>
        <w:t>Förslag till svensk ståndpunkt</w:t>
      </w:r>
    </w:p>
    <w:p w:rsidR="000B6C4B" w:rsidRPr="00464A9B" w:rsidRDefault="000B6C4B" w:rsidP="000B6C4B">
      <w:pPr>
        <w:pStyle w:val="RKnormal"/>
      </w:pPr>
      <w:r w:rsidRPr="00464A9B">
        <w:t>Sverige bör notera informationen.</w:t>
      </w:r>
    </w:p>
    <w:p w:rsidR="00CD796D" w:rsidRPr="00464A9B" w:rsidRDefault="00CD796D" w:rsidP="00CD796D">
      <w:pPr>
        <w:spacing w:line="240" w:lineRule="auto"/>
        <w:rPr>
          <w:color w:val="000000"/>
        </w:rPr>
      </w:pPr>
    </w:p>
    <w:p w:rsidR="000B6C4B" w:rsidRPr="00464A9B" w:rsidRDefault="000B6C4B" w:rsidP="00CD796D">
      <w:pPr>
        <w:spacing w:line="240" w:lineRule="auto"/>
        <w:rPr>
          <w:color w:val="000000"/>
        </w:rPr>
      </w:pPr>
    </w:p>
    <w:p w:rsidR="00CD796D" w:rsidRPr="00464A9B" w:rsidRDefault="00CD796D" w:rsidP="00CD796D">
      <w:pPr>
        <w:spacing w:line="240" w:lineRule="auto"/>
        <w:ind w:left="567"/>
        <w:rPr>
          <w:b/>
          <w:bCs/>
        </w:rPr>
      </w:pPr>
      <w:r w:rsidRPr="00464A9B">
        <w:rPr>
          <w:b/>
          <w:bCs/>
        </w:rPr>
        <w:tab/>
        <w:t>b)</w:t>
      </w:r>
      <w:r w:rsidRPr="00464A9B">
        <w:rPr>
          <w:b/>
          <w:bCs/>
        </w:rPr>
        <w:tab/>
        <w:t xml:space="preserve">Senaste utvecklingen rörande den södra gaskorridoren </w:t>
      </w:r>
      <w:r w:rsidRPr="00464A9B">
        <w:rPr>
          <w:b/>
          <w:bCs/>
        </w:rPr>
        <w:tab/>
        <w:t>och vägen framåt</w:t>
      </w:r>
    </w:p>
    <w:p w:rsidR="00CD796D" w:rsidRPr="00464A9B" w:rsidRDefault="00CD796D" w:rsidP="00CD796D">
      <w:pPr>
        <w:spacing w:line="240" w:lineRule="auto"/>
        <w:ind w:left="1134"/>
        <w:rPr>
          <w:b/>
          <w:color w:val="000000"/>
        </w:rPr>
      </w:pPr>
      <w:r w:rsidRPr="00464A9B">
        <w:rPr>
          <w:b/>
          <w:color w:val="000000"/>
        </w:rPr>
        <w:t>–</w:t>
      </w:r>
      <w:r w:rsidRPr="00464A9B">
        <w:rPr>
          <w:b/>
          <w:color w:val="000000"/>
        </w:rPr>
        <w:tab/>
      </w:r>
      <w:r w:rsidRPr="00464A9B">
        <w:rPr>
          <w:color w:val="000000"/>
        </w:rPr>
        <w:t>Information från kommissionen</w:t>
      </w:r>
    </w:p>
    <w:p w:rsidR="00CD796D" w:rsidRPr="00464A9B" w:rsidRDefault="00CD796D" w:rsidP="00CD796D">
      <w:pPr>
        <w:spacing w:line="240" w:lineRule="auto"/>
        <w:ind w:left="1701"/>
      </w:pPr>
      <w:r w:rsidRPr="00464A9B">
        <w:rPr>
          <w:color w:val="000000"/>
        </w:rPr>
        <w:t>6308/11 ENER 22 COEST 49</w:t>
      </w:r>
    </w:p>
    <w:p w:rsidR="000B6C4B" w:rsidRPr="00464A9B" w:rsidRDefault="000B6C4B" w:rsidP="000B6C4B">
      <w:pPr>
        <w:pStyle w:val="RKnormal"/>
        <w:rPr>
          <w:b/>
          <w:bCs/>
          <w:u w:val="single"/>
        </w:rPr>
      </w:pPr>
    </w:p>
    <w:p w:rsidR="000B6C4B" w:rsidRPr="00464A9B" w:rsidRDefault="000B6C4B" w:rsidP="000B6C4B">
      <w:pPr>
        <w:pStyle w:val="RKnormal"/>
        <w:rPr>
          <w:bCs/>
          <w:u w:val="single"/>
        </w:rPr>
      </w:pPr>
      <w:r w:rsidRPr="00464A9B">
        <w:rPr>
          <w:bCs/>
          <w:u w:val="single"/>
        </w:rPr>
        <w:t>Bakgrund</w:t>
      </w:r>
    </w:p>
    <w:p w:rsidR="000B6C4B" w:rsidRPr="00464A9B" w:rsidRDefault="000B6C4B" w:rsidP="000B6C4B">
      <w:r w:rsidRPr="00464A9B">
        <w:t xml:space="preserve">Den södra korridoren är ett projekt för energi och transport, inklusive för tillförseln av naturgas till EU genom den transkaspiska korridoren från Centralasien, Kaukasus och Mellanöstern. Projektet är ett av de prioriterade energiinfrastrukturinitiativ som identifierats i kommissionens infrastrukturmeddelande med prioriteringar för energiinfrastrukturen för 2020 och framåt ((KOM2010)677 slutlig) och utgör en del av den externa energipolitik som bland annat ska bidra till diversifieringen av energikällorna och transportvägarna för EU:s energiförsörjning. Projektet har prioriterats högt, bland annat av det tjeckiska ordförandeskapet som höll ett toppmöte i Prag våren 2009. Vid TTE-rådet väntas kommissionen informera om den legala, tekniska och kommersiella utvecklingen av projektet. </w:t>
      </w:r>
    </w:p>
    <w:p w:rsidR="000B6C4B" w:rsidRPr="00464A9B" w:rsidRDefault="000B6C4B" w:rsidP="000B6C4B">
      <w:pPr>
        <w:pStyle w:val="RKnormal"/>
        <w:rPr>
          <w:bCs/>
        </w:rPr>
      </w:pPr>
    </w:p>
    <w:p w:rsidR="000B6C4B" w:rsidRPr="00464A9B" w:rsidRDefault="000B6C4B" w:rsidP="000B6C4B">
      <w:pPr>
        <w:pStyle w:val="RKnormal"/>
        <w:rPr>
          <w:bCs/>
          <w:u w:val="single"/>
        </w:rPr>
      </w:pPr>
      <w:r w:rsidRPr="00464A9B">
        <w:rPr>
          <w:bCs/>
          <w:u w:val="single"/>
        </w:rPr>
        <w:t>Förslag till svensk ståndpunkt</w:t>
      </w:r>
    </w:p>
    <w:p w:rsidR="004D1223" w:rsidRPr="00464A9B" w:rsidRDefault="000B6C4B" w:rsidP="000D4EEF">
      <w:pPr>
        <w:pStyle w:val="RKnormal"/>
      </w:pPr>
      <w:r w:rsidRPr="00464A9B">
        <w:t>Sverige bör notera informationen.</w:t>
      </w:r>
    </w:p>
    <w:sectPr w:rsidR="004D1223" w:rsidRPr="00464A9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92E" w:rsidRPr="00464A9B" w:rsidRDefault="0089492E">
      <w:r w:rsidRPr="00464A9B">
        <w:separator/>
      </w:r>
    </w:p>
  </w:endnote>
  <w:endnote w:type="continuationSeparator" w:id="0">
    <w:p w:rsidR="0089492E" w:rsidRPr="00464A9B" w:rsidRDefault="0089492E">
      <w:r w:rsidRPr="00464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92E" w:rsidRPr="00464A9B" w:rsidRDefault="0089492E">
      <w:r w:rsidRPr="00464A9B">
        <w:separator/>
      </w:r>
    </w:p>
  </w:footnote>
  <w:footnote w:type="continuationSeparator" w:id="0">
    <w:p w:rsidR="0089492E" w:rsidRPr="00464A9B" w:rsidRDefault="0089492E">
      <w:r w:rsidRPr="00464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2EA" w:rsidRPr="00464A9B" w:rsidRDefault="007B62EA">
    <w:pPr>
      <w:pStyle w:val="Sidhuvud"/>
      <w:framePr w:wrap="around" w:vAnchor="text" w:hAnchor="margin" w:xAlign="right" w:y="1"/>
      <w:rPr>
        <w:rStyle w:val="Sidnummer"/>
      </w:rPr>
    </w:pPr>
    <w:r w:rsidRPr="00464A9B">
      <w:rPr>
        <w:rStyle w:val="Sidnummer"/>
      </w:rPr>
      <w:fldChar w:fldCharType="begin" w:fldLock="1"/>
    </w:r>
    <w:r w:rsidRPr="00464A9B">
      <w:rPr>
        <w:rStyle w:val="Sidnummer"/>
      </w:rPr>
      <w:instrText xml:space="preserve">PAGE  </w:instrText>
    </w:r>
    <w:r w:rsidRPr="00464A9B">
      <w:rPr>
        <w:rStyle w:val="Sidnummer"/>
      </w:rPr>
      <w:fldChar w:fldCharType="separate"/>
    </w:r>
    <w:r w:rsidR="008D09AB" w:rsidRPr="00464A9B">
      <w:rPr>
        <w:rStyle w:val="Sidnummer"/>
      </w:rPr>
      <w:t>10</w:t>
    </w:r>
    <w:r w:rsidRPr="00464A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B62EA" w:rsidRPr="00464A9B">
      <w:tblPrEx>
        <w:tblCellMar>
          <w:top w:w="0" w:type="dxa"/>
          <w:bottom w:w="0" w:type="dxa"/>
        </w:tblCellMar>
      </w:tblPrEx>
      <w:trPr>
        <w:cantSplit/>
      </w:trPr>
      <w:tc>
        <w:tcPr>
          <w:tcW w:w="3119" w:type="dxa"/>
        </w:tcPr>
        <w:p w:rsidR="007B62EA" w:rsidRPr="00464A9B" w:rsidRDefault="007B62EA">
          <w:pPr>
            <w:pStyle w:val="Sidhuvud"/>
            <w:spacing w:line="200" w:lineRule="atLeast"/>
            <w:ind w:right="357"/>
            <w:rPr>
              <w:rFonts w:ascii="TradeGothic" w:hAnsi="TradeGothic"/>
              <w:b/>
              <w:bCs/>
              <w:sz w:val="16"/>
            </w:rPr>
          </w:pPr>
        </w:p>
      </w:tc>
      <w:tc>
        <w:tcPr>
          <w:tcW w:w="4111" w:type="dxa"/>
          <w:tcMar>
            <w:left w:w="567" w:type="dxa"/>
          </w:tcMar>
        </w:tcPr>
        <w:p w:rsidR="007B62EA" w:rsidRPr="00464A9B" w:rsidRDefault="007B62EA">
          <w:pPr>
            <w:pStyle w:val="Sidhuvud"/>
            <w:ind w:right="360"/>
          </w:pPr>
        </w:p>
      </w:tc>
      <w:tc>
        <w:tcPr>
          <w:tcW w:w="1525" w:type="dxa"/>
        </w:tcPr>
        <w:p w:rsidR="007B62EA" w:rsidRPr="00464A9B" w:rsidRDefault="007B62EA">
          <w:pPr>
            <w:pStyle w:val="Sidhuvud"/>
            <w:ind w:right="360"/>
          </w:pPr>
        </w:p>
      </w:tc>
    </w:tr>
  </w:tbl>
  <w:p w:rsidR="007B62EA" w:rsidRPr="00464A9B" w:rsidRDefault="007B62E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2EA" w:rsidRPr="00464A9B" w:rsidRDefault="007B62EA">
    <w:pPr>
      <w:pStyle w:val="Sidhuvud"/>
      <w:framePr w:wrap="around" w:vAnchor="text" w:hAnchor="margin" w:xAlign="right" w:y="1"/>
      <w:rPr>
        <w:rStyle w:val="Sidnummer"/>
      </w:rPr>
    </w:pPr>
    <w:r w:rsidRPr="00464A9B">
      <w:rPr>
        <w:rStyle w:val="Sidnummer"/>
      </w:rPr>
      <w:fldChar w:fldCharType="begin" w:fldLock="1"/>
    </w:r>
    <w:r w:rsidRPr="00464A9B">
      <w:rPr>
        <w:rStyle w:val="Sidnummer"/>
      </w:rPr>
      <w:instrText xml:space="preserve">PAGE  </w:instrText>
    </w:r>
    <w:r w:rsidRPr="00464A9B">
      <w:rPr>
        <w:rStyle w:val="Sidnummer"/>
      </w:rPr>
      <w:fldChar w:fldCharType="separate"/>
    </w:r>
    <w:r w:rsidR="008D09AB" w:rsidRPr="00464A9B">
      <w:rPr>
        <w:rStyle w:val="Sidnummer"/>
      </w:rPr>
      <w:t>9</w:t>
    </w:r>
    <w:r w:rsidRPr="00464A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B62EA" w:rsidRPr="00464A9B">
      <w:tblPrEx>
        <w:tblCellMar>
          <w:top w:w="0" w:type="dxa"/>
          <w:bottom w:w="0" w:type="dxa"/>
        </w:tblCellMar>
      </w:tblPrEx>
      <w:trPr>
        <w:cantSplit/>
      </w:trPr>
      <w:tc>
        <w:tcPr>
          <w:tcW w:w="3119" w:type="dxa"/>
        </w:tcPr>
        <w:p w:rsidR="007B62EA" w:rsidRPr="00464A9B" w:rsidRDefault="007B62EA">
          <w:pPr>
            <w:pStyle w:val="Sidhuvud"/>
            <w:spacing w:line="200" w:lineRule="atLeast"/>
            <w:ind w:right="357"/>
            <w:rPr>
              <w:rFonts w:ascii="TradeGothic" w:hAnsi="TradeGothic"/>
              <w:b/>
              <w:bCs/>
              <w:sz w:val="16"/>
            </w:rPr>
          </w:pPr>
        </w:p>
      </w:tc>
      <w:tc>
        <w:tcPr>
          <w:tcW w:w="4111" w:type="dxa"/>
          <w:tcMar>
            <w:left w:w="567" w:type="dxa"/>
          </w:tcMar>
        </w:tcPr>
        <w:p w:rsidR="007B62EA" w:rsidRPr="00464A9B" w:rsidRDefault="007B62EA">
          <w:pPr>
            <w:pStyle w:val="Sidhuvud"/>
            <w:ind w:right="360"/>
          </w:pPr>
        </w:p>
      </w:tc>
      <w:tc>
        <w:tcPr>
          <w:tcW w:w="1525" w:type="dxa"/>
        </w:tcPr>
        <w:p w:rsidR="007B62EA" w:rsidRPr="00464A9B" w:rsidRDefault="007B62EA">
          <w:pPr>
            <w:pStyle w:val="Sidhuvud"/>
            <w:ind w:right="360"/>
          </w:pPr>
        </w:p>
      </w:tc>
    </w:tr>
  </w:tbl>
  <w:p w:rsidR="007B62EA" w:rsidRPr="00464A9B" w:rsidRDefault="007B62E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2EA" w:rsidRPr="00464A9B" w:rsidRDefault="00464A9B">
    <w:pPr>
      <w:framePr w:w="2948" w:h="1321" w:hRule="exact" w:wrap="notBeside" w:vAnchor="page" w:hAnchor="page" w:x="1362" w:y="653"/>
    </w:pPr>
    <w:r w:rsidRPr="00464A9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B62EA" w:rsidRPr="00464A9B" w:rsidRDefault="007B62EA">
    <w:pPr>
      <w:pStyle w:val="RKrubrik"/>
      <w:keepNext w:val="0"/>
      <w:tabs>
        <w:tab w:val="clear" w:pos="1134"/>
        <w:tab w:val="clear" w:pos="2835"/>
      </w:tabs>
      <w:spacing w:before="0" w:after="0" w:line="320" w:lineRule="atLeast"/>
      <w:rPr>
        <w:bCs/>
      </w:rPr>
    </w:pPr>
  </w:p>
  <w:p w:rsidR="007B62EA" w:rsidRPr="00464A9B" w:rsidRDefault="007B62EA">
    <w:pPr>
      <w:rPr>
        <w:rFonts w:ascii="TradeGothic" w:hAnsi="TradeGothic"/>
        <w:b/>
        <w:bCs/>
        <w:spacing w:val="12"/>
        <w:sz w:val="22"/>
      </w:rPr>
    </w:pPr>
  </w:p>
  <w:p w:rsidR="007B62EA" w:rsidRPr="00464A9B" w:rsidRDefault="007B62EA">
    <w:pPr>
      <w:pStyle w:val="RKrubrik"/>
      <w:keepNext w:val="0"/>
      <w:tabs>
        <w:tab w:val="clear" w:pos="1134"/>
        <w:tab w:val="clear" w:pos="2835"/>
      </w:tabs>
      <w:spacing w:before="0" w:after="0" w:line="320" w:lineRule="atLeast"/>
      <w:rPr>
        <w:bCs/>
      </w:rPr>
    </w:pPr>
  </w:p>
  <w:p w:rsidR="007B62EA" w:rsidRPr="00464A9B" w:rsidRDefault="007B62E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052F04"/>
    <w:rsid w:val="00054984"/>
    <w:rsid w:val="00062BAE"/>
    <w:rsid w:val="00067B85"/>
    <w:rsid w:val="000A1217"/>
    <w:rsid w:val="000A3567"/>
    <w:rsid w:val="000B6C4B"/>
    <w:rsid w:val="000D4EEF"/>
    <w:rsid w:val="000F2D11"/>
    <w:rsid w:val="00116C32"/>
    <w:rsid w:val="00140705"/>
    <w:rsid w:val="00150384"/>
    <w:rsid w:val="00151651"/>
    <w:rsid w:val="001805B7"/>
    <w:rsid w:val="001A3F38"/>
    <w:rsid w:val="001B660E"/>
    <w:rsid w:val="00220D9B"/>
    <w:rsid w:val="002476C7"/>
    <w:rsid w:val="00256C97"/>
    <w:rsid w:val="00263F89"/>
    <w:rsid w:val="002F5988"/>
    <w:rsid w:val="00340990"/>
    <w:rsid w:val="003748BA"/>
    <w:rsid w:val="003B080F"/>
    <w:rsid w:val="003C1EEF"/>
    <w:rsid w:val="003E1513"/>
    <w:rsid w:val="00401D3B"/>
    <w:rsid w:val="004103AC"/>
    <w:rsid w:val="0045074F"/>
    <w:rsid w:val="00453CD3"/>
    <w:rsid w:val="00464A9B"/>
    <w:rsid w:val="00480087"/>
    <w:rsid w:val="00491F83"/>
    <w:rsid w:val="00496097"/>
    <w:rsid w:val="004A0D43"/>
    <w:rsid w:val="004A328D"/>
    <w:rsid w:val="004D1223"/>
    <w:rsid w:val="00574E85"/>
    <w:rsid w:val="00582273"/>
    <w:rsid w:val="00597C47"/>
    <w:rsid w:val="005D4D22"/>
    <w:rsid w:val="0060042B"/>
    <w:rsid w:val="00611CBE"/>
    <w:rsid w:val="006446C7"/>
    <w:rsid w:val="00696EBB"/>
    <w:rsid w:val="006C6A34"/>
    <w:rsid w:val="006E4E11"/>
    <w:rsid w:val="006F5F24"/>
    <w:rsid w:val="006F724D"/>
    <w:rsid w:val="00721C5E"/>
    <w:rsid w:val="007242A3"/>
    <w:rsid w:val="00751FBA"/>
    <w:rsid w:val="00773795"/>
    <w:rsid w:val="00783472"/>
    <w:rsid w:val="00797095"/>
    <w:rsid w:val="007A678A"/>
    <w:rsid w:val="007B2960"/>
    <w:rsid w:val="007B62EA"/>
    <w:rsid w:val="007D2940"/>
    <w:rsid w:val="00820538"/>
    <w:rsid w:val="00870AE8"/>
    <w:rsid w:val="0088633E"/>
    <w:rsid w:val="0089492E"/>
    <w:rsid w:val="008B26A5"/>
    <w:rsid w:val="008B290B"/>
    <w:rsid w:val="008D09AB"/>
    <w:rsid w:val="009D43C2"/>
    <w:rsid w:val="00A24576"/>
    <w:rsid w:val="00A70D52"/>
    <w:rsid w:val="00A819EE"/>
    <w:rsid w:val="00AC5F6D"/>
    <w:rsid w:val="00B17ED9"/>
    <w:rsid w:val="00B508B8"/>
    <w:rsid w:val="00B76AC0"/>
    <w:rsid w:val="00B85827"/>
    <w:rsid w:val="00B94582"/>
    <w:rsid w:val="00BB0854"/>
    <w:rsid w:val="00BD2BEB"/>
    <w:rsid w:val="00C61349"/>
    <w:rsid w:val="00CD796D"/>
    <w:rsid w:val="00CF1EFF"/>
    <w:rsid w:val="00D103B3"/>
    <w:rsid w:val="00D31606"/>
    <w:rsid w:val="00D33ED0"/>
    <w:rsid w:val="00D43F85"/>
    <w:rsid w:val="00D62D48"/>
    <w:rsid w:val="00D96793"/>
    <w:rsid w:val="00DC3853"/>
    <w:rsid w:val="00DF578F"/>
    <w:rsid w:val="00E50B8D"/>
    <w:rsid w:val="00E56AE7"/>
    <w:rsid w:val="00EA2ADD"/>
    <w:rsid w:val="00EC25F9"/>
    <w:rsid w:val="00EC6338"/>
    <w:rsid w:val="00F2396D"/>
    <w:rsid w:val="00F342A5"/>
    <w:rsid w:val="00F350C8"/>
    <w:rsid w:val="00F53DB3"/>
    <w:rsid w:val="00F73577"/>
    <w:rsid w:val="00FE7C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4C9F801-50E2-43CB-91A7-B0CF72F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C4B"/>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 w:type="character" w:customStyle="1" w:styleId="RKnormalChar1">
    <w:name w:val="RKnormal Char1"/>
    <w:basedOn w:val="Standardstycketeckensnitt"/>
    <w:rsid w:val="00491F83"/>
    <w:rPr>
      <w:rFonts w:ascii="OrigGarmnd BT" w:hAnsi="OrigGarmnd BT"/>
      <w:sz w:val="24"/>
      <w:lang w:val="sv-SE" w:eastAsia="en-US" w:bidi="ar-SA"/>
    </w:rPr>
  </w:style>
  <w:style w:type="paragraph" w:styleId="Normalwebb">
    <w:name w:val="Normal (Web)"/>
    <w:basedOn w:val="Normal"/>
    <w:rsid w:val="007D2940"/>
    <w:pPr>
      <w:overflowPunct/>
      <w:autoSpaceDE/>
      <w:autoSpaceDN/>
      <w:adjustRightInd/>
      <w:spacing w:line="240" w:lineRule="auto"/>
      <w:textAlignment w:val="auto"/>
    </w:pPr>
    <w:rPr>
      <w:rFonts w:ascii="Times New Roman" w:hAnsi="Times New Roman"/>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2346</Words>
  <Characters>14951</Characters>
  <Application>Microsoft Office Word</Application>
  <DocSecurity>4</DocSecurity>
  <Lines>393</Lines>
  <Paragraphs>142</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2011-11-14T09:58:00Z</cp:lastPrinted>
  <dcterms:created xsi:type="dcterms:W3CDTF">2025-12-17T21:38:00Z</dcterms:created>
  <dcterms:modified xsi:type="dcterms:W3CDTF">2025-12-17T21:38:00Z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