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D4F906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77059F">
              <w:rPr>
                <w:b/>
              </w:rPr>
              <w:t>8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AFBA14A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10</w:t>
            </w:r>
            <w:r w:rsidRPr="0012669A">
              <w:t>-</w:t>
            </w:r>
            <w:r w:rsidR="0077059F">
              <w:t>22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036CEA6D" w:rsidR="00141DA2" w:rsidRPr="0012669A" w:rsidRDefault="00A24521" w:rsidP="008C57B9">
            <w:r>
              <w:t>1</w:t>
            </w:r>
            <w:r w:rsidR="001210A1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EE6D7D">
              <w:t>10.30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555B25A6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6E23F8">
              <w:t xml:space="preserve"> </w:t>
            </w:r>
            <w:r w:rsidR="00EE6D7D">
              <w:t xml:space="preserve">Anna-Caren Sätherberg (S), Mattias Jonsson (S), Helena Lindahl (C), Lotta Olsson (M), Mathias Tegnér (S), Åsa Eriksson (S), Eric Palmqvist (SD), Lorentz Tovatt (MP), Patrik Engström (S), </w:t>
            </w:r>
            <w:r w:rsidR="002F72BA">
              <w:rPr>
                <w:lang w:val="en-US"/>
              </w:rPr>
              <w:t>Per Schöldberg (C)</w:t>
            </w:r>
            <w:r w:rsidR="00EE6D7D">
              <w:rPr>
                <w:lang w:val="en-US"/>
              </w:rPr>
              <w:t xml:space="preserve"> och Lorena Delgado Varas (V).</w:t>
            </w:r>
            <w:r w:rsidR="00A204CA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2AE7028D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7059F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00AD112" w14:textId="77777777" w:rsidR="0077059F" w:rsidRDefault="0077059F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Utgiftsramar för utgiftsområde 19 Regional utveckling, 21 Energi och 24 Näringsliv</w:t>
            </w:r>
          </w:p>
          <w:p w14:paraId="1A0376E8" w14:textId="77777777" w:rsidR="0077059F" w:rsidRDefault="0077059F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F5742E" w14:textId="77777777" w:rsidR="0077059F" w:rsidRDefault="0077059F" w:rsidP="0077059F">
            <w:r>
              <w:rPr>
                <w:color w:val="000000"/>
              </w:rPr>
              <w:t xml:space="preserve">Utskottet fortsatte behandlingen av </w:t>
            </w:r>
            <w:r>
              <w:t xml:space="preserve">yttrande till finansutskottet över proposition 2020/21:1 (budgetpropositionen) såvitt gäller budgetens utgiftsramar m.m. och motioner. </w:t>
            </w:r>
          </w:p>
          <w:p w14:paraId="392F0BCE" w14:textId="2EE00DCD" w:rsidR="0077059F" w:rsidRDefault="0077059F" w:rsidP="0077059F">
            <w:r>
              <w:t xml:space="preserve"> </w:t>
            </w:r>
          </w:p>
          <w:p w14:paraId="4B75EFE4" w14:textId="77777777" w:rsidR="0077059F" w:rsidRDefault="0077059F" w:rsidP="0077059F">
            <w:r>
              <w:t>Ärendet bordlades.</w:t>
            </w:r>
          </w:p>
          <w:p w14:paraId="2DFB707E" w14:textId="486DB7E4" w:rsidR="0077059F" w:rsidRPr="001210A1" w:rsidRDefault="0077059F" w:rsidP="0077059F">
            <w:pPr>
              <w:spacing w:after="100" w:afterAutospacing="1"/>
              <w:rPr>
                <w:snapToGrid w:val="0"/>
              </w:rPr>
            </w:pPr>
          </w:p>
        </w:tc>
      </w:tr>
      <w:tr w:rsidR="0077059F" w:rsidRPr="00A25DBE" w14:paraId="006A0CC7" w14:textId="77777777" w:rsidTr="00823B30">
        <w:trPr>
          <w:trHeight w:val="919"/>
        </w:trPr>
        <w:tc>
          <w:tcPr>
            <w:tcW w:w="567" w:type="dxa"/>
          </w:tcPr>
          <w:p w14:paraId="4B9861AF" w14:textId="420D954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85A33B4" w14:textId="597DE3A1" w:rsidR="0077059F" w:rsidRDefault="0077059F" w:rsidP="0077059F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Kommissionens arbetsprogram 2021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222222"/>
              </w:rPr>
              <w:t>Utskottet behandlade fråga om yttrande till utrikesutskottet över kommissionens arbetsprogram 2021.</w:t>
            </w:r>
          </w:p>
          <w:p w14:paraId="5961387F" w14:textId="2CD8BF1B" w:rsidR="0077059F" w:rsidRDefault="0077059F" w:rsidP="0077059F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222222"/>
              </w:rPr>
              <w:t>Utskottet beslutade att inte avge yttrande.</w:t>
            </w:r>
            <w:r>
              <w:rPr>
                <w:bCs/>
                <w:color w:val="000000"/>
              </w:rPr>
              <w:t xml:space="preserve"> </w:t>
            </w:r>
          </w:p>
          <w:p w14:paraId="122834B8" w14:textId="2B7B3C61" w:rsidR="00E14E28" w:rsidRDefault="00E14E28" w:rsidP="0077059F">
            <w:pPr>
              <w:spacing w:after="100" w:afterAutospacing="1"/>
              <w:rPr>
                <w:bCs/>
                <w:color w:val="000000"/>
              </w:rPr>
            </w:pPr>
          </w:p>
          <w:p w14:paraId="31C81E4B" w14:textId="77777777" w:rsidR="00E14E28" w:rsidRDefault="00E14E28" w:rsidP="0077059F">
            <w:pPr>
              <w:spacing w:after="100" w:afterAutospacing="1"/>
              <w:rPr>
                <w:bCs/>
                <w:color w:val="000000"/>
              </w:rPr>
            </w:pPr>
          </w:p>
          <w:p w14:paraId="2FE85DFA" w14:textId="4A45231F" w:rsidR="0077059F" w:rsidRPr="001210A1" w:rsidRDefault="0077059F" w:rsidP="0077059F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77059F" w:rsidRPr="00A25DBE" w14:paraId="7E15881B" w14:textId="77777777" w:rsidTr="00823B30">
        <w:trPr>
          <w:trHeight w:val="919"/>
        </w:trPr>
        <w:tc>
          <w:tcPr>
            <w:tcW w:w="567" w:type="dxa"/>
          </w:tcPr>
          <w:p w14:paraId="4D3F66F9" w14:textId="62FD76C6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00C19A14" w14:textId="0A75F9CE" w:rsidR="0077059F" w:rsidRDefault="0077059F" w:rsidP="0077059F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Förslag </w:t>
            </w:r>
            <w:r w:rsidR="00EE6D7D">
              <w:rPr>
                <w:b/>
                <w:color w:val="222222"/>
              </w:rPr>
              <w:t>om</w:t>
            </w:r>
            <w:r>
              <w:rPr>
                <w:b/>
                <w:color w:val="222222"/>
              </w:rPr>
              <w:t xml:space="preserve"> utskottsinitiativ</w:t>
            </w:r>
            <w:r w:rsidR="00EE6D7D">
              <w:rPr>
                <w:b/>
                <w:color w:val="222222"/>
              </w:rPr>
              <w:t xml:space="preserve"> om en uppföljning av situationen på elmarknaden</w:t>
            </w:r>
          </w:p>
          <w:p w14:paraId="314748C4" w14:textId="0E939993" w:rsidR="0077059F" w:rsidRDefault="0077059F" w:rsidP="0077059F">
            <w:pPr>
              <w:spacing w:after="100" w:afterAutospacing="1"/>
              <w:rPr>
                <w:color w:val="222222"/>
              </w:rPr>
            </w:pPr>
            <w:r w:rsidRPr="0077059F">
              <w:rPr>
                <w:color w:val="222222"/>
              </w:rPr>
              <w:t xml:space="preserve">M-, C-, KD- och L-ledamöterna föreslog </w:t>
            </w:r>
            <w:r w:rsidR="00EE6D7D">
              <w:rPr>
                <w:color w:val="222222"/>
              </w:rPr>
              <w:t>att utskottet skulle ta ett initiativ om en uppföljning av situationen på elmarknaden</w:t>
            </w:r>
            <w:r w:rsidR="00E14E28">
              <w:rPr>
                <w:color w:val="222222"/>
              </w:rPr>
              <w:t>, enligt</w:t>
            </w:r>
            <w:r w:rsidR="00E14E28">
              <w:rPr>
                <w:color w:val="222222"/>
              </w:rPr>
              <w:br/>
              <w:t>bilaga 2.</w:t>
            </w:r>
          </w:p>
          <w:p w14:paraId="145E3B4C" w14:textId="041F6EF8" w:rsidR="00EE6D7D" w:rsidRPr="00EE6D7D" w:rsidRDefault="0077059F" w:rsidP="0077059F">
            <w:pPr>
              <w:spacing w:after="100" w:afterAutospacing="1"/>
              <w:rPr>
                <w:b/>
                <w:color w:val="222222"/>
              </w:rPr>
            </w:pPr>
            <w:r w:rsidRPr="0077059F">
              <w:rPr>
                <w:color w:val="222222"/>
              </w:rPr>
              <w:t>Förslaget bordlades.</w:t>
            </w:r>
            <w:r>
              <w:rPr>
                <w:b/>
                <w:color w:val="222222"/>
              </w:rPr>
              <w:t xml:space="preserve"> </w:t>
            </w:r>
            <w:r w:rsidR="00EE6D7D">
              <w:rPr>
                <w:b/>
                <w:color w:val="222222"/>
              </w:rPr>
              <w:br/>
            </w:r>
          </w:p>
        </w:tc>
      </w:tr>
      <w:tr w:rsidR="0077059F" w:rsidRPr="00A25DBE" w14:paraId="2F580917" w14:textId="77777777" w:rsidTr="00823B30">
        <w:trPr>
          <w:trHeight w:val="919"/>
        </w:trPr>
        <w:tc>
          <w:tcPr>
            <w:tcW w:w="567" w:type="dxa"/>
          </w:tcPr>
          <w:p w14:paraId="7CA337C5" w14:textId="7AE48D52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3A0239B9" w14:textId="77777777" w:rsidR="0077059F" w:rsidRDefault="0077059F" w:rsidP="0077059F">
            <w:pPr>
              <w:spacing w:after="100" w:afterAutospacing="1"/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</w:p>
          <w:p w14:paraId="1C9F8903" w14:textId="1C4263FA" w:rsidR="0077059F" w:rsidRPr="0077059F" w:rsidRDefault="0077059F" w:rsidP="0077059F">
            <w:pPr>
              <w:spacing w:after="100" w:afterAutospacing="1"/>
              <w:rPr>
                <w:color w:val="222222"/>
              </w:rPr>
            </w:pPr>
          </w:p>
        </w:tc>
      </w:tr>
      <w:tr w:rsidR="0077059F" w:rsidRPr="00A25DBE" w14:paraId="451C4429" w14:textId="77777777" w:rsidTr="00823B30">
        <w:trPr>
          <w:trHeight w:val="919"/>
        </w:trPr>
        <w:tc>
          <w:tcPr>
            <w:tcW w:w="567" w:type="dxa"/>
          </w:tcPr>
          <w:p w14:paraId="570D6430" w14:textId="7614BD9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25E46E9" w14:textId="77777777" w:rsidR="0077059F" w:rsidRPr="0077059F" w:rsidRDefault="0077059F" w:rsidP="0077059F">
            <w:pPr>
              <w:spacing w:after="100" w:afterAutospacing="1"/>
              <w:rPr>
                <w:b/>
                <w:color w:val="222222"/>
              </w:rPr>
            </w:pPr>
            <w:r w:rsidRPr="0077059F">
              <w:rPr>
                <w:b/>
                <w:color w:val="222222"/>
              </w:rPr>
              <w:t>Information om offentlig utfrågning</w:t>
            </w:r>
          </w:p>
          <w:p w14:paraId="59BA236F" w14:textId="4148420D" w:rsidR="0077059F" w:rsidRDefault="0077059F" w:rsidP="0077059F">
            <w:pPr>
              <w:spacing w:after="100" w:afterAutospacing="1"/>
              <w:rPr>
                <w:color w:val="222222"/>
              </w:rPr>
            </w:pPr>
            <w:r w:rsidRPr="0077059F">
              <w:rPr>
                <w:color w:val="222222"/>
              </w:rPr>
              <w:t xml:space="preserve">Utskottet informerades om den planerade offentliga utfrågningen om </w:t>
            </w:r>
            <w:r>
              <w:rPr>
                <w:color w:val="222222"/>
              </w:rPr>
              <w:t>Artificiell intelligens – Möjligheter och utmaningar för Sverige och svenska företag.</w:t>
            </w:r>
          </w:p>
          <w:p w14:paraId="0C1AD0C1" w14:textId="50DB3A70" w:rsidR="00E14E28" w:rsidRDefault="00E14E28" w:rsidP="0077059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beslutade att bjuda in en ledamot per parti från utbildningsutskottet och trafikutskottet att delta vid utfrågningen.</w:t>
            </w:r>
          </w:p>
          <w:p w14:paraId="37C96B0B" w14:textId="3D67FF4E" w:rsidR="0077059F" w:rsidRPr="0077059F" w:rsidRDefault="0077059F" w:rsidP="0077059F">
            <w:pPr>
              <w:spacing w:after="100" w:afterAutospacing="1"/>
              <w:rPr>
                <w:rStyle w:val="bold"/>
                <w:color w:val="222222"/>
              </w:rPr>
            </w:pPr>
          </w:p>
        </w:tc>
      </w:tr>
      <w:tr w:rsidR="0077059F" w:rsidRPr="00A25DBE" w14:paraId="058CD9D5" w14:textId="77777777" w:rsidTr="00823B30">
        <w:trPr>
          <w:trHeight w:val="919"/>
        </w:trPr>
        <w:tc>
          <w:tcPr>
            <w:tcW w:w="567" w:type="dxa"/>
          </w:tcPr>
          <w:p w14:paraId="35718B1F" w14:textId="3AB77402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3F1C7728" w14:textId="45045764" w:rsidR="0077059F" w:rsidRPr="0077059F" w:rsidRDefault="0077059F" w:rsidP="0077059F">
            <w:pPr>
              <w:spacing w:after="100" w:afterAutospacing="1"/>
              <w:rPr>
                <w:b/>
                <w:color w:val="222222"/>
              </w:rPr>
            </w:pPr>
            <w:r w:rsidRPr="0077059F">
              <w:rPr>
                <w:b/>
                <w:color w:val="222222"/>
              </w:rPr>
              <w:t>Allmänna motionstiden 2020/21</w:t>
            </w:r>
          </w:p>
          <w:p w14:paraId="42140AC1" w14:textId="7F3F81AC" w:rsidR="0077059F" w:rsidRPr="0077059F" w:rsidRDefault="0077059F" w:rsidP="0077059F">
            <w:pPr>
              <w:spacing w:after="100" w:afterAutospacing="1"/>
              <w:rPr>
                <w:color w:val="222222"/>
              </w:rPr>
            </w:pPr>
            <w:r w:rsidRPr="0077059F">
              <w:rPr>
                <w:color w:val="222222"/>
              </w:rPr>
              <w:t>Sammanställning över motionsyrkanden från den allmänna motionstiden 20</w:t>
            </w:r>
            <w:r>
              <w:rPr>
                <w:color w:val="222222"/>
              </w:rPr>
              <w:t>20</w:t>
            </w:r>
            <w:r w:rsidRPr="0077059F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77059F">
              <w:rPr>
                <w:color w:val="222222"/>
              </w:rPr>
              <w:t xml:space="preserve"> som hänvisats till utskottet anmäldes.</w:t>
            </w:r>
          </w:p>
          <w:p w14:paraId="5FF2ED77" w14:textId="77777777" w:rsidR="0077059F" w:rsidRPr="0077059F" w:rsidRDefault="0077059F" w:rsidP="0077059F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1C63F30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8FDB8F0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E14E28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dagen den </w:t>
            </w:r>
            <w:r w:rsidR="00EE6D7D">
              <w:rPr>
                <w:color w:val="000000"/>
              </w:rPr>
              <w:t>3 november</w:t>
            </w:r>
            <w:r>
              <w:rPr>
                <w:color w:val="000000"/>
              </w:rPr>
              <w:t xml:space="preserve"> kl. 1</w:t>
            </w:r>
            <w:r w:rsidR="00E14E28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77059F" w:rsidRDefault="0077059F" w:rsidP="0077059F">
            <w:pPr>
              <w:tabs>
                <w:tab w:val="left" w:pos="1701"/>
              </w:tabs>
            </w:pPr>
          </w:p>
          <w:p w14:paraId="325EAE44" w14:textId="77777777" w:rsidR="0077059F" w:rsidRDefault="0077059F" w:rsidP="0077059F">
            <w:pPr>
              <w:tabs>
                <w:tab w:val="left" w:pos="1701"/>
              </w:tabs>
            </w:pPr>
          </w:p>
          <w:p w14:paraId="2B45526F" w14:textId="77777777" w:rsidR="0077059F" w:rsidRDefault="0077059F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102B394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>
              <w:t xml:space="preserve">3 november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F8C293A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7059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23981AD0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EE6D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B308E5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B308E5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B308E5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79DF8C25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3791AC2D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B308E5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5C08512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6A870127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B308E5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584427F5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B308E5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1010737C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9BDC655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B308E5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622B2241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06E8D0A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B308E5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2BCDF906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C256A28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B308E5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2668335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B308E5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17D713C1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1C459B3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B308E5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14B212E1" w:rsidR="001527D1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B308E5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311D8BE9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0E8AF61E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B308E5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4108F1B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B308E5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558D3758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0A4EA6C0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B308E5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67427FCC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B308E5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259112AC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D2DAC77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B308E5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5C3E5EFE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B308E5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5FCF2996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B308E5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B308E5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B308E5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5F5D253E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B308E5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44A1D0E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B308E5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B308E5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B308E5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B308E5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B308E5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BE72236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B308E5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609EE220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B308E5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B308E5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B308E5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B308E5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B308E5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B308E5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B308E5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B308E5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B308E5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B308E5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B308E5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B308E5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B308E5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B308E5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B308E5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498612F2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DD824FC" w:rsidR="002770CB" w:rsidRPr="0012669A" w:rsidRDefault="00EE6D7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B308E5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25070EC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77777777" w:rsidR="00E14E28" w:rsidRPr="00E14E28" w:rsidRDefault="00E14E28" w:rsidP="00F21421">
      <w:pPr>
        <w:tabs>
          <w:tab w:val="left" w:pos="1701"/>
        </w:tabs>
      </w:pPr>
    </w:p>
    <w:sectPr w:rsidR="00E14E28" w:rsidRPr="00E14E28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5CDB0" w14:textId="77777777" w:rsidR="006E7615" w:rsidRDefault="006E7615" w:rsidP="002130F1">
      <w:r>
        <w:separator/>
      </w:r>
    </w:p>
  </w:endnote>
  <w:endnote w:type="continuationSeparator" w:id="0">
    <w:p w14:paraId="200F4170" w14:textId="77777777" w:rsidR="006E7615" w:rsidRDefault="006E761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7A26" w14:textId="77777777" w:rsidR="006E7615" w:rsidRDefault="006E7615" w:rsidP="002130F1">
      <w:r>
        <w:separator/>
      </w:r>
    </w:p>
  </w:footnote>
  <w:footnote w:type="continuationSeparator" w:id="0">
    <w:p w14:paraId="25681B15" w14:textId="77777777" w:rsidR="006E7615" w:rsidRDefault="006E761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4B2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84E0C"/>
    <w:rsid w:val="00386554"/>
    <w:rsid w:val="00391552"/>
    <w:rsid w:val="003977B2"/>
    <w:rsid w:val="003A09E2"/>
    <w:rsid w:val="003A0C53"/>
    <w:rsid w:val="003A0F50"/>
    <w:rsid w:val="003A33A5"/>
    <w:rsid w:val="003A54BB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1421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A1AF-B463-496E-A988-D3812E04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3625</Characters>
  <Application>Microsoft Office Word</Application>
  <DocSecurity>4</DocSecurity>
  <Lines>1208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2020-10-23T06:52:00Z</cp:lastPrinted>
  <dcterms:created xsi:type="dcterms:W3CDTF">2020-11-03T15:12:00Z</dcterms:created>
  <dcterms:modified xsi:type="dcterms:W3CDTF">2020-11-03T15:12:00Z</dcterms:modified>
</cp:coreProperties>
</file>