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32D8C">
        <w:tblPrEx>
          <w:tblCellMar>
            <w:top w:w="0" w:type="dxa"/>
            <w:bottom w:w="0" w:type="dxa"/>
          </w:tblCellMar>
        </w:tblPrEx>
        <w:trPr>
          <w:cantSplit/>
          <w:trHeight w:val="1720"/>
        </w:trPr>
        <w:tc>
          <w:tcPr>
            <w:tcW w:w="6024" w:type="dxa"/>
            <w:gridSpan w:val="2"/>
          </w:tcPr>
          <w:p w:rsidR="006A2B28" w:rsidRPr="00E32D8C" w:rsidRDefault="006A2B28">
            <w:pPr>
              <w:pStyle w:val="HuvudRubrik"/>
            </w:pPr>
            <w:r w:rsidRPr="00E32D8C">
              <w:t>Bostadsutskottets yttrande</w:t>
            </w:r>
          </w:p>
          <w:p w:rsidR="006A2B28" w:rsidRPr="00E32D8C" w:rsidRDefault="006A2B28">
            <w:pPr>
              <w:pStyle w:val="HuvudRubrikRad2"/>
            </w:pPr>
            <w:bookmarkStart w:id="0" w:name="BetänkandeNr"/>
            <w:bookmarkEnd w:id="0"/>
            <w:r w:rsidRPr="00E32D8C">
              <w:t>2003/04:BoU3y</w:t>
            </w:r>
          </w:p>
        </w:tc>
        <w:tc>
          <w:tcPr>
            <w:tcW w:w="1418" w:type="dxa"/>
            <w:tcBorders>
              <w:bottom w:val="nil"/>
            </w:tcBorders>
          </w:tcPr>
          <w:p w:rsidR="006A2B28" w:rsidRPr="00E32D8C" w:rsidRDefault="00E32D8C">
            <w:pPr>
              <w:spacing w:line="230" w:lineRule="auto"/>
              <w:jc w:val="center"/>
            </w:pPr>
            <w:r w:rsidRPr="00E32D8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A2B28" w:rsidRPr="00E32D8C" w:rsidRDefault="006A2B28">
            <w:pPr>
              <w:pStyle w:val="Normaltindrag"/>
              <w:jc w:val="center"/>
            </w:pPr>
          </w:p>
          <w:p w:rsidR="006A2B28" w:rsidRPr="00E32D8C" w:rsidRDefault="006A2B28">
            <w:pPr>
              <w:pStyle w:val="StatusSida1"/>
            </w:pPr>
          </w:p>
          <w:p w:rsidR="006A2B28" w:rsidRPr="00E32D8C" w:rsidRDefault="006A2B28">
            <w:pPr>
              <w:pStyle w:val="UtskriftsdatumSida1"/>
              <w:framePr w:wrap="around"/>
            </w:pPr>
          </w:p>
        </w:tc>
      </w:tr>
      <w:tr w:rsidR="00000000" w:rsidRPr="00E32D8C">
        <w:tblPrEx>
          <w:tblCellMar>
            <w:top w:w="0" w:type="dxa"/>
            <w:bottom w:w="0" w:type="dxa"/>
          </w:tblCellMar>
        </w:tblPrEx>
        <w:trPr>
          <w:cantSplit/>
        </w:trPr>
        <w:tc>
          <w:tcPr>
            <w:tcW w:w="6024" w:type="dxa"/>
            <w:gridSpan w:val="2"/>
            <w:tcBorders>
              <w:bottom w:val="single" w:sz="4" w:space="0" w:color="auto"/>
            </w:tcBorders>
          </w:tcPr>
          <w:p w:rsidR="006A2B28" w:rsidRPr="00E32D8C" w:rsidRDefault="006A2B28">
            <w:pPr>
              <w:pStyle w:val="DokumentRubrik"/>
              <w:rPr>
                <w:noProof w:val="0"/>
              </w:rPr>
            </w:pPr>
            <w:bookmarkStart w:id="1" w:name="Huvudrubrik"/>
            <w:bookmarkEnd w:id="1"/>
            <w:r w:rsidRPr="00E32D8C">
              <w:rPr>
                <w:noProof w:val="0"/>
              </w:rPr>
              <w:t>Regeringens behandling av riksdagens skrivelser</w:t>
            </w:r>
          </w:p>
        </w:tc>
        <w:tc>
          <w:tcPr>
            <w:tcW w:w="1418" w:type="dxa"/>
            <w:tcBorders>
              <w:bottom w:val="nil"/>
            </w:tcBorders>
          </w:tcPr>
          <w:p w:rsidR="006A2B28" w:rsidRPr="00E32D8C" w:rsidRDefault="006A2B28"/>
        </w:tc>
      </w:tr>
      <w:tr w:rsidR="00000000" w:rsidRPr="00E32D8C">
        <w:tblPrEx>
          <w:tblCellMar>
            <w:top w:w="0" w:type="dxa"/>
            <w:bottom w:w="0" w:type="dxa"/>
          </w:tblCellMar>
        </w:tblPrEx>
        <w:trPr>
          <w:cantSplit/>
          <w:trHeight w:hRule="exact" w:val="360"/>
        </w:trPr>
        <w:tc>
          <w:tcPr>
            <w:tcW w:w="3012" w:type="dxa"/>
          </w:tcPr>
          <w:p w:rsidR="006A2B28" w:rsidRPr="00E32D8C" w:rsidRDefault="006A2B28"/>
        </w:tc>
        <w:tc>
          <w:tcPr>
            <w:tcW w:w="3012" w:type="dxa"/>
          </w:tcPr>
          <w:p w:rsidR="006A2B28" w:rsidRPr="00E32D8C" w:rsidRDefault="006A2B28"/>
        </w:tc>
        <w:tc>
          <w:tcPr>
            <w:tcW w:w="1418" w:type="dxa"/>
          </w:tcPr>
          <w:p w:rsidR="006A2B28" w:rsidRPr="00E32D8C" w:rsidRDefault="006A2B28"/>
        </w:tc>
      </w:tr>
    </w:tbl>
    <w:p w:rsidR="006A2B28" w:rsidRPr="00E32D8C" w:rsidRDefault="006A2B28">
      <w:pPr>
        <w:pStyle w:val="R1"/>
      </w:pPr>
      <w:r w:rsidRPr="00E32D8C">
        <w:t>Till konstitutionsutskottet</w:t>
      </w:r>
    </w:p>
    <w:p w:rsidR="006A2B28" w:rsidRPr="00E32D8C" w:rsidRDefault="006A2B28">
      <w:bookmarkStart w:id="2" w:name="TextStart"/>
      <w:bookmarkEnd w:id="2"/>
      <w:r w:rsidRPr="00E32D8C">
        <w:t>Konstitutionsutskottet har anmodat övriga utskott att yttra sig över regerin</w:t>
      </w:r>
      <w:r w:rsidRPr="00E32D8C">
        <w:t>g</w:t>
      </w:r>
      <w:r w:rsidRPr="00E32D8C">
        <w:t xml:space="preserve">ens skrivelse 2003/04:75 </w:t>
      </w:r>
      <w:r w:rsidRPr="00E32D8C">
        <w:rPr>
          <w:i/>
        </w:rPr>
        <w:t>Redogörelse för behandlingen av riksdagens skr</w:t>
      </w:r>
      <w:r w:rsidRPr="00E32D8C">
        <w:rPr>
          <w:i/>
        </w:rPr>
        <w:t>i</w:t>
      </w:r>
      <w:r w:rsidRPr="00E32D8C">
        <w:rPr>
          <w:i/>
        </w:rPr>
        <w:t>velser till regeringen</w:t>
      </w:r>
      <w:r w:rsidRPr="00E32D8C">
        <w:t xml:space="preserve"> samt de motioner som väckts med anledning av skrive</w:t>
      </w:r>
      <w:r w:rsidRPr="00E32D8C">
        <w:t>l</w:t>
      </w:r>
      <w:r w:rsidRPr="00E32D8C">
        <w:t>sen.</w:t>
      </w:r>
    </w:p>
    <w:p w:rsidR="006A2B28" w:rsidRPr="00E32D8C" w:rsidRDefault="006A2B28">
      <w:pPr>
        <w:pStyle w:val="Normaltindrag"/>
      </w:pPr>
    </w:p>
    <w:p w:rsidR="006A2B28" w:rsidRPr="00E32D8C" w:rsidRDefault="006A2B28">
      <w:pPr>
        <w:pStyle w:val="Normaltindrag"/>
      </w:pPr>
    </w:p>
    <w:p w:rsidR="006A2B28" w:rsidRPr="00E32D8C" w:rsidRDefault="006A2B28">
      <w:pPr>
        <w:pStyle w:val="Rubrik1"/>
        <w:rPr>
          <w:noProof w:val="0"/>
        </w:rPr>
      </w:pPr>
      <w:r w:rsidRPr="00E32D8C">
        <w:rPr>
          <w:noProof w:val="0"/>
        </w:rPr>
        <w:t>Utskottets överväganden</w:t>
      </w:r>
    </w:p>
    <w:p w:rsidR="006A2B28" w:rsidRPr="00E32D8C" w:rsidRDefault="006A2B28">
      <w:r w:rsidRPr="00E32D8C">
        <w:t xml:space="preserve">Utskottet har granskat regeringens skrivelse i de delar den berör utskottets beredningsområde. Vid sin genomgång av skrivelsen har utskottet särskilt uppmärksammat hur de krav på skrivelsens innehåll och utformning som utskottet tidigare givit uttryck för har beaktats. </w:t>
      </w:r>
    </w:p>
    <w:p w:rsidR="006A2B28" w:rsidRPr="00E32D8C" w:rsidRDefault="006A2B28">
      <w:pPr>
        <w:pStyle w:val="Normaltindrag"/>
      </w:pPr>
      <w:r w:rsidRPr="00E32D8C">
        <w:t>I sitt yttrande våren 2002 (yttr. 2001/02:BoU6y) förespråkade utskottet en huvudprincip som innebär att det i regeringens propositioner och skrivelser uttryckligen bör redovisas vilka riksdagens tillkännagivanden som berörs av förslagen och regeringens ställningstagande till om riksdagens skrivelse ang</w:t>
      </w:r>
      <w:r w:rsidRPr="00E32D8C">
        <w:t>å</w:t>
      </w:r>
      <w:r w:rsidRPr="00E32D8C">
        <w:t>ende tillkännagivandet är slutbehandlad eller inte. Bakgrunden var bl.a. en strävan att underlätta riksdagens arbete med uppföljning och utvärdering.</w:t>
      </w:r>
    </w:p>
    <w:p w:rsidR="006A2B28" w:rsidRPr="00E32D8C" w:rsidRDefault="006A2B28">
      <w:pPr>
        <w:pStyle w:val="Normaltindrag"/>
      </w:pPr>
      <w:r w:rsidRPr="00E32D8C">
        <w:t>Våren 2003 (yttr. 2002/03:BoU2y) påtalade utskottet vikten av att rege</w:t>
      </w:r>
      <w:r w:rsidRPr="00E32D8C">
        <w:t>r</w:t>
      </w:r>
      <w:r w:rsidRPr="00E32D8C">
        <w:t>ingen efter ett tillkännagivande av riksdagen utan något egentligt dröjsmål vidtar de åtgärder som är nödvändiga med anledning av tillkännagivandet. Vidare uttalade utskottet att i de undantagsfall regeringen avvaktar med vid</w:t>
      </w:r>
      <w:r w:rsidRPr="00E32D8C">
        <w:t>a</w:t>
      </w:r>
      <w:r w:rsidRPr="00E32D8C">
        <w:t>re beredningsåtgärder bör regeringen för riksdagen skyndsamt redovisa sitt dröjsmål och skälen för detta. Motsvarande borde enligt utskottet gälla om en pågående beredningsåtgärd alltför länge drar ut på tiden. Slutligen ansåg utskottet det vara en lämplig ordning att regeringen i sin</w:t>
      </w:r>
      <w:r w:rsidRPr="00E32D8C">
        <w:t xml:space="preserve"> årliga skrivelse till riksdagen på ett mer preciserat sätt anger ors</w:t>
      </w:r>
      <w:r w:rsidRPr="00E32D8C">
        <w:t>a</w:t>
      </w:r>
      <w:r w:rsidRPr="00E32D8C">
        <w:t>ken till en längre tidsutdräkt.</w:t>
      </w:r>
    </w:p>
    <w:p w:rsidR="006A2B28" w:rsidRPr="00E32D8C" w:rsidRDefault="006A2B28">
      <w:pPr>
        <w:pStyle w:val="Normaltindrag"/>
      </w:pPr>
      <w:r w:rsidRPr="00E32D8C">
        <w:lastRenderedPageBreak/>
        <w:t>Vid sin senaste behandling av frågan berörde konstitutionsutskottet (bet. 2002/03:KU29) bl.a. de synpunkter som bostadsutskottet framförde 2002. När det gäller utformningen av regeringens redogörelse redovisar konstitutionsu</w:t>
      </w:r>
      <w:r w:rsidRPr="00E32D8C">
        <w:t>t</w:t>
      </w:r>
      <w:r w:rsidRPr="00E32D8C">
        <w:t>skottet att samråd har skett med Regeringskansliet med anledning av de kr</w:t>
      </w:r>
      <w:r w:rsidRPr="00E32D8C">
        <w:t>i</w:t>
      </w:r>
      <w:r w:rsidRPr="00E32D8C">
        <w:t>tiska synpunkter som bl.a. bostadsutskottet framfört vad gäller skrivelsens utformning. Konstitutionsutskottet aviserar även fortsatta diskussioner med Regeringskansliet angående hur utformningen av regeringens redogörelse för behandlingen av riksdagens skrivelser kan göras så ändamålsenlig som mö</w:t>
      </w:r>
      <w:r w:rsidRPr="00E32D8C">
        <w:t>j</w:t>
      </w:r>
      <w:r w:rsidRPr="00E32D8C">
        <w:t>ligt. En möjlig utveckling vore enligt konstitutionsutskottet att på sikt komplettera den skriftliga redovisningen med ett databaserat reg</w:t>
      </w:r>
      <w:r w:rsidRPr="00E32D8C">
        <w:t xml:space="preserve">ister med löpande aktualisering enligt den modell som tillämpas för t.ex. författningar och offentliga utredningar. </w:t>
      </w:r>
    </w:p>
    <w:p w:rsidR="006A2B28" w:rsidRPr="00E32D8C" w:rsidRDefault="006A2B28">
      <w:pPr>
        <w:pStyle w:val="Normaltindrag"/>
        <w:rPr>
          <w:snapToGrid w:val="0"/>
          <w:color w:val="000000"/>
          <w:lang w:eastAsia="sv-SE"/>
        </w:rPr>
      </w:pPr>
      <w:r w:rsidRPr="00E32D8C">
        <w:t>När det gäller innehållet i regeringens redogörelse förutsätter konstit</w:t>
      </w:r>
      <w:r w:rsidRPr="00E32D8C">
        <w:t>u</w:t>
      </w:r>
      <w:r w:rsidRPr="00E32D8C">
        <w:t>tionsutskottet bl.a. att regeringen hörsammar riksdagens tillkännagivanden</w:t>
      </w:r>
      <w:r w:rsidRPr="00E32D8C">
        <w:rPr>
          <w:snapToGrid w:val="0"/>
          <w:color w:val="000000"/>
          <w:lang w:eastAsia="sv-SE"/>
        </w:rPr>
        <w:t xml:space="preserve"> och att regeringen för riksdagen redovisar sina bedömningar om de begärda åtgä</w:t>
      </w:r>
      <w:r w:rsidRPr="00E32D8C">
        <w:rPr>
          <w:snapToGrid w:val="0"/>
          <w:color w:val="000000"/>
          <w:lang w:eastAsia="sv-SE"/>
        </w:rPr>
        <w:t>r</w:t>
      </w:r>
      <w:r w:rsidRPr="00E32D8C">
        <w:rPr>
          <w:snapToGrid w:val="0"/>
          <w:color w:val="000000"/>
          <w:lang w:eastAsia="sv-SE"/>
        </w:rPr>
        <w:t xml:space="preserve">derna inte vidtas. </w:t>
      </w:r>
    </w:p>
    <w:p w:rsidR="006A2B28" w:rsidRPr="00E32D8C" w:rsidRDefault="006A2B28">
      <w:pPr>
        <w:pStyle w:val="Normaltindrag"/>
      </w:pPr>
      <w:r w:rsidRPr="00E32D8C">
        <w:rPr>
          <w:snapToGrid w:val="0"/>
          <w:color w:val="000000"/>
          <w:lang w:eastAsia="sv-SE"/>
        </w:rPr>
        <w:t>Som framgår av den kortfattade redovisningen ovan har bostadsutskottets granskning av motsvarande regeringsskrivelser under de två senaste åren givit utskottet anledning att föra fram vissa principiella synpunkter på skrivelsens utformning. Den genomgång av årets skrivelse som bostadsutskottet nu gjort föranleder inte utskottet att för</w:t>
      </w:r>
      <w:r w:rsidRPr="00E32D8C">
        <w:rPr>
          <w:snapToGrid w:val="0"/>
          <w:color w:val="000000"/>
          <w:lang w:eastAsia="sv-SE"/>
        </w:rPr>
        <w:t>a fram några ytterligare synpunkter på hur regeringsskrivelsen bör utformas. Däremot vidhåller utskottet sina tidigare framförda uppfattningar om hur regeringen bör handlägga riksdagens tillkä</w:t>
      </w:r>
      <w:r w:rsidRPr="00E32D8C">
        <w:rPr>
          <w:snapToGrid w:val="0"/>
          <w:color w:val="000000"/>
          <w:lang w:eastAsia="sv-SE"/>
        </w:rPr>
        <w:t>n</w:t>
      </w:r>
      <w:r w:rsidRPr="00E32D8C">
        <w:rPr>
          <w:snapToGrid w:val="0"/>
          <w:color w:val="000000"/>
          <w:lang w:eastAsia="sv-SE"/>
        </w:rPr>
        <w:t>nagivanden och hur detta bör redovisas för  riksdagen. Det är mot den ba</w:t>
      </w:r>
      <w:r w:rsidRPr="00E32D8C">
        <w:rPr>
          <w:snapToGrid w:val="0"/>
          <w:color w:val="000000"/>
          <w:lang w:eastAsia="sv-SE"/>
        </w:rPr>
        <w:t>k</w:t>
      </w:r>
      <w:r w:rsidRPr="00E32D8C">
        <w:rPr>
          <w:snapToGrid w:val="0"/>
          <w:color w:val="000000"/>
          <w:lang w:eastAsia="sv-SE"/>
        </w:rPr>
        <w:t>grunden värdefullt att konstitutionsutskottet har uppmärksammat bostadsu</w:t>
      </w:r>
      <w:r w:rsidRPr="00E32D8C">
        <w:rPr>
          <w:snapToGrid w:val="0"/>
          <w:color w:val="000000"/>
          <w:lang w:eastAsia="sv-SE"/>
        </w:rPr>
        <w:t>t</w:t>
      </w:r>
      <w:r w:rsidRPr="00E32D8C">
        <w:rPr>
          <w:snapToGrid w:val="0"/>
          <w:color w:val="000000"/>
          <w:lang w:eastAsia="sv-SE"/>
        </w:rPr>
        <w:t xml:space="preserve">skottets förslag om att </w:t>
      </w:r>
      <w:r w:rsidRPr="00E32D8C">
        <w:t>regeringen i propositioner och skrivelser uttryckligen bör redovisa vilka riksdagens tillkännagivanden som berörs av förslagen och huruvida regeringe</w:t>
      </w:r>
      <w:r w:rsidRPr="00E32D8C">
        <w:t>n anser att frågan och därmed också riksdagens skrivelse är slutbehandlad eller inte. Det förhållandet att konstitutionsutskottet inlett ett samråd med Regeringskansliet i denna del innebär att det finns goda föru</w:t>
      </w:r>
      <w:r w:rsidRPr="00E32D8C">
        <w:t>t</w:t>
      </w:r>
      <w:r w:rsidRPr="00E32D8C">
        <w:t xml:space="preserve">sättningar att regeringens redovisning i fortsättningen kommer att ske på ett sätt som ligger väl i linje med vad bostadsutskottet förordat. </w:t>
      </w:r>
    </w:p>
    <w:p w:rsidR="006A2B28" w:rsidRPr="00E32D8C" w:rsidRDefault="006A2B28">
      <w:pPr>
        <w:pStyle w:val="Normaltindrag"/>
      </w:pPr>
      <w:r w:rsidRPr="00E32D8C">
        <w:t>Utskottet har i övrigt inte något att anföra.</w:t>
      </w:r>
    </w:p>
    <w:p w:rsidR="006A2B28" w:rsidRPr="00E32D8C" w:rsidRDefault="006A2B28"/>
    <w:p w:rsidR="006A2B28" w:rsidRPr="00E32D8C" w:rsidRDefault="006A2B28"/>
    <w:p w:rsidR="006A2B28" w:rsidRPr="00E32D8C" w:rsidRDefault="006A2B28">
      <w:pPr>
        <w:pStyle w:val="Utskriftsdatum"/>
      </w:pPr>
      <w:r w:rsidRPr="00E32D8C">
        <w:br w:type="page"/>
        <w:t>Stockholm den 29 april 2004</w:t>
      </w:r>
    </w:p>
    <w:p w:rsidR="006A2B28" w:rsidRPr="00E32D8C" w:rsidRDefault="006A2B28">
      <w:r w:rsidRPr="00E32D8C">
        <w:t>På bostadsutskottets vägnar</w:t>
      </w:r>
    </w:p>
    <w:p w:rsidR="006A2B28" w:rsidRPr="00E32D8C" w:rsidRDefault="006A2B28">
      <w:pPr>
        <w:pStyle w:val="Ordfranden"/>
        <w:rPr>
          <w:noProof w:val="0"/>
        </w:rPr>
      </w:pPr>
      <w:bookmarkStart w:id="3" w:name="Ordförande"/>
      <w:bookmarkEnd w:id="3"/>
      <w:r w:rsidRPr="00E32D8C">
        <w:rPr>
          <w:noProof w:val="0"/>
        </w:rPr>
        <w:t xml:space="preserve">Ragnwi Marcelind </w:t>
      </w:r>
    </w:p>
    <w:p w:rsidR="006A2B28" w:rsidRPr="00E32D8C" w:rsidRDefault="006A2B28">
      <w:pPr>
        <w:pStyle w:val="Deltagare"/>
        <w:rPr>
          <w:noProof w:val="0"/>
        </w:rPr>
      </w:pPr>
      <w:r w:rsidRPr="00E32D8C">
        <w:rPr>
          <w:noProof w:val="0"/>
        </w:rPr>
        <w:t>Följande ledamöter har deltagit i beslutet: Ragnwi Marcelind (kd), Owe Hellberg (v), Anders Ygeman (s), Lilian Virgin (s), Marietta de Pourbaix-Lundin (m), Nina Lundström (fp), Siw Wittgren-Ahl (s), Hans Unander (s), Margareta Pålsson (m), Ingela Thalén (s), Lars Tysklind (fp), Rigmor Stenmark (c), Gunnar Sandberg (s), Peter Danielsson (m), Sten Lundström (v), Helena Hillar Rosenqvist (mp) och Leif Jakobsson (s).</w:t>
      </w:r>
    </w:p>
    <w:p w:rsidR="006A2B28" w:rsidRPr="00E32D8C" w:rsidRDefault="006A2B28">
      <w:pPr>
        <w:pStyle w:val="Normaltindrag"/>
      </w:pPr>
    </w:p>
    <w:p w:rsidR="006A2B28" w:rsidRPr="00E32D8C" w:rsidRDefault="006A2B28">
      <w:pPr>
        <w:pStyle w:val="Tryckort"/>
        <w:framePr w:wrap="around"/>
      </w:pPr>
      <w:r w:rsidRPr="00E32D8C">
        <w:t>Elanders Gotab, Stockholm  2004</w:t>
      </w:r>
    </w:p>
    <w:p w:rsidR="006A2B28" w:rsidRPr="00E32D8C" w:rsidRDefault="006A2B28">
      <w:pPr>
        <w:pStyle w:val="Normaltindrag"/>
      </w:pPr>
    </w:p>
    <w:sectPr w:rsidR="006A2B28" w:rsidRPr="00E32D8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2B28" w:rsidRPr="00E32D8C" w:rsidRDefault="006A2B28">
      <w:pPr>
        <w:spacing w:before="0" w:line="240" w:lineRule="auto"/>
      </w:pPr>
      <w:r w:rsidRPr="00E32D8C">
        <w:separator/>
      </w:r>
    </w:p>
  </w:endnote>
  <w:endnote w:type="continuationSeparator" w:id="0">
    <w:p w:rsidR="006A2B28" w:rsidRPr="00E32D8C" w:rsidRDefault="006A2B28">
      <w:pPr>
        <w:spacing w:before="0" w:line="240" w:lineRule="auto"/>
      </w:pPr>
      <w:r w:rsidRPr="00E32D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B28" w:rsidRPr="00E32D8C" w:rsidRDefault="006A2B28">
    <w:pPr>
      <w:pStyle w:val="SidfotV"/>
      <w:framePr w:w="8732" w:h="284" w:hRule="exact" w:hSpace="0" w:vSpace="0" w:wrap="around" w:xAlign="inside" w:y="13042" w:anchorLock="0"/>
    </w:pPr>
    <w:r w:rsidRPr="00E32D8C">
      <w:fldChar w:fldCharType="begin" w:fldLock="1"/>
    </w:r>
    <w:r w:rsidRPr="00E32D8C">
      <w:instrText xml:space="preserve"> P</w:instrText>
    </w:r>
    <w:r w:rsidRPr="00E32D8C">
      <w:instrText>A</w:instrText>
    </w:r>
    <w:r w:rsidRPr="00E32D8C">
      <w:instrText xml:space="preserve">GE </w:instrText>
    </w:r>
    <w:r w:rsidRPr="00E32D8C">
      <w:fldChar w:fldCharType="separate"/>
    </w:r>
    <w:r w:rsidRPr="00E32D8C">
      <w:t>2</w:t>
    </w:r>
    <w:r w:rsidRPr="00E32D8C">
      <w:fldChar w:fldCharType="end"/>
    </w:r>
  </w:p>
  <w:p w:rsidR="006A2B28" w:rsidRPr="00E32D8C" w:rsidRDefault="006A2B2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B28" w:rsidRPr="00E32D8C" w:rsidRDefault="006A2B28">
    <w:pPr>
      <w:pStyle w:val="SidfotH"/>
      <w:framePr w:w="8732" w:h="284" w:hRule="exact" w:hSpace="0" w:vSpace="0" w:wrap="around" w:xAlign="inside" w:y="13042" w:anchorLock="0"/>
    </w:pPr>
    <w:r w:rsidRPr="00E32D8C">
      <w:fldChar w:fldCharType="begin" w:fldLock="1"/>
    </w:r>
    <w:r w:rsidRPr="00E32D8C">
      <w:instrText xml:space="preserve"> P</w:instrText>
    </w:r>
    <w:r w:rsidRPr="00E32D8C">
      <w:instrText>A</w:instrText>
    </w:r>
    <w:r w:rsidRPr="00E32D8C">
      <w:instrText xml:space="preserve">GE </w:instrText>
    </w:r>
    <w:r w:rsidRPr="00E32D8C">
      <w:fldChar w:fldCharType="separate"/>
    </w:r>
    <w:r w:rsidRPr="00E32D8C">
      <w:t>3</w:t>
    </w:r>
    <w:r w:rsidRPr="00E32D8C">
      <w:fldChar w:fldCharType="end"/>
    </w:r>
  </w:p>
  <w:p w:rsidR="006A2B28" w:rsidRPr="00E32D8C" w:rsidRDefault="006A2B2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B28" w:rsidRPr="00E32D8C" w:rsidRDefault="006A2B28">
    <w:pPr>
      <w:pStyle w:val="SidfotV"/>
      <w:framePr w:w="8732" w:h="284" w:hRule="exact" w:hSpace="0" w:vSpace="0" w:wrap="around" w:xAlign="inside" w:y="13042" w:anchorLock="0"/>
    </w:pPr>
    <w:r w:rsidRPr="00E32D8C">
      <w:fldChar w:fldCharType="begin" w:fldLock="1"/>
    </w:r>
    <w:r w:rsidRPr="00E32D8C">
      <w:instrText xml:space="preserve"> if </w:instrText>
    </w:r>
    <w:r w:rsidRPr="00E32D8C">
      <w:fldChar w:fldCharType="begin" w:fldLock="1"/>
    </w:r>
    <w:r w:rsidRPr="00E32D8C">
      <w:instrText xml:space="preserve"> = </w:instrText>
    </w:r>
    <w:r w:rsidRPr="00E32D8C">
      <w:fldChar w:fldCharType="begin" w:fldLock="1"/>
    </w:r>
    <w:r w:rsidRPr="00E32D8C">
      <w:instrText xml:space="preserve"> = </w:instrText>
    </w:r>
    <w:r w:rsidRPr="00E32D8C">
      <w:fldChar w:fldCharType="begin" w:fldLock="1"/>
    </w:r>
    <w:r w:rsidRPr="00E32D8C">
      <w:instrText xml:space="preserve"> page</w:instrText>
    </w:r>
    <w:r w:rsidRPr="00E32D8C">
      <w:fldChar w:fldCharType="separate"/>
    </w:r>
    <w:r w:rsidR="00E32D8C">
      <w:rPr>
        <w:noProof/>
      </w:rPr>
      <w:instrText>1</w:instrText>
    </w:r>
    <w:r w:rsidRPr="00E32D8C">
      <w:fldChar w:fldCharType="end"/>
    </w:r>
    <w:r w:rsidRPr="00E32D8C">
      <w:instrText xml:space="preserve">/2 </w:instrText>
    </w:r>
    <w:r w:rsidRPr="00E32D8C">
      <w:fldChar w:fldCharType="separate"/>
    </w:r>
    <w:r w:rsidR="00E32D8C">
      <w:rPr>
        <w:noProof/>
      </w:rPr>
      <w:instrText>0,5</w:instrText>
    </w:r>
    <w:r w:rsidRPr="00E32D8C">
      <w:fldChar w:fldCharType="end"/>
    </w:r>
    <w:r w:rsidRPr="00E32D8C">
      <w:instrText xml:space="preserve"> - </w:instrText>
    </w:r>
    <w:r w:rsidRPr="00E32D8C">
      <w:fldChar w:fldCharType="begin" w:fldLock="1"/>
    </w:r>
    <w:r w:rsidRPr="00E32D8C">
      <w:instrText xml:space="preserve"> = int(</w:instrText>
    </w:r>
    <w:r w:rsidRPr="00E32D8C">
      <w:fldChar w:fldCharType="begin" w:fldLock="1"/>
    </w:r>
    <w:r w:rsidRPr="00E32D8C">
      <w:instrText xml:space="preserve"> page</w:instrText>
    </w:r>
    <w:r w:rsidRPr="00E32D8C">
      <w:fldChar w:fldCharType="separate"/>
    </w:r>
    <w:r w:rsidR="00E32D8C">
      <w:rPr>
        <w:noProof/>
      </w:rPr>
      <w:instrText>1</w:instrText>
    </w:r>
    <w:r w:rsidRPr="00E32D8C">
      <w:fldChar w:fldCharType="end"/>
    </w:r>
    <w:r w:rsidRPr="00E32D8C">
      <w:instrText xml:space="preserve">/2) </w:instrText>
    </w:r>
    <w:r w:rsidRPr="00E32D8C">
      <w:fldChar w:fldCharType="separate"/>
    </w:r>
    <w:r w:rsidR="00E32D8C">
      <w:rPr>
        <w:noProof/>
      </w:rPr>
      <w:instrText>0</w:instrText>
    </w:r>
    <w:r w:rsidRPr="00E32D8C">
      <w:fldChar w:fldCharType="end"/>
    </w:r>
    <w:r w:rsidRPr="00E32D8C">
      <w:fldChar w:fldCharType="separate"/>
    </w:r>
    <w:r w:rsidR="00E32D8C">
      <w:rPr>
        <w:noProof/>
      </w:rPr>
      <w:instrText>0,5</w:instrText>
    </w:r>
    <w:r w:rsidRPr="00E32D8C">
      <w:fldChar w:fldCharType="end"/>
    </w:r>
    <w:r w:rsidRPr="00E32D8C">
      <w:instrText xml:space="preserve"> = 0 "</w:instrText>
    </w:r>
    <w:r w:rsidRPr="00E32D8C">
      <w:fldChar w:fldCharType="begin" w:fldLock="1"/>
    </w:r>
    <w:r w:rsidRPr="00E32D8C">
      <w:instrText xml:space="preserve"> P</w:instrText>
    </w:r>
    <w:r w:rsidRPr="00E32D8C">
      <w:instrText>A</w:instrText>
    </w:r>
    <w:r w:rsidRPr="00E32D8C">
      <w:instrText xml:space="preserve">GE </w:instrText>
    </w:r>
    <w:r w:rsidRPr="00E32D8C">
      <w:fldChar w:fldCharType="separate"/>
    </w:r>
    <w:r w:rsidRPr="00E32D8C">
      <w:instrText>4</w:instrText>
    </w:r>
    <w:r w:rsidRPr="00E32D8C">
      <w:fldChar w:fldCharType="end"/>
    </w:r>
  </w:p>
  <w:p w:rsidR="006A2B28" w:rsidRPr="00E32D8C" w:rsidRDefault="006A2B28">
    <w:pPr>
      <w:pStyle w:val="SidfotH"/>
      <w:framePr w:w="8732" w:h="284" w:hRule="exact" w:hSpace="0" w:vSpace="0" w:wrap="around" w:xAlign="inside" w:y="13042" w:anchorLock="0"/>
    </w:pPr>
    <w:r w:rsidRPr="00E32D8C">
      <w:instrText>""</w:instrText>
    </w:r>
    <w:r w:rsidRPr="00E32D8C">
      <w:fldChar w:fldCharType="begin" w:fldLock="1"/>
    </w:r>
    <w:r w:rsidRPr="00E32D8C">
      <w:instrText xml:space="preserve"> P</w:instrText>
    </w:r>
    <w:r w:rsidRPr="00E32D8C">
      <w:instrText>A</w:instrText>
    </w:r>
    <w:r w:rsidRPr="00E32D8C">
      <w:instrText xml:space="preserve">GE </w:instrText>
    </w:r>
    <w:r w:rsidRPr="00E32D8C">
      <w:fldChar w:fldCharType="separate"/>
    </w:r>
    <w:r w:rsidR="00E32D8C">
      <w:rPr>
        <w:noProof/>
      </w:rPr>
      <w:instrText>1</w:instrText>
    </w:r>
    <w:r w:rsidRPr="00E32D8C">
      <w:fldChar w:fldCharType="end"/>
    </w:r>
    <w:r w:rsidRPr="00E32D8C">
      <w:instrText>"</w:instrText>
    </w:r>
    <w:r w:rsidRPr="00E32D8C">
      <w:fldChar w:fldCharType="separate"/>
    </w:r>
    <w:r w:rsidR="00E32D8C">
      <w:rPr>
        <w:noProof/>
      </w:rPr>
      <w:t>1</w:t>
    </w:r>
    <w:r w:rsidRPr="00E32D8C">
      <w:fldChar w:fldCharType="end"/>
    </w:r>
  </w:p>
  <w:p w:rsidR="006A2B28" w:rsidRPr="00E32D8C" w:rsidRDefault="006A2B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2B28" w:rsidRPr="00E32D8C" w:rsidRDefault="006A2B28">
      <w:pPr>
        <w:pStyle w:val="Sidfot"/>
      </w:pPr>
    </w:p>
  </w:footnote>
  <w:footnote w:type="continuationSeparator" w:id="0">
    <w:p w:rsidR="006A2B28" w:rsidRPr="00E32D8C" w:rsidRDefault="006A2B28">
      <w:pPr>
        <w:spacing w:before="0" w:line="240" w:lineRule="auto"/>
      </w:pPr>
      <w:r w:rsidRPr="00E32D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B28" w:rsidRPr="00E32D8C" w:rsidRDefault="006A2B28">
    <w:pPr>
      <w:pStyle w:val="SidhuvudKantJmn"/>
      <w:framePr w:w="8732" w:h="567" w:hRule="exact" w:vSpace="0" w:wrap="around" w:vAnchor="page" w:y="341" w:anchorLock="0"/>
    </w:pPr>
    <w:r w:rsidRPr="00E32D8C">
      <w:rPr>
        <w:rStyle w:val="SidhuvudUtskott"/>
      </w:rPr>
      <w:t>2003/04:BoU3y</w:t>
    </w:r>
    <w:r w:rsidRPr="00E32D8C">
      <w:t xml:space="preserve">     </w:t>
    </w:r>
    <w:r w:rsidRPr="00E32D8C">
      <w:rPr>
        <w:rStyle w:val="SidhuvudBilaga"/>
      </w:rPr>
      <w:t xml:space="preserve"> </w:t>
    </w:r>
    <w:r w:rsidRPr="00E32D8C">
      <w:rPr>
        <w:rStyle w:val="SidhuvudRubrikReferens"/>
      </w:rPr>
      <w:t>Utskottets överväganden</w:t>
    </w:r>
  </w:p>
  <w:p w:rsidR="006A2B28" w:rsidRPr="00E32D8C" w:rsidRDefault="006A2B28">
    <w:pPr>
      <w:pStyle w:val="SidhuvudKantJmn"/>
      <w:framePr w:w="8732" w:h="567" w:hRule="exact" w:vSpace="0" w:wrap="around" w:vAnchor="page" w:y="341" w:anchorLock="0"/>
    </w:pPr>
  </w:p>
  <w:p w:rsidR="006A2B28" w:rsidRPr="00E32D8C" w:rsidRDefault="006A2B2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B28" w:rsidRPr="00E32D8C" w:rsidRDefault="006A2B28">
    <w:pPr>
      <w:pStyle w:val="SidhuvudKantUdda"/>
      <w:framePr w:w="8732" w:h="567" w:hRule="exact" w:vSpace="0" w:wrap="around" w:vAnchor="page" w:y="341" w:anchorLock="0"/>
    </w:pPr>
    <w:r w:rsidRPr="00E32D8C">
      <w:rPr>
        <w:rStyle w:val="SidhuvudRubrikReferens"/>
      </w:rPr>
      <w:t>Utskottets överväganden</w:t>
    </w:r>
    <w:r w:rsidRPr="00E32D8C">
      <w:rPr>
        <w:rStyle w:val="SidhuvudBilaga"/>
      </w:rPr>
      <w:t xml:space="preserve"> </w:t>
    </w:r>
    <w:r w:rsidRPr="00E32D8C">
      <w:t xml:space="preserve">     </w:t>
    </w:r>
    <w:r w:rsidRPr="00E32D8C">
      <w:rPr>
        <w:rStyle w:val="SidhuvudUtskott"/>
      </w:rPr>
      <w:t>2003/04:BoU3y</w:t>
    </w:r>
  </w:p>
  <w:p w:rsidR="006A2B28" w:rsidRPr="00E32D8C" w:rsidRDefault="006A2B28">
    <w:pPr>
      <w:pStyle w:val="SidhuvudKantUdda"/>
      <w:framePr w:w="8732" w:h="567" w:hRule="exact" w:vSpace="0" w:wrap="around" w:vAnchor="page" w:y="341" w:anchorLock="0"/>
    </w:pPr>
  </w:p>
  <w:p w:rsidR="006A2B28" w:rsidRPr="00E32D8C" w:rsidRDefault="006A2B2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B28" w:rsidRPr="00E32D8C" w:rsidRDefault="006A2B28">
    <w:pPr>
      <w:pStyle w:val="SidhuvudKantUdda"/>
      <w:framePr w:w="8732" w:h="567" w:hRule="exact" w:vSpace="0" w:wrap="around" w:vAnchor="page" w:y="341" w:anchorLock="0"/>
    </w:pPr>
    <w:r w:rsidRPr="00E32D8C">
      <w:t xml:space="preserve"> </w:t>
    </w:r>
  </w:p>
  <w:p w:rsidR="006A2B28" w:rsidRPr="00E32D8C" w:rsidRDefault="006A2B2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557626724">
    <w:abstractNumId w:val="10"/>
  </w:num>
  <w:num w:numId="2" w16cid:durableId="1640112669">
    <w:abstractNumId w:val="8"/>
  </w:num>
  <w:num w:numId="3" w16cid:durableId="1529105434">
    <w:abstractNumId w:val="3"/>
  </w:num>
  <w:num w:numId="4" w16cid:durableId="986982706">
    <w:abstractNumId w:val="2"/>
  </w:num>
  <w:num w:numId="5" w16cid:durableId="390884688">
    <w:abstractNumId w:val="1"/>
  </w:num>
  <w:num w:numId="6" w16cid:durableId="1942184722">
    <w:abstractNumId w:val="0"/>
  </w:num>
  <w:num w:numId="7" w16cid:durableId="1670870800">
    <w:abstractNumId w:val="9"/>
  </w:num>
  <w:num w:numId="8" w16cid:durableId="1678460294">
    <w:abstractNumId w:val="7"/>
  </w:num>
  <w:num w:numId="9" w16cid:durableId="1468430878">
    <w:abstractNumId w:val="6"/>
  </w:num>
  <w:num w:numId="10" w16cid:durableId="418599425">
    <w:abstractNumId w:val="5"/>
  </w:num>
  <w:num w:numId="11" w16cid:durableId="733432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304"/>
  </w:docVars>
  <w:rsids>
    <w:rsidRoot w:val="00E3668E"/>
    <w:rsid w:val="006A2B28"/>
    <w:rsid w:val="00E32D8C"/>
    <w:rsid w:val="00E366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C4D63E-1E87-4D57-976D-1C2D98C6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4071</Characters>
  <Application>Microsoft Office Word</Application>
  <DocSecurity>4</DocSecurity>
  <Lines>86</Lines>
  <Paragraphs>20</Paragraphs>
  <ScaleCrop>false</ScaleCrop>
  <HeadingPairs>
    <vt:vector size="2" baseType="variant">
      <vt:variant>
        <vt:lpstr>Title</vt:lpstr>
      </vt:variant>
      <vt:variant>
        <vt:i4>1</vt:i4>
      </vt:variant>
    </vt:vector>
  </HeadingPairs>
  <TitlesOfParts>
    <vt:vector size="1" baseType="lpstr">
      <vt:lpstr>Bostadsutskottets yttrande</vt:lpstr>
    </vt:vector>
  </TitlesOfParts>
  <Company>Riksdagen</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dc:description/>
  <cp:lastModifiedBy>Lars Brink</cp:lastModifiedBy>
  <cp:revision>2</cp:revision>
  <cp:lastPrinted>2004-05-03T13:37:00Z</cp:lastPrinted>
  <dcterms:created xsi:type="dcterms:W3CDTF">2025-12-16T18:07:00Z</dcterms:created>
  <dcterms:modified xsi:type="dcterms:W3CDTF">2025-12-16T18:07:00Z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BoU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