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7A3E8A">
        <w:tblPrEx>
          <w:tblCellMar>
            <w:top w:w="0" w:type="dxa"/>
            <w:bottom w:w="0" w:type="dxa"/>
          </w:tblCellMar>
        </w:tblPrEx>
        <w:tc>
          <w:tcPr>
            <w:tcW w:w="2268" w:type="dxa"/>
          </w:tcPr>
          <w:p w:rsidR="005F1820" w:rsidRPr="007A3E8A" w:rsidRDefault="005F1820">
            <w:pPr>
              <w:framePr w:w="4400" w:h="1644" w:wrap="notBeside" w:vAnchor="page" w:hAnchor="page" w:x="6573" w:y="721"/>
              <w:rPr>
                <w:rFonts w:ascii="TradeGothic" w:hAnsi="TradeGothic"/>
                <w:i/>
                <w:sz w:val="18"/>
              </w:rPr>
            </w:pPr>
          </w:p>
        </w:tc>
        <w:tc>
          <w:tcPr>
            <w:tcW w:w="2347" w:type="dxa"/>
            <w:gridSpan w:val="2"/>
          </w:tcPr>
          <w:p w:rsidR="005F1820" w:rsidRPr="007A3E8A" w:rsidRDefault="005F1820">
            <w:pPr>
              <w:framePr w:w="4400" w:h="1644" w:wrap="notBeside" w:vAnchor="page" w:hAnchor="page" w:x="6573" w:y="721"/>
              <w:rPr>
                <w:rFonts w:ascii="TradeGothic" w:hAnsi="TradeGothic"/>
                <w:i/>
                <w:sz w:val="18"/>
              </w:rPr>
            </w:pPr>
          </w:p>
        </w:tc>
      </w:tr>
      <w:tr w:rsidR="005F1820" w:rsidRPr="007A3E8A">
        <w:tblPrEx>
          <w:tblCellMar>
            <w:top w:w="0" w:type="dxa"/>
            <w:bottom w:w="0" w:type="dxa"/>
          </w:tblCellMar>
        </w:tblPrEx>
        <w:tc>
          <w:tcPr>
            <w:tcW w:w="2268" w:type="dxa"/>
          </w:tcPr>
          <w:p w:rsidR="005F1820" w:rsidRPr="007A3E8A" w:rsidRDefault="005F1820">
            <w:pPr>
              <w:framePr w:w="4400" w:h="1644" w:wrap="notBeside" w:vAnchor="page" w:hAnchor="page" w:x="6573" w:y="721"/>
              <w:rPr>
                <w:rFonts w:ascii="TradeGothic" w:hAnsi="TradeGothic"/>
                <w:b/>
                <w:sz w:val="22"/>
              </w:rPr>
            </w:pPr>
            <w:r w:rsidRPr="007A3E8A">
              <w:rPr>
                <w:rFonts w:ascii="TradeGothic" w:hAnsi="TradeGothic"/>
                <w:b/>
                <w:sz w:val="22"/>
              </w:rPr>
              <w:t>Promemoria</w:t>
            </w:r>
          </w:p>
        </w:tc>
        <w:tc>
          <w:tcPr>
            <w:tcW w:w="2347" w:type="dxa"/>
            <w:gridSpan w:val="2"/>
          </w:tcPr>
          <w:p w:rsidR="005F1820" w:rsidRPr="007A3E8A" w:rsidRDefault="005F1820">
            <w:pPr>
              <w:framePr w:w="4400" w:h="1644" w:wrap="notBeside" w:vAnchor="page" w:hAnchor="page" w:x="6573" w:y="721"/>
              <w:rPr>
                <w:rFonts w:ascii="TradeGothic" w:hAnsi="TradeGothic"/>
                <w:b/>
                <w:sz w:val="22"/>
              </w:rPr>
            </w:pPr>
          </w:p>
        </w:tc>
      </w:tr>
      <w:tr w:rsidR="005F1820" w:rsidRPr="007A3E8A">
        <w:tblPrEx>
          <w:tblCellMar>
            <w:top w:w="0" w:type="dxa"/>
            <w:bottom w:w="0" w:type="dxa"/>
          </w:tblCellMar>
        </w:tblPrEx>
        <w:trPr>
          <w:trHeight w:val="343"/>
        </w:trPr>
        <w:tc>
          <w:tcPr>
            <w:tcW w:w="3402" w:type="dxa"/>
            <w:gridSpan w:val="2"/>
          </w:tcPr>
          <w:p w:rsidR="005F1820" w:rsidRPr="007A3E8A" w:rsidRDefault="005F1820">
            <w:pPr>
              <w:framePr w:w="4400" w:h="1644" w:wrap="notBeside" w:vAnchor="page" w:hAnchor="page" w:x="6573" w:y="721"/>
            </w:pPr>
          </w:p>
        </w:tc>
        <w:tc>
          <w:tcPr>
            <w:tcW w:w="1213" w:type="dxa"/>
          </w:tcPr>
          <w:p w:rsidR="005F1820" w:rsidRPr="007A3E8A" w:rsidRDefault="005F1820">
            <w:pPr>
              <w:framePr w:w="4400" w:h="1644" w:wrap="notBeside" w:vAnchor="page" w:hAnchor="page" w:x="6573" w:y="721"/>
            </w:pPr>
          </w:p>
        </w:tc>
      </w:tr>
      <w:tr w:rsidR="005F1820" w:rsidRPr="007A3E8A">
        <w:tblPrEx>
          <w:tblCellMar>
            <w:top w:w="0" w:type="dxa"/>
            <w:bottom w:w="0" w:type="dxa"/>
          </w:tblCellMar>
        </w:tblPrEx>
        <w:tc>
          <w:tcPr>
            <w:tcW w:w="2268" w:type="dxa"/>
          </w:tcPr>
          <w:p w:rsidR="005F1820" w:rsidRPr="007A3E8A" w:rsidRDefault="00847B54">
            <w:pPr>
              <w:framePr w:w="4400" w:h="1644" w:wrap="notBeside" w:vAnchor="page" w:hAnchor="page" w:x="6573" w:y="721"/>
            </w:pPr>
            <w:r w:rsidRPr="007A3E8A">
              <w:fldChar w:fldCharType="begin" w:fldLock="1"/>
            </w:r>
            <w:r w:rsidRPr="007A3E8A">
              <w:instrText xml:space="preserve"> CREATEDATE  \@ "yyyy-MM-dd"  \* MERGEFORMAT </w:instrText>
            </w:r>
            <w:r w:rsidRPr="007A3E8A">
              <w:fldChar w:fldCharType="separate"/>
            </w:r>
            <w:r w:rsidR="005A0420" w:rsidRPr="007A3E8A">
              <w:t>2011-11-10</w:t>
            </w:r>
            <w:r w:rsidRPr="007A3E8A">
              <w:fldChar w:fldCharType="end"/>
            </w:r>
          </w:p>
        </w:tc>
        <w:tc>
          <w:tcPr>
            <w:tcW w:w="2347" w:type="dxa"/>
            <w:gridSpan w:val="2"/>
          </w:tcPr>
          <w:p w:rsidR="005F1820" w:rsidRPr="007A3E8A" w:rsidRDefault="005F1820">
            <w:pPr>
              <w:framePr w:w="4400" w:h="1644" w:wrap="notBeside" w:vAnchor="page" w:hAnchor="page" w:x="6573" w:y="721"/>
            </w:pPr>
          </w:p>
        </w:tc>
      </w:tr>
      <w:tr w:rsidR="005F1820" w:rsidRPr="007A3E8A">
        <w:tblPrEx>
          <w:tblCellMar>
            <w:top w:w="0" w:type="dxa"/>
            <w:bottom w:w="0" w:type="dxa"/>
          </w:tblCellMar>
        </w:tblPrEx>
        <w:tc>
          <w:tcPr>
            <w:tcW w:w="2268" w:type="dxa"/>
          </w:tcPr>
          <w:p w:rsidR="005F1820" w:rsidRPr="007A3E8A" w:rsidRDefault="005F1820">
            <w:pPr>
              <w:framePr w:w="4400" w:h="1644" w:wrap="notBeside" w:vAnchor="page" w:hAnchor="page" w:x="6573" w:y="721"/>
            </w:pPr>
          </w:p>
        </w:tc>
        <w:tc>
          <w:tcPr>
            <w:tcW w:w="2347" w:type="dxa"/>
            <w:gridSpan w:val="2"/>
          </w:tcPr>
          <w:p w:rsidR="005F1820" w:rsidRPr="007A3E8A" w:rsidRDefault="005F1820">
            <w:pPr>
              <w:framePr w:w="4400" w:h="1644" w:wrap="notBeside" w:vAnchor="page" w:hAnchor="page" w:x="6573" w:y="721"/>
            </w:pPr>
          </w:p>
        </w:tc>
      </w:tr>
    </w:tbl>
    <w:p w:rsidR="00336212" w:rsidRPr="007A3E8A" w:rsidRDefault="00336212" w:rsidP="00336212">
      <w:pPr>
        <w:rPr>
          <w:vanish/>
        </w:rPr>
      </w:pPr>
    </w:p>
    <w:tbl>
      <w:tblPr>
        <w:tblW w:w="0" w:type="auto"/>
        <w:tblLayout w:type="fixed"/>
        <w:tblLook w:val="0000" w:firstRow="0" w:lastRow="0" w:firstColumn="0" w:lastColumn="0" w:noHBand="0" w:noVBand="0"/>
      </w:tblPr>
      <w:tblGrid>
        <w:gridCol w:w="4911"/>
      </w:tblGrid>
      <w:tr w:rsidR="005F1820" w:rsidRPr="007A3E8A">
        <w:tblPrEx>
          <w:tblCellMar>
            <w:top w:w="0" w:type="dxa"/>
            <w:bottom w:w="0" w:type="dxa"/>
          </w:tblCellMar>
        </w:tblPrEx>
        <w:trPr>
          <w:trHeight w:val="2400"/>
        </w:trPr>
        <w:tc>
          <w:tcPr>
            <w:tcW w:w="4911" w:type="dxa"/>
          </w:tcPr>
          <w:p w:rsidR="005F1820" w:rsidRPr="007A3E8A" w:rsidRDefault="005F1820">
            <w:pPr>
              <w:pStyle w:val="Avsndare"/>
              <w:framePr w:h="2483" w:wrap="notBeside" w:x="1504"/>
              <w:rPr>
                <w:b/>
                <w:i w:val="0"/>
                <w:sz w:val="22"/>
              </w:rPr>
            </w:pPr>
            <w:r w:rsidRPr="007A3E8A">
              <w:rPr>
                <w:b/>
                <w:i w:val="0"/>
                <w:sz w:val="22"/>
              </w:rPr>
              <w:t>Statsrådsberedningen</w:t>
            </w:r>
          </w:p>
          <w:p w:rsidR="005F1820" w:rsidRPr="007A3E8A" w:rsidRDefault="005F1820">
            <w:pPr>
              <w:pStyle w:val="Avsndare"/>
              <w:framePr w:h="2483" w:wrap="notBeside" w:x="1504"/>
            </w:pPr>
          </w:p>
          <w:p w:rsidR="005F1820" w:rsidRPr="007A3E8A" w:rsidRDefault="005F1820">
            <w:pPr>
              <w:pStyle w:val="Avsndare"/>
              <w:framePr w:h="2483" w:wrap="notBeside" w:x="1504"/>
            </w:pPr>
            <w:r w:rsidRPr="007A3E8A">
              <w:t>EU-kansliet</w:t>
            </w:r>
          </w:p>
          <w:p w:rsidR="005F1820" w:rsidRPr="007A3E8A" w:rsidRDefault="005F1820">
            <w:pPr>
              <w:pStyle w:val="Avsndare"/>
              <w:framePr w:h="2483" w:wrap="notBeside" w:x="1504"/>
            </w:pPr>
          </w:p>
          <w:p w:rsidR="005F1820" w:rsidRPr="007A3E8A" w:rsidRDefault="005F1820">
            <w:pPr>
              <w:pStyle w:val="Avsndare"/>
              <w:framePr w:h="2483" w:wrap="notBeside" w:x="1504"/>
            </w:pPr>
          </w:p>
          <w:p w:rsidR="005F1820" w:rsidRPr="007A3E8A" w:rsidRDefault="005F1820">
            <w:pPr>
              <w:pStyle w:val="Avsndare"/>
              <w:framePr w:h="2483" w:wrap="notBeside" w:x="1504"/>
            </w:pPr>
          </w:p>
          <w:p w:rsidR="005F1820" w:rsidRPr="007A3E8A" w:rsidRDefault="005F1820">
            <w:pPr>
              <w:pStyle w:val="Avsndare"/>
              <w:framePr w:h="2483" w:wrap="notBeside" w:x="1504"/>
              <w:rPr>
                <w:b/>
                <w:i w:val="0"/>
                <w:sz w:val="22"/>
              </w:rPr>
            </w:pPr>
          </w:p>
        </w:tc>
      </w:tr>
    </w:tbl>
    <w:p w:rsidR="005F1820" w:rsidRPr="007A3E8A" w:rsidRDefault="005F1820">
      <w:pPr>
        <w:framePr w:w="4400" w:h="2523" w:wrap="notBeside" w:vAnchor="page" w:hAnchor="page" w:x="6453" w:y="2445"/>
        <w:ind w:left="142"/>
      </w:pPr>
    </w:p>
    <w:p w:rsidR="005F1820" w:rsidRPr="007A3E8A" w:rsidRDefault="005F1820">
      <w:pPr>
        <w:pStyle w:val="UDrubrik"/>
        <w:tabs>
          <w:tab w:val="left" w:pos="1701"/>
          <w:tab w:val="left" w:pos="1985"/>
        </w:tabs>
        <w:rPr>
          <w:rFonts w:cs="Arial"/>
          <w:sz w:val="28"/>
        </w:rPr>
      </w:pPr>
      <w:bookmarkStart w:id="0" w:name="_Toc67391946"/>
      <w:bookmarkStart w:id="1" w:name="_Toc70473239"/>
      <w:r w:rsidRPr="007A3E8A">
        <w:rPr>
          <w:rFonts w:cs="Arial"/>
          <w:sz w:val="28"/>
        </w:rPr>
        <w:t xml:space="preserve">Troliga A-punkter inför kommande rådsmöten som godkändes vid Coreper I och </w:t>
      </w:r>
      <w:r w:rsidR="00D24D53" w:rsidRPr="007A3E8A">
        <w:rPr>
          <w:rFonts w:cs="Arial"/>
          <w:sz w:val="28"/>
        </w:rPr>
        <w:t xml:space="preserve">förväntas godkännas vid </w:t>
      </w:r>
      <w:r w:rsidRPr="007A3E8A">
        <w:rPr>
          <w:rFonts w:cs="Arial"/>
          <w:sz w:val="28"/>
        </w:rPr>
        <w:t>Coreper II</w:t>
      </w:r>
      <w:bookmarkEnd w:id="0"/>
      <w:bookmarkEnd w:id="1"/>
      <w:r w:rsidR="00D24D53" w:rsidRPr="007A3E8A">
        <w:rPr>
          <w:rFonts w:cs="Arial"/>
          <w:sz w:val="28"/>
        </w:rPr>
        <w:t xml:space="preserve"> vecka 45</w:t>
      </w:r>
    </w:p>
    <w:p w:rsidR="00D24D53" w:rsidRPr="007A3E8A" w:rsidRDefault="00D24D53" w:rsidP="00D24D53">
      <w:pPr>
        <w:pStyle w:val="Brdtext1"/>
        <w:rPr>
          <w:lang w:val="sv-SE"/>
        </w:rPr>
      </w:pPr>
    </w:p>
    <w:p w:rsidR="00D24D53" w:rsidRPr="007A3E8A" w:rsidRDefault="00D24D53" w:rsidP="00D24D53">
      <w:pPr>
        <w:pStyle w:val="Brdtext1"/>
        <w:rPr>
          <w:lang w:val="sv-SE"/>
        </w:rPr>
      </w:pPr>
      <w:r w:rsidRPr="007A3E8A">
        <w:rPr>
          <w:lang w:val="sv-SE"/>
        </w:rPr>
        <w:t>Överlämnas för skriftligt samråd v 45.</w:t>
      </w:r>
    </w:p>
    <w:p w:rsidR="00D24D53" w:rsidRPr="007A3E8A" w:rsidRDefault="00D24D53" w:rsidP="00D24D53">
      <w:pPr>
        <w:pStyle w:val="Brdtext1"/>
        <w:rPr>
          <w:lang w:val="sv-SE"/>
        </w:rPr>
      </w:pPr>
      <w:r w:rsidRPr="007A3E8A">
        <w:rPr>
          <w:lang w:val="sv-SE"/>
        </w:rPr>
        <w:br w:type="page"/>
      </w:r>
    </w:p>
    <w:p w:rsidR="005F1820" w:rsidRPr="007A3E8A"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412EF1" w:rsidRPr="007A3E8A" w:rsidRDefault="005F1820">
      <w:pPr>
        <w:pStyle w:val="Innehll1"/>
        <w:tabs>
          <w:tab w:val="right" w:leader="dot" w:pos="7644"/>
        </w:tabs>
        <w:rPr>
          <w:rFonts w:ascii="Calibri" w:hAnsi="Calibri"/>
          <w:b w:val="0"/>
          <w:bCs w:val="0"/>
          <w:caps w:val="0"/>
          <w:sz w:val="22"/>
          <w:szCs w:val="22"/>
          <w:lang w:eastAsia="sv-SE"/>
        </w:rPr>
      </w:pPr>
      <w:r w:rsidRPr="007A3E8A">
        <w:rPr>
          <w:b w:val="0"/>
          <w:bCs w:val="0"/>
        </w:rPr>
        <w:fldChar w:fldCharType="begin" w:fldLock="1"/>
      </w:r>
      <w:r w:rsidRPr="007A3E8A">
        <w:rPr>
          <w:b w:val="0"/>
          <w:bCs w:val="0"/>
        </w:rPr>
        <w:instrText xml:space="preserve"> TOC \o "1-3" \h \z </w:instrText>
      </w:r>
      <w:r w:rsidRPr="007A3E8A">
        <w:rPr>
          <w:b w:val="0"/>
          <w:bCs w:val="0"/>
        </w:rPr>
        <w:fldChar w:fldCharType="separate"/>
      </w:r>
      <w:hyperlink w:anchor="_Toc308697232" w:history="1">
        <w:r w:rsidR="00412EF1" w:rsidRPr="007A3E8A">
          <w:rPr>
            <w:rStyle w:val="Hyperlnk"/>
          </w:rPr>
          <w:t>Frågor som lösts i förberedande instanser</w:t>
        </w:r>
        <w:r w:rsidR="00412EF1" w:rsidRPr="007A3E8A">
          <w:rPr>
            <w:webHidden/>
          </w:rPr>
          <w:tab/>
        </w:r>
        <w:r w:rsidR="00412EF1" w:rsidRPr="007A3E8A">
          <w:rPr>
            <w:webHidden/>
          </w:rPr>
          <w:fldChar w:fldCharType="begin" w:fldLock="1"/>
        </w:r>
        <w:r w:rsidR="00412EF1" w:rsidRPr="007A3E8A">
          <w:rPr>
            <w:webHidden/>
          </w:rPr>
          <w:instrText xml:space="preserve"> PAGEREF _Toc308697232 \h </w:instrText>
        </w:r>
        <w:r w:rsidR="00412EF1" w:rsidRPr="007A3E8A">
          <w:rPr>
            <w:webHidden/>
          </w:rPr>
        </w:r>
        <w:r w:rsidR="00412EF1" w:rsidRPr="007A3E8A">
          <w:rPr>
            <w:webHidden/>
          </w:rPr>
          <w:fldChar w:fldCharType="separate"/>
        </w:r>
        <w:r w:rsidR="00412EF1" w:rsidRPr="007A3E8A">
          <w:rPr>
            <w:webHidden/>
          </w:rPr>
          <w:t>6</w:t>
        </w:r>
        <w:r w:rsidR="00412EF1" w:rsidRPr="007A3E8A">
          <w:rPr>
            <w:webHidden/>
          </w:rPr>
          <w:fldChar w:fldCharType="end"/>
        </w:r>
      </w:hyperlink>
    </w:p>
    <w:p w:rsidR="00412EF1" w:rsidRPr="007A3E8A" w:rsidRDefault="00412EF1">
      <w:pPr>
        <w:pStyle w:val="Innehll1"/>
        <w:tabs>
          <w:tab w:val="right" w:leader="dot" w:pos="7644"/>
        </w:tabs>
        <w:rPr>
          <w:rFonts w:ascii="Calibri" w:hAnsi="Calibri"/>
          <w:b w:val="0"/>
          <w:bCs w:val="0"/>
          <w:caps w:val="0"/>
          <w:sz w:val="22"/>
          <w:szCs w:val="22"/>
          <w:lang w:eastAsia="sv-SE"/>
        </w:rPr>
      </w:pPr>
      <w:hyperlink w:anchor="_Toc308697233" w:history="1">
        <w:r w:rsidRPr="007A3E8A">
          <w:rPr>
            <w:rStyle w:val="Hyperlnk"/>
          </w:rPr>
          <w:t>Troliga A-punkter inför kommande rådsmöten som godkändes vid Coreper I 2011-11-09</w:t>
        </w:r>
        <w:r w:rsidRPr="007A3E8A">
          <w:rPr>
            <w:webHidden/>
          </w:rPr>
          <w:tab/>
        </w:r>
        <w:r w:rsidRPr="007A3E8A">
          <w:rPr>
            <w:webHidden/>
          </w:rPr>
          <w:fldChar w:fldCharType="begin" w:fldLock="1"/>
        </w:r>
        <w:r w:rsidRPr="007A3E8A">
          <w:rPr>
            <w:webHidden/>
          </w:rPr>
          <w:instrText xml:space="preserve"> PAGEREF _Toc308697233 \h </w:instrText>
        </w:r>
        <w:r w:rsidRPr="007A3E8A">
          <w:rPr>
            <w:webHidden/>
          </w:rPr>
        </w:r>
        <w:r w:rsidRPr="007A3E8A">
          <w:rPr>
            <w:webHidden/>
          </w:rPr>
          <w:fldChar w:fldCharType="separate"/>
        </w:r>
        <w:r w:rsidRPr="007A3E8A">
          <w:rPr>
            <w:webHidden/>
          </w:rPr>
          <w:t>6</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34" w:history="1">
        <w:r w:rsidRPr="007A3E8A">
          <w:rPr>
            <w:rStyle w:val="Hyperlnk"/>
          </w:rPr>
          <w:t>1. Reply to written questions put to the Council by Members of the European Parliament (+)</w:t>
        </w:r>
        <w:r w:rsidRPr="007A3E8A">
          <w:rPr>
            <w:webHidden/>
          </w:rPr>
          <w:tab/>
        </w:r>
        <w:r w:rsidRPr="007A3E8A">
          <w:rPr>
            <w:webHidden/>
          </w:rPr>
          <w:fldChar w:fldCharType="begin" w:fldLock="1"/>
        </w:r>
        <w:r w:rsidRPr="007A3E8A">
          <w:rPr>
            <w:webHidden/>
          </w:rPr>
          <w:instrText xml:space="preserve"> PAGEREF _Toc308697234 \h </w:instrText>
        </w:r>
        <w:r w:rsidRPr="007A3E8A">
          <w:rPr>
            <w:webHidden/>
          </w:rPr>
        </w:r>
        <w:r w:rsidRPr="007A3E8A">
          <w:rPr>
            <w:webHidden/>
          </w:rPr>
          <w:fldChar w:fldCharType="separate"/>
        </w:r>
        <w:r w:rsidRPr="007A3E8A">
          <w:rPr>
            <w:webHidden/>
          </w:rPr>
          <w:t>6</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35" w:history="1">
        <w:r w:rsidRPr="007A3E8A">
          <w:rPr>
            <w:rStyle w:val="Hyperlnk"/>
          </w:rPr>
          <w:t>2. Draft agenda for the forthcoming part-session of the European Parliament in Strasbourg from 14 to 17 November 2011</w:t>
        </w:r>
        <w:r w:rsidRPr="007A3E8A">
          <w:rPr>
            <w:webHidden/>
          </w:rPr>
          <w:tab/>
        </w:r>
        <w:r w:rsidRPr="007A3E8A">
          <w:rPr>
            <w:webHidden/>
          </w:rPr>
          <w:fldChar w:fldCharType="begin" w:fldLock="1"/>
        </w:r>
        <w:r w:rsidRPr="007A3E8A">
          <w:rPr>
            <w:webHidden/>
          </w:rPr>
          <w:instrText xml:space="preserve"> PAGEREF _Toc308697235 \h </w:instrText>
        </w:r>
        <w:r w:rsidRPr="007A3E8A">
          <w:rPr>
            <w:webHidden/>
          </w:rPr>
        </w:r>
        <w:r w:rsidRPr="007A3E8A">
          <w:rPr>
            <w:webHidden/>
          </w:rPr>
          <w:fldChar w:fldCharType="separate"/>
        </w:r>
        <w:r w:rsidRPr="007A3E8A">
          <w:rPr>
            <w:webHidden/>
          </w:rPr>
          <w:t>7</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36" w:history="1">
        <w:r w:rsidRPr="007A3E8A">
          <w:rPr>
            <w:rStyle w:val="Hyperlnk"/>
          </w:rPr>
          <w:t>3. Case before the General Court Case T-176/11 R (Federación Nacional de Empresarios de Minas de Carbón (Carbunión) against Council of the European Union, European Commission, intervener) = Information note for the Permanent Representatives Committee (Part 1)</w:t>
        </w:r>
        <w:r w:rsidRPr="007A3E8A">
          <w:rPr>
            <w:webHidden/>
          </w:rPr>
          <w:tab/>
        </w:r>
        <w:r w:rsidRPr="007A3E8A">
          <w:rPr>
            <w:webHidden/>
          </w:rPr>
          <w:fldChar w:fldCharType="begin" w:fldLock="1"/>
        </w:r>
        <w:r w:rsidRPr="007A3E8A">
          <w:rPr>
            <w:webHidden/>
          </w:rPr>
          <w:instrText xml:space="preserve"> PAGEREF _Toc308697236 \h </w:instrText>
        </w:r>
        <w:r w:rsidRPr="007A3E8A">
          <w:rPr>
            <w:webHidden/>
          </w:rPr>
        </w:r>
        <w:r w:rsidRPr="007A3E8A">
          <w:rPr>
            <w:webHidden/>
          </w:rPr>
          <w:fldChar w:fldCharType="separate"/>
        </w:r>
        <w:r w:rsidRPr="007A3E8A">
          <w:rPr>
            <w:webHidden/>
          </w:rPr>
          <w:t>7</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37" w:history="1">
        <w:r w:rsidRPr="007A3E8A">
          <w:rPr>
            <w:rStyle w:val="Hyperlnk"/>
          </w:rPr>
          <w:t>4. Council Decision on the signing of a Voluntary Partnership Agreement between the European Union and the Central African Republic on forest law enforcement, governance and trade in timber and derived products to the European Union- Adoption</w:t>
        </w:r>
        <w:r w:rsidRPr="007A3E8A">
          <w:rPr>
            <w:webHidden/>
          </w:rPr>
          <w:tab/>
        </w:r>
        <w:r w:rsidRPr="007A3E8A">
          <w:rPr>
            <w:webHidden/>
          </w:rPr>
          <w:fldChar w:fldCharType="begin" w:fldLock="1"/>
        </w:r>
        <w:r w:rsidRPr="007A3E8A">
          <w:rPr>
            <w:webHidden/>
          </w:rPr>
          <w:instrText xml:space="preserve"> PAGEREF _Toc308697237 \h </w:instrText>
        </w:r>
        <w:r w:rsidRPr="007A3E8A">
          <w:rPr>
            <w:webHidden/>
          </w:rPr>
        </w:r>
        <w:r w:rsidRPr="007A3E8A">
          <w:rPr>
            <w:webHidden/>
          </w:rPr>
          <w:fldChar w:fldCharType="separate"/>
        </w:r>
        <w:r w:rsidRPr="007A3E8A">
          <w:rPr>
            <w:webHidden/>
          </w:rPr>
          <w:t>7</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38" w:history="1">
        <w:r w:rsidRPr="007A3E8A">
          <w:rPr>
            <w:rStyle w:val="Hyperlnk"/>
          </w:rPr>
          <w:t>5. Draft Council Decision establishing the position to be adopted on behalf of the European Union with regard to proposals for amending Appendices I and II to the Convention on the conservation of migratory species of wild animals at the tenth meeting of the Conference of the Parties = Adoption</w:t>
        </w:r>
        <w:r w:rsidRPr="007A3E8A">
          <w:rPr>
            <w:webHidden/>
          </w:rPr>
          <w:tab/>
        </w:r>
        <w:r w:rsidRPr="007A3E8A">
          <w:rPr>
            <w:webHidden/>
          </w:rPr>
          <w:fldChar w:fldCharType="begin" w:fldLock="1"/>
        </w:r>
        <w:r w:rsidRPr="007A3E8A">
          <w:rPr>
            <w:webHidden/>
          </w:rPr>
          <w:instrText xml:space="preserve"> PAGEREF _Toc308697238 \h </w:instrText>
        </w:r>
        <w:r w:rsidRPr="007A3E8A">
          <w:rPr>
            <w:webHidden/>
          </w:rPr>
        </w:r>
        <w:r w:rsidRPr="007A3E8A">
          <w:rPr>
            <w:webHidden/>
          </w:rPr>
          <w:fldChar w:fldCharType="separate"/>
        </w:r>
        <w:r w:rsidRPr="007A3E8A">
          <w:rPr>
            <w:webHidden/>
          </w:rPr>
          <w:t>8</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39" w:history="1">
        <w:r w:rsidRPr="007A3E8A">
          <w:rPr>
            <w:rStyle w:val="Hyperlnk"/>
          </w:rPr>
          <w:t>6. Proposal for a Directive of the European Parliament and of the Council on the assessment of the effects of certain public and private projects on the environment (Codification) (First reading) (Legislative deliberation) = Adoption of the legislative act</w:t>
        </w:r>
        <w:r w:rsidRPr="007A3E8A">
          <w:rPr>
            <w:webHidden/>
          </w:rPr>
          <w:tab/>
        </w:r>
        <w:r w:rsidRPr="007A3E8A">
          <w:rPr>
            <w:webHidden/>
          </w:rPr>
          <w:fldChar w:fldCharType="begin" w:fldLock="1"/>
        </w:r>
        <w:r w:rsidRPr="007A3E8A">
          <w:rPr>
            <w:webHidden/>
          </w:rPr>
          <w:instrText xml:space="preserve"> PAGEREF _Toc308697239 \h </w:instrText>
        </w:r>
        <w:r w:rsidRPr="007A3E8A">
          <w:rPr>
            <w:webHidden/>
          </w:rPr>
        </w:r>
        <w:r w:rsidRPr="007A3E8A">
          <w:rPr>
            <w:webHidden/>
          </w:rPr>
          <w:fldChar w:fldCharType="separate"/>
        </w:r>
        <w:r w:rsidRPr="007A3E8A">
          <w:rPr>
            <w:webHidden/>
          </w:rPr>
          <w:t>9</w:t>
        </w:r>
        <w:r w:rsidRPr="007A3E8A">
          <w:rPr>
            <w:webHidden/>
          </w:rPr>
          <w:fldChar w:fldCharType="end"/>
        </w:r>
      </w:hyperlink>
    </w:p>
    <w:p w:rsidR="00412EF1" w:rsidRPr="007A3E8A" w:rsidRDefault="00412EF1">
      <w:pPr>
        <w:pStyle w:val="Innehll1"/>
        <w:tabs>
          <w:tab w:val="right" w:leader="dot" w:pos="7644"/>
        </w:tabs>
        <w:rPr>
          <w:rFonts w:ascii="Calibri" w:hAnsi="Calibri"/>
          <w:b w:val="0"/>
          <w:bCs w:val="0"/>
          <w:caps w:val="0"/>
          <w:sz w:val="22"/>
          <w:szCs w:val="22"/>
          <w:lang w:eastAsia="sv-SE"/>
        </w:rPr>
      </w:pPr>
      <w:hyperlink w:anchor="_Toc308697240" w:history="1">
        <w:r w:rsidRPr="007A3E8A">
          <w:rPr>
            <w:rStyle w:val="Hyperlnk"/>
          </w:rPr>
          <w:t>Troliga A-punkter inför kommande rådsmöten som förväntas godkännas vid Coreper II 2011-11-10</w:t>
        </w:r>
        <w:r w:rsidRPr="007A3E8A">
          <w:rPr>
            <w:webHidden/>
          </w:rPr>
          <w:tab/>
        </w:r>
        <w:r w:rsidRPr="007A3E8A">
          <w:rPr>
            <w:webHidden/>
          </w:rPr>
          <w:fldChar w:fldCharType="begin" w:fldLock="1"/>
        </w:r>
        <w:r w:rsidRPr="007A3E8A">
          <w:rPr>
            <w:webHidden/>
          </w:rPr>
          <w:instrText xml:space="preserve"> PAGEREF _Toc308697240 \h </w:instrText>
        </w:r>
        <w:r w:rsidRPr="007A3E8A">
          <w:rPr>
            <w:webHidden/>
          </w:rPr>
        </w:r>
        <w:r w:rsidRPr="007A3E8A">
          <w:rPr>
            <w:webHidden/>
          </w:rPr>
          <w:fldChar w:fldCharType="separate"/>
        </w:r>
        <w:r w:rsidRPr="007A3E8A">
          <w:rPr>
            <w:webHidden/>
          </w:rPr>
          <w:t>9</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41" w:history="1">
        <w:r w:rsidRPr="007A3E8A">
          <w:rPr>
            <w:rStyle w:val="Hyperlnk"/>
          </w:rPr>
          <w:t>7. Resolutions, decisions and opinions adopted by the European Parliament during its part sessions:(a) in Brussels from 12 to 13 October 2011(b) in Strasbourg from 24 to 27 October 2011</w:t>
        </w:r>
        <w:r w:rsidRPr="007A3E8A">
          <w:rPr>
            <w:webHidden/>
          </w:rPr>
          <w:tab/>
        </w:r>
        <w:r w:rsidRPr="007A3E8A">
          <w:rPr>
            <w:webHidden/>
          </w:rPr>
          <w:fldChar w:fldCharType="begin" w:fldLock="1"/>
        </w:r>
        <w:r w:rsidRPr="007A3E8A">
          <w:rPr>
            <w:webHidden/>
          </w:rPr>
          <w:instrText xml:space="preserve"> PAGEREF _Toc308697241 \h </w:instrText>
        </w:r>
        <w:r w:rsidRPr="007A3E8A">
          <w:rPr>
            <w:webHidden/>
          </w:rPr>
        </w:r>
        <w:r w:rsidRPr="007A3E8A">
          <w:rPr>
            <w:webHidden/>
          </w:rPr>
          <w:fldChar w:fldCharType="separate"/>
        </w:r>
        <w:r w:rsidRPr="007A3E8A">
          <w:rPr>
            <w:webHidden/>
          </w:rPr>
          <w:t>9</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42" w:history="1">
        <w:r w:rsidRPr="007A3E8A">
          <w:rPr>
            <w:rStyle w:val="Hyperlnk"/>
          </w:rPr>
          <w:t>8. Case before the General Court of the European Union: Case T-490/11(Bena Properties Co S.A. v. Council of the European Union)</w:t>
        </w:r>
        <w:r w:rsidRPr="007A3E8A">
          <w:rPr>
            <w:webHidden/>
          </w:rPr>
          <w:tab/>
        </w:r>
        <w:r w:rsidRPr="007A3E8A">
          <w:rPr>
            <w:webHidden/>
          </w:rPr>
          <w:fldChar w:fldCharType="begin" w:fldLock="1"/>
        </w:r>
        <w:r w:rsidRPr="007A3E8A">
          <w:rPr>
            <w:webHidden/>
          </w:rPr>
          <w:instrText xml:space="preserve"> PAGEREF _Toc308697242 \h </w:instrText>
        </w:r>
        <w:r w:rsidRPr="007A3E8A">
          <w:rPr>
            <w:webHidden/>
          </w:rPr>
        </w:r>
        <w:r w:rsidRPr="007A3E8A">
          <w:rPr>
            <w:webHidden/>
          </w:rPr>
          <w:fldChar w:fldCharType="separate"/>
        </w:r>
        <w:r w:rsidRPr="007A3E8A">
          <w:rPr>
            <w:webHidden/>
          </w:rPr>
          <w:t>10</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43" w:history="1">
        <w:r w:rsidRPr="007A3E8A">
          <w:rPr>
            <w:rStyle w:val="Hyperlnk"/>
          </w:rPr>
          <w:t>9. Recommendation to the Council concerning the approval of a second party evaluated cryptographic device</w:t>
        </w:r>
        <w:r w:rsidRPr="007A3E8A">
          <w:rPr>
            <w:webHidden/>
          </w:rPr>
          <w:tab/>
        </w:r>
        <w:r w:rsidRPr="007A3E8A">
          <w:rPr>
            <w:webHidden/>
          </w:rPr>
          <w:fldChar w:fldCharType="begin" w:fldLock="1"/>
        </w:r>
        <w:r w:rsidRPr="007A3E8A">
          <w:rPr>
            <w:webHidden/>
          </w:rPr>
          <w:instrText xml:space="preserve"> PAGEREF _Toc308697243 \h </w:instrText>
        </w:r>
        <w:r w:rsidRPr="007A3E8A">
          <w:rPr>
            <w:webHidden/>
          </w:rPr>
        </w:r>
        <w:r w:rsidRPr="007A3E8A">
          <w:rPr>
            <w:webHidden/>
          </w:rPr>
          <w:fldChar w:fldCharType="separate"/>
        </w:r>
        <w:r w:rsidRPr="007A3E8A">
          <w:rPr>
            <w:webHidden/>
          </w:rPr>
          <w:t>10</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44" w:history="1">
        <w:r w:rsidRPr="007A3E8A">
          <w:rPr>
            <w:rStyle w:val="Hyperlnk"/>
          </w:rPr>
          <w:t>10.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EGF/2010/019 IE/Construction 41 from Ireland)- Proposal for transfer of appropriations No DEC38/2011 within Section III - Commission - of the general budget for 2011</w:t>
        </w:r>
        <w:r w:rsidRPr="007A3E8A">
          <w:rPr>
            <w:webHidden/>
          </w:rPr>
          <w:tab/>
        </w:r>
        <w:r w:rsidRPr="007A3E8A">
          <w:rPr>
            <w:webHidden/>
          </w:rPr>
          <w:fldChar w:fldCharType="begin" w:fldLock="1"/>
        </w:r>
        <w:r w:rsidRPr="007A3E8A">
          <w:rPr>
            <w:webHidden/>
          </w:rPr>
          <w:instrText xml:space="preserve"> PAGEREF _Toc308697244 \h </w:instrText>
        </w:r>
        <w:r w:rsidRPr="007A3E8A">
          <w:rPr>
            <w:webHidden/>
          </w:rPr>
        </w:r>
        <w:r w:rsidRPr="007A3E8A">
          <w:rPr>
            <w:webHidden/>
          </w:rPr>
          <w:fldChar w:fldCharType="separate"/>
        </w:r>
        <w:r w:rsidRPr="007A3E8A">
          <w:rPr>
            <w:webHidden/>
          </w:rPr>
          <w:t>11</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45" w:history="1">
        <w:r w:rsidRPr="007A3E8A">
          <w:rPr>
            <w:rStyle w:val="Hyperlnk"/>
          </w:rPr>
          <w:t>11.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EGF/2010/020 IE/Construction 43 from Ireland)- Proposal for transfer of appropriations No DEC40/2011 within Section III - Commission - of the general budget for 2011</w:t>
        </w:r>
        <w:r w:rsidRPr="007A3E8A">
          <w:rPr>
            <w:webHidden/>
          </w:rPr>
          <w:tab/>
        </w:r>
        <w:r w:rsidRPr="007A3E8A">
          <w:rPr>
            <w:webHidden/>
          </w:rPr>
          <w:fldChar w:fldCharType="begin" w:fldLock="1"/>
        </w:r>
        <w:r w:rsidRPr="007A3E8A">
          <w:rPr>
            <w:webHidden/>
          </w:rPr>
          <w:instrText xml:space="preserve"> PAGEREF _Toc308697245 \h </w:instrText>
        </w:r>
        <w:r w:rsidRPr="007A3E8A">
          <w:rPr>
            <w:webHidden/>
          </w:rPr>
        </w:r>
        <w:r w:rsidRPr="007A3E8A">
          <w:rPr>
            <w:webHidden/>
          </w:rPr>
          <w:fldChar w:fldCharType="separate"/>
        </w:r>
        <w:r w:rsidRPr="007A3E8A">
          <w:rPr>
            <w:webHidden/>
          </w:rPr>
          <w:t>12</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46" w:history="1">
        <w:r w:rsidRPr="007A3E8A">
          <w:rPr>
            <w:rStyle w:val="Hyperlnk"/>
          </w:rPr>
          <w:t>12.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EGF/2010/021 IE/Construction 71 from Ireland)- Proposal for transfer of appropriations No DEC39/2011 within Section III - Commission - of the general budget for 2011</w:t>
        </w:r>
        <w:r w:rsidRPr="007A3E8A">
          <w:rPr>
            <w:webHidden/>
          </w:rPr>
          <w:tab/>
        </w:r>
        <w:r w:rsidRPr="007A3E8A">
          <w:rPr>
            <w:webHidden/>
          </w:rPr>
          <w:fldChar w:fldCharType="begin" w:fldLock="1"/>
        </w:r>
        <w:r w:rsidRPr="007A3E8A">
          <w:rPr>
            <w:webHidden/>
          </w:rPr>
          <w:instrText xml:space="preserve"> PAGEREF _Toc308697246 \h </w:instrText>
        </w:r>
        <w:r w:rsidRPr="007A3E8A">
          <w:rPr>
            <w:webHidden/>
          </w:rPr>
        </w:r>
        <w:r w:rsidRPr="007A3E8A">
          <w:rPr>
            <w:webHidden/>
          </w:rPr>
          <w:fldChar w:fldCharType="separate"/>
        </w:r>
        <w:r w:rsidRPr="007A3E8A">
          <w:rPr>
            <w:webHidden/>
          </w:rPr>
          <w:t>12</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47" w:history="1">
        <w:r w:rsidRPr="007A3E8A">
          <w:rPr>
            <w:rStyle w:val="Hyperlnk"/>
          </w:rPr>
          <w:t>13. Proposal for transfer of appropriations No DEC43/2011 within Section III - Commission - of the general budget for 2011</w:t>
        </w:r>
        <w:r w:rsidRPr="007A3E8A">
          <w:rPr>
            <w:webHidden/>
          </w:rPr>
          <w:tab/>
        </w:r>
        <w:r w:rsidRPr="007A3E8A">
          <w:rPr>
            <w:webHidden/>
          </w:rPr>
          <w:fldChar w:fldCharType="begin" w:fldLock="1"/>
        </w:r>
        <w:r w:rsidRPr="007A3E8A">
          <w:rPr>
            <w:webHidden/>
          </w:rPr>
          <w:instrText xml:space="preserve"> PAGEREF _Toc308697247 \h </w:instrText>
        </w:r>
        <w:r w:rsidRPr="007A3E8A">
          <w:rPr>
            <w:webHidden/>
          </w:rPr>
        </w:r>
        <w:r w:rsidRPr="007A3E8A">
          <w:rPr>
            <w:webHidden/>
          </w:rPr>
          <w:fldChar w:fldCharType="separate"/>
        </w:r>
        <w:r w:rsidRPr="007A3E8A">
          <w:rPr>
            <w:webHidden/>
          </w:rPr>
          <w:t>13</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48" w:history="1">
        <w:r w:rsidRPr="007A3E8A">
          <w:rPr>
            <w:rStyle w:val="Hyperlnk"/>
          </w:rPr>
          <w:t>14. Proposal for transfer of appropriations No DEC 44/2011 within Section III - Commission - of the general budget for 2011</w:t>
        </w:r>
        <w:r w:rsidRPr="007A3E8A">
          <w:rPr>
            <w:webHidden/>
          </w:rPr>
          <w:tab/>
        </w:r>
        <w:r w:rsidRPr="007A3E8A">
          <w:rPr>
            <w:webHidden/>
          </w:rPr>
          <w:fldChar w:fldCharType="begin" w:fldLock="1"/>
        </w:r>
        <w:r w:rsidRPr="007A3E8A">
          <w:rPr>
            <w:webHidden/>
          </w:rPr>
          <w:instrText xml:space="preserve"> PAGEREF _Toc308697248 \h </w:instrText>
        </w:r>
        <w:r w:rsidRPr="007A3E8A">
          <w:rPr>
            <w:webHidden/>
          </w:rPr>
        </w:r>
        <w:r w:rsidRPr="007A3E8A">
          <w:rPr>
            <w:webHidden/>
          </w:rPr>
          <w:fldChar w:fldCharType="separate"/>
        </w:r>
        <w:r w:rsidRPr="007A3E8A">
          <w:rPr>
            <w:webHidden/>
          </w:rPr>
          <w:t>14</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49" w:history="1">
        <w:r w:rsidRPr="007A3E8A">
          <w:rPr>
            <w:rStyle w:val="Hyperlnk"/>
          </w:rPr>
          <w:t>15. Proposal for transfer of appropriations No DEC45/2011 within Section III - Commission - of the general budget for 2011</w:t>
        </w:r>
        <w:r w:rsidRPr="007A3E8A">
          <w:rPr>
            <w:webHidden/>
          </w:rPr>
          <w:tab/>
        </w:r>
        <w:r w:rsidRPr="007A3E8A">
          <w:rPr>
            <w:webHidden/>
          </w:rPr>
          <w:fldChar w:fldCharType="begin" w:fldLock="1"/>
        </w:r>
        <w:r w:rsidRPr="007A3E8A">
          <w:rPr>
            <w:webHidden/>
          </w:rPr>
          <w:instrText xml:space="preserve"> PAGEREF _Toc308697249 \h </w:instrText>
        </w:r>
        <w:r w:rsidRPr="007A3E8A">
          <w:rPr>
            <w:webHidden/>
          </w:rPr>
        </w:r>
        <w:r w:rsidRPr="007A3E8A">
          <w:rPr>
            <w:webHidden/>
          </w:rPr>
          <w:fldChar w:fldCharType="separate"/>
        </w:r>
        <w:r w:rsidRPr="007A3E8A">
          <w:rPr>
            <w:webHidden/>
          </w:rPr>
          <w:t>14</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50" w:history="1">
        <w:r w:rsidRPr="007A3E8A">
          <w:rPr>
            <w:rStyle w:val="Hyperlnk"/>
          </w:rPr>
          <w:t>16. Proposal for a Directive of the European Parliament and of the Council on combating the sexual abuse, sexual exploitation of children and child pornography, repealing Framework Decision 2004/68/JHA (first reading) (LA)- Adoption of the legislative act</w:t>
        </w:r>
        <w:r w:rsidRPr="007A3E8A">
          <w:rPr>
            <w:webHidden/>
          </w:rPr>
          <w:tab/>
        </w:r>
        <w:r w:rsidRPr="007A3E8A">
          <w:rPr>
            <w:webHidden/>
          </w:rPr>
          <w:fldChar w:fldCharType="begin" w:fldLock="1"/>
        </w:r>
        <w:r w:rsidRPr="007A3E8A">
          <w:rPr>
            <w:webHidden/>
          </w:rPr>
          <w:instrText xml:space="preserve"> PAGEREF _Toc308697250 \h </w:instrText>
        </w:r>
        <w:r w:rsidRPr="007A3E8A">
          <w:rPr>
            <w:webHidden/>
          </w:rPr>
        </w:r>
        <w:r w:rsidRPr="007A3E8A">
          <w:rPr>
            <w:webHidden/>
          </w:rPr>
          <w:fldChar w:fldCharType="separate"/>
        </w:r>
        <w:r w:rsidRPr="007A3E8A">
          <w:rPr>
            <w:webHidden/>
          </w:rPr>
          <w:t>15</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51" w:history="1">
        <w:r w:rsidRPr="007A3E8A">
          <w:rPr>
            <w:rStyle w:val="Hyperlnk"/>
          </w:rPr>
          <w:t>17. Proposal for a Regulation of the European Parliament and of the Council on amending Council Regulation (EC) No 1215/2009 introducing exceptional trade measures for countries and territories participating in or linked to the European Union's Stabilisation and Association process (first reading) (LA+S)- Adoption of the legislative act</w:t>
        </w:r>
        <w:r w:rsidRPr="007A3E8A">
          <w:rPr>
            <w:webHidden/>
          </w:rPr>
          <w:tab/>
        </w:r>
        <w:r w:rsidRPr="007A3E8A">
          <w:rPr>
            <w:webHidden/>
          </w:rPr>
          <w:fldChar w:fldCharType="begin" w:fldLock="1"/>
        </w:r>
        <w:r w:rsidRPr="007A3E8A">
          <w:rPr>
            <w:webHidden/>
          </w:rPr>
          <w:instrText xml:space="preserve"> PAGEREF _Toc308697251 \h </w:instrText>
        </w:r>
        <w:r w:rsidRPr="007A3E8A">
          <w:rPr>
            <w:webHidden/>
          </w:rPr>
        </w:r>
        <w:r w:rsidRPr="007A3E8A">
          <w:rPr>
            <w:webHidden/>
          </w:rPr>
          <w:fldChar w:fldCharType="separate"/>
        </w:r>
        <w:r w:rsidRPr="007A3E8A">
          <w:rPr>
            <w:webHidden/>
          </w:rPr>
          <w:t>16</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52" w:history="1">
        <w:r w:rsidRPr="007A3E8A">
          <w:rPr>
            <w:rStyle w:val="Hyperlnk"/>
          </w:rPr>
          <w:t>18. Relations with Iraq - proposal for a Council Decision on the signing, on behalf of the European Union, and provisional application of certain provisions of the Partnership and Cooperation Agreement between the European Union and its Member States, of the one part, and the Republic of Iraq, of the other part- Adoption</w:t>
        </w:r>
        <w:r w:rsidRPr="007A3E8A">
          <w:rPr>
            <w:webHidden/>
          </w:rPr>
          <w:tab/>
        </w:r>
        <w:r w:rsidRPr="007A3E8A">
          <w:rPr>
            <w:webHidden/>
          </w:rPr>
          <w:fldChar w:fldCharType="begin" w:fldLock="1"/>
        </w:r>
        <w:r w:rsidRPr="007A3E8A">
          <w:rPr>
            <w:webHidden/>
          </w:rPr>
          <w:instrText xml:space="preserve"> PAGEREF _Toc308697252 \h </w:instrText>
        </w:r>
        <w:r w:rsidRPr="007A3E8A">
          <w:rPr>
            <w:webHidden/>
          </w:rPr>
        </w:r>
        <w:r w:rsidRPr="007A3E8A">
          <w:rPr>
            <w:webHidden/>
          </w:rPr>
          <w:fldChar w:fldCharType="separate"/>
        </w:r>
        <w:r w:rsidRPr="007A3E8A">
          <w:rPr>
            <w:webHidden/>
          </w:rPr>
          <w:t>16</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53" w:history="1">
        <w:r w:rsidRPr="007A3E8A">
          <w:rPr>
            <w:rStyle w:val="Hyperlnk"/>
          </w:rPr>
          <w:t>19. Relations with Afghanistan - Authorisation for the opening of negotiations for a Cooperation Agreement on Partnership and Development between the European Union and its Member States and Afghanistan</w:t>
        </w:r>
        <w:r w:rsidRPr="007A3E8A">
          <w:rPr>
            <w:webHidden/>
          </w:rPr>
          <w:tab/>
        </w:r>
        <w:r w:rsidRPr="007A3E8A">
          <w:rPr>
            <w:webHidden/>
          </w:rPr>
          <w:fldChar w:fldCharType="begin" w:fldLock="1"/>
        </w:r>
        <w:r w:rsidRPr="007A3E8A">
          <w:rPr>
            <w:webHidden/>
          </w:rPr>
          <w:instrText xml:space="preserve"> PAGEREF _Toc308697253 \h </w:instrText>
        </w:r>
        <w:r w:rsidRPr="007A3E8A">
          <w:rPr>
            <w:webHidden/>
          </w:rPr>
        </w:r>
        <w:r w:rsidRPr="007A3E8A">
          <w:rPr>
            <w:webHidden/>
          </w:rPr>
          <w:fldChar w:fldCharType="separate"/>
        </w:r>
        <w:r w:rsidRPr="007A3E8A">
          <w:rPr>
            <w:webHidden/>
          </w:rPr>
          <w:t>17</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54" w:history="1">
        <w:r w:rsidRPr="007A3E8A">
          <w:rPr>
            <w:rStyle w:val="Hyperlnk"/>
          </w:rPr>
          <w:t>20. EULEX Kosovo - additional allowance</w:t>
        </w:r>
        <w:r w:rsidRPr="007A3E8A">
          <w:rPr>
            <w:webHidden/>
          </w:rPr>
          <w:tab/>
        </w:r>
        <w:r w:rsidRPr="007A3E8A">
          <w:rPr>
            <w:webHidden/>
          </w:rPr>
          <w:fldChar w:fldCharType="begin" w:fldLock="1"/>
        </w:r>
        <w:r w:rsidRPr="007A3E8A">
          <w:rPr>
            <w:webHidden/>
          </w:rPr>
          <w:instrText xml:space="preserve"> PAGEREF _Toc308697254 \h </w:instrText>
        </w:r>
        <w:r w:rsidRPr="007A3E8A">
          <w:rPr>
            <w:webHidden/>
          </w:rPr>
        </w:r>
        <w:r w:rsidRPr="007A3E8A">
          <w:rPr>
            <w:webHidden/>
          </w:rPr>
          <w:fldChar w:fldCharType="separate"/>
        </w:r>
        <w:r w:rsidRPr="007A3E8A">
          <w:rPr>
            <w:webHidden/>
          </w:rPr>
          <w:t>17</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55" w:history="1">
        <w:r w:rsidRPr="007A3E8A">
          <w:rPr>
            <w:rStyle w:val="Hyperlnk"/>
          </w:rPr>
          <w:t>21. Council Decision repealing Council Decision 2011/210/CFSP on a European Union military operation in support of humanitarian assistance operations in response to the crisis situation in Libya (EUFOR Libya)</w:t>
        </w:r>
        <w:r w:rsidRPr="007A3E8A">
          <w:rPr>
            <w:webHidden/>
          </w:rPr>
          <w:tab/>
        </w:r>
        <w:r w:rsidRPr="007A3E8A">
          <w:rPr>
            <w:webHidden/>
          </w:rPr>
          <w:fldChar w:fldCharType="begin" w:fldLock="1"/>
        </w:r>
        <w:r w:rsidRPr="007A3E8A">
          <w:rPr>
            <w:webHidden/>
          </w:rPr>
          <w:instrText xml:space="preserve"> PAGEREF _Toc308697255 \h </w:instrText>
        </w:r>
        <w:r w:rsidRPr="007A3E8A">
          <w:rPr>
            <w:webHidden/>
          </w:rPr>
        </w:r>
        <w:r w:rsidRPr="007A3E8A">
          <w:rPr>
            <w:webHidden/>
          </w:rPr>
          <w:fldChar w:fldCharType="separate"/>
        </w:r>
        <w:r w:rsidRPr="007A3E8A">
          <w:rPr>
            <w:webHidden/>
          </w:rPr>
          <w:t>18</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56" w:history="1">
        <w:r w:rsidRPr="007A3E8A">
          <w:rPr>
            <w:rStyle w:val="Hyperlnk"/>
          </w:rPr>
          <w:t>22. Enlargement- Accession negotiations with Island(a) Outcome of screening on Chapter 19: Social Policy and Employment (b) Outcome of screening on Chapter 31: Foreign, Security and Defence Policy</w:t>
        </w:r>
        <w:r w:rsidRPr="007A3E8A">
          <w:rPr>
            <w:webHidden/>
          </w:rPr>
          <w:tab/>
        </w:r>
        <w:r w:rsidRPr="007A3E8A">
          <w:rPr>
            <w:webHidden/>
          </w:rPr>
          <w:fldChar w:fldCharType="begin" w:fldLock="1"/>
        </w:r>
        <w:r w:rsidRPr="007A3E8A">
          <w:rPr>
            <w:webHidden/>
          </w:rPr>
          <w:instrText xml:space="preserve"> PAGEREF _Toc308697256 \h </w:instrText>
        </w:r>
        <w:r w:rsidRPr="007A3E8A">
          <w:rPr>
            <w:webHidden/>
          </w:rPr>
        </w:r>
        <w:r w:rsidRPr="007A3E8A">
          <w:rPr>
            <w:webHidden/>
          </w:rPr>
          <w:fldChar w:fldCharType="separate"/>
        </w:r>
        <w:r w:rsidRPr="007A3E8A">
          <w:rPr>
            <w:webHidden/>
          </w:rPr>
          <w:t>18</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57" w:history="1">
        <w:r w:rsidRPr="007A3E8A">
          <w:rPr>
            <w:rStyle w:val="Hyperlnk"/>
          </w:rPr>
          <w:t>23. Proposal for a Regulation of the European Parliament and of the Council amending Council Regulation (EC) No 1085/2006 of 17 July 2006 establishing an Instrument for Pre Accession Assistance (IPA) - Analysis of the text with a view to an agreement with the European Parliament</w:t>
        </w:r>
        <w:r w:rsidRPr="007A3E8A">
          <w:rPr>
            <w:webHidden/>
          </w:rPr>
          <w:tab/>
        </w:r>
        <w:r w:rsidRPr="007A3E8A">
          <w:rPr>
            <w:webHidden/>
          </w:rPr>
          <w:fldChar w:fldCharType="begin" w:fldLock="1"/>
        </w:r>
        <w:r w:rsidRPr="007A3E8A">
          <w:rPr>
            <w:webHidden/>
          </w:rPr>
          <w:instrText xml:space="preserve"> PAGEREF _Toc308697257 \h </w:instrText>
        </w:r>
        <w:r w:rsidRPr="007A3E8A">
          <w:rPr>
            <w:webHidden/>
          </w:rPr>
        </w:r>
        <w:r w:rsidRPr="007A3E8A">
          <w:rPr>
            <w:webHidden/>
          </w:rPr>
          <w:fldChar w:fldCharType="separate"/>
        </w:r>
        <w:r w:rsidRPr="007A3E8A">
          <w:rPr>
            <w:webHidden/>
          </w:rPr>
          <w:t>20</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58" w:history="1">
        <w:r w:rsidRPr="007A3E8A">
          <w:rPr>
            <w:rStyle w:val="Hyperlnk"/>
          </w:rPr>
          <w:t>24. Proposal for a Regulation of the European Parliament and of the Council on Short Selling and certain aspects of Credit Default Swaps- Letter to the European Parliament</w:t>
        </w:r>
        <w:r w:rsidRPr="007A3E8A">
          <w:rPr>
            <w:webHidden/>
          </w:rPr>
          <w:tab/>
        </w:r>
        <w:r w:rsidRPr="007A3E8A">
          <w:rPr>
            <w:webHidden/>
          </w:rPr>
          <w:fldChar w:fldCharType="begin" w:fldLock="1"/>
        </w:r>
        <w:r w:rsidRPr="007A3E8A">
          <w:rPr>
            <w:webHidden/>
          </w:rPr>
          <w:instrText xml:space="preserve"> PAGEREF _Toc308697258 \h </w:instrText>
        </w:r>
        <w:r w:rsidRPr="007A3E8A">
          <w:rPr>
            <w:webHidden/>
          </w:rPr>
        </w:r>
        <w:r w:rsidRPr="007A3E8A">
          <w:rPr>
            <w:webHidden/>
          </w:rPr>
          <w:fldChar w:fldCharType="separate"/>
        </w:r>
        <w:r w:rsidRPr="007A3E8A">
          <w:rPr>
            <w:webHidden/>
          </w:rPr>
          <w:t>20</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59" w:history="1">
        <w:r w:rsidRPr="007A3E8A">
          <w:rPr>
            <w:rStyle w:val="Hyperlnk"/>
          </w:rPr>
          <w:t>25. Mixed agreements:- Operational conclusions of the meeting of the Working Party on Public International Law of 7 October 2011</w:t>
        </w:r>
        <w:r w:rsidRPr="007A3E8A">
          <w:rPr>
            <w:webHidden/>
          </w:rPr>
          <w:tab/>
        </w:r>
        <w:r w:rsidRPr="007A3E8A">
          <w:rPr>
            <w:webHidden/>
          </w:rPr>
          <w:fldChar w:fldCharType="begin" w:fldLock="1"/>
        </w:r>
        <w:r w:rsidRPr="007A3E8A">
          <w:rPr>
            <w:webHidden/>
          </w:rPr>
          <w:instrText xml:space="preserve"> PAGEREF _Toc308697259 \h </w:instrText>
        </w:r>
        <w:r w:rsidRPr="007A3E8A">
          <w:rPr>
            <w:webHidden/>
          </w:rPr>
        </w:r>
        <w:r w:rsidRPr="007A3E8A">
          <w:rPr>
            <w:webHidden/>
          </w:rPr>
          <w:fldChar w:fldCharType="separate"/>
        </w:r>
        <w:r w:rsidRPr="007A3E8A">
          <w:rPr>
            <w:webHidden/>
          </w:rPr>
          <w:t>21</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60" w:history="1">
        <w:r w:rsidRPr="007A3E8A">
          <w:rPr>
            <w:rStyle w:val="Hyperlnk"/>
          </w:rPr>
          <w:t>26. European Economic Area- Establishment of the European Union's common position for the 36th meeting of the EEA Council</w:t>
        </w:r>
        <w:r w:rsidRPr="007A3E8A">
          <w:rPr>
            <w:webHidden/>
          </w:rPr>
          <w:tab/>
        </w:r>
        <w:r w:rsidRPr="007A3E8A">
          <w:rPr>
            <w:webHidden/>
          </w:rPr>
          <w:fldChar w:fldCharType="begin" w:fldLock="1"/>
        </w:r>
        <w:r w:rsidRPr="007A3E8A">
          <w:rPr>
            <w:webHidden/>
          </w:rPr>
          <w:instrText xml:space="preserve"> PAGEREF _Toc308697260 \h </w:instrText>
        </w:r>
        <w:r w:rsidRPr="007A3E8A">
          <w:rPr>
            <w:webHidden/>
          </w:rPr>
        </w:r>
        <w:r w:rsidRPr="007A3E8A">
          <w:rPr>
            <w:webHidden/>
          </w:rPr>
          <w:fldChar w:fldCharType="separate"/>
        </w:r>
        <w:r w:rsidRPr="007A3E8A">
          <w:rPr>
            <w:webHidden/>
          </w:rPr>
          <w:t>22</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61" w:history="1">
        <w:r w:rsidRPr="007A3E8A">
          <w:rPr>
            <w:rStyle w:val="Hyperlnk"/>
          </w:rPr>
          <w:t>27. Restrictive measures against Syria- Letters in reply to persons and entities subject to the restrictive measures provided for inCouncil Decision 2011/273/CFSP and Regulation (EU) No 442/2011</w:t>
        </w:r>
        <w:r w:rsidRPr="007A3E8A">
          <w:rPr>
            <w:webHidden/>
          </w:rPr>
          <w:tab/>
        </w:r>
        <w:r w:rsidRPr="007A3E8A">
          <w:rPr>
            <w:webHidden/>
          </w:rPr>
          <w:fldChar w:fldCharType="begin" w:fldLock="1"/>
        </w:r>
        <w:r w:rsidRPr="007A3E8A">
          <w:rPr>
            <w:webHidden/>
          </w:rPr>
          <w:instrText xml:space="preserve"> PAGEREF _Toc308697261 \h </w:instrText>
        </w:r>
        <w:r w:rsidRPr="007A3E8A">
          <w:rPr>
            <w:webHidden/>
          </w:rPr>
        </w:r>
        <w:r w:rsidRPr="007A3E8A">
          <w:rPr>
            <w:webHidden/>
          </w:rPr>
          <w:fldChar w:fldCharType="separate"/>
        </w:r>
        <w:r w:rsidRPr="007A3E8A">
          <w:rPr>
            <w:webHidden/>
          </w:rPr>
          <w:t>22</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62" w:history="1">
        <w:r w:rsidRPr="007A3E8A">
          <w:rPr>
            <w:rStyle w:val="Hyperlnk"/>
          </w:rPr>
          <w:t>28. Restrictive measures against Belarus -Letters of reply to persons and entities subject to the restrictive measures provided for in Council Decision 2010/639/CFSP and in Council Regulation (EC) No 765/2006</w:t>
        </w:r>
        <w:r w:rsidRPr="007A3E8A">
          <w:rPr>
            <w:webHidden/>
          </w:rPr>
          <w:tab/>
        </w:r>
        <w:r w:rsidRPr="007A3E8A">
          <w:rPr>
            <w:webHidden/>
          </w:rPr>
          <w:fldChar w:fldCharType="begin" w:fldLock="1"/>
        </w:r>
        <w:r w:rsidRPr="007A3E8A">
          <w:rPr>
            <w:webHidden/>
          </w:rPr>
          <w:instrText xml:space="preserve"> PAGEREF _Toc308697262 \h </w:instrText>
        </w:r>
        <w:r w:rsidRPr="007A3E8A">
          <w:rPr>
            <w:webHidden/>
          </w:rPr>
        </w:r>
        <w:r w:rsidRPr="007A3E8A">
          <w:rPr>
            <w:webHidden/>
          </w:rPr>
          <w:fldChar w:fldCharType="separate"/>
        </w:r>
        <w:r w:rsidRPr="007A3E8A">
          <w:rPr>
            <w:webHidden/>
          </w:rPr>
          <w:t>23</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63" w:history="1">
        <w:r w:rsidRPr="007A3E8A">
          <w:rPr>
            <w:rStyle w:val="Hyperlnk"/>
          </w:rPr>
          <w:t>29. Council Regulation (EC) No 2580/2001 on specific restrictive measures directed against certain persons and entities with a view to combating terrorism- Adoption of updated statements of reasons concerning persons and groups subject to restrictive measures provided for in Council Regulation (EC) No 2580/2001</w:t>
        </w:r>
        <w:r w:rsidRPr="007A3E8A">
          <w:rPr>
            <w:webHidden/>
          </w:rPr>
          <w:tab/>
        </w:r>
        <w:r w:rsidRPr="007A3E8A">
          <w:rPr>
            <w:webHidden/>
          </w:rPr>
          <w:fldChar w:fldCharType="begin" w:fldLock="1"/>
        </w:r>
        <w:r w:rsidRPr="007A3E8A">
          <w:rPr>
            <w:webHidden/>
          </w:rPr>
          <w:instrText xml:space="preserve"> PAGEREF _Toc308697263 \h </w:instrText>
        </w:r>
        <w:r w:rsidRPr="007A3E8A">
          <w:rPr>
            <w:webHidden/>
          </w:rPr>
        </w:r>
        <w:r w:rsidRPr="007A3E8A">
          <w:rPr>
            <w:webHidden/>
          </w:rPr>
          <w:fldChar w:fldCharType="separate"/>
        </w:r>
        <w:r w:rsidRPr="007A3E8A">
          <w:rPr>
            <w:webHidden/>
          </w:rPr>
          <w:t>24</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64" w:history="1">
        <w:r w:rsidRPr="007A3E8A">
          <w:rPr>
            <w:rStyle w:val="Hyperlnk"/>
            <w:rFonts w:ascii="OrigGarmnd BT" w:hAnsi="OrigGarmnd BT"/>
          </w:rPr>
          <w:t>Dagordningspunkten avser förändringar i texten över deklarerade motiv för listning av personer, grupper och organisationer involverade i terroristhandlingar. Ändringsförslagen omfattar 4 personer och 12 grupper/organisationer och emanerar från ett enskilt medlemslands revision av egna listningar. Dessa förändringar utgör inte en del av EU:s regelbundna halvårsrevision.</w:t>
        </w:r>
        <w:r w:rsidRPr="007A3E8A">
          <w:rPr>
            <w:webHidden/>
          </w:rPr>
          <w:tab/>
        </w:r>
        <w:r w:rsidRPr="007A3E8A">
          <w:rPr>
            <w:webHidden/>
          </w:rPr>
          <w:fldChar w:fldCharType="begin" w:fldLock="1"/>
        </w:r>
        <w:r w:rsidRPr="007A3E8A">
          <w:rPr>
            <w:webHidden/>
          </w:rPr>
          <w:instrText xml:space="preserve"> PAGEREF _Toc308697264 \h </w:instrText>
        </w:r>
        <w:r w:rsidRPr="007A3E8A">
          <w:rPr>
            <w:webHidden/>
          </w:rPr>
        </w:r>
        <w:r w:rsidRPr="007A3E8A">
          <w:rPr>
            <w:webHidden/>
          </w:rPr>
          <w:fldChar w:fldCharType="separate"/>
        </w:r>
        <w:r w:rsidRPr="007A3E8A">
          <w:rPr>
            <w:webHidden/>
          </w:rPr>
          <w:t>24</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65" w:history="1">
        <w:r w:rsidRPr="007A3E8A">
          <w:rPr>
            <w:rStyle w:val="Hyperlnk"/>
          </w:rPr>
          <w:t>30. Case before the General Court of the European Union: Case T 543/11 (Emad Ghreiwati v. Council of the European Union)</w:t>
        </w:r>
        <w:r w:rsidRPr="007A3E8A">
          <w:rPr>
            <w:webHidden/>
          </w:rPr>
          <w:tab/>
        </w:r>
        <w:r w:rsidRPr="007A3E8A">
          <w:rPr>
            <w:webHidden/>
          </w:rPr>
          <w:fldChar w:fldCharType="begin" w:fldLock="1"/>
        </w:r>
        <w:r w:rsidRPr="007A3E8A">
          <w:rPr>
            <w:webHidden/>
          </w:rPr>
          <w:instrText xml:space="preserve"> PAGEREF _Toc308697265 \h </w:instrText>
        </w:r>
        <w:r w:rsidRPr="007A3E8A">
          <w:rPr>
            <w:webHidden/>
          </w:rPr>
        </w:r>
        <w:r w:rsidRPr="007A3E8A">
          <w:rPr>
            <w:webHidden/>
          </w:rPr>
          <w:fldChar w:fldCharType="separate"/>
        </w:r>
        <w:r w:rsidRPr="007A3E8A">
          <w:rPr>
            <w:webHidden/>
          </w:rPr>
          <w:t>24</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66" w:history="1">
        <w:r w:rsidRPr="007A3E8A">
          <w:rPr>
            <w:rStyle w:val="Hyperlnk"/>
          </w:rPr>
          <w:t>31. Draft Council Conclusions on the 10th European Development Fund Performance Review- Adoption</w:t>
        </w:r>
        <w:r w:rsidRPr="007A3E8A">
          <w:rPr>
            <w:webHidden/>
          </w:rPr>
          <w:tab/>
        </w:r>
        <w:r w:rsidRPr="007A3E8A">
          <w:rPr>
            <w:webHidden/>
          </w:rPr>
          <w:fldChar w:fldCharType="begin" w:fldLock="1"/>
        </w:r>
        <w:r w:rsidRPr="007A3E8A">
          <w:rPr>
            <w:webHidden/>
          </w:rPr>
          <w:instrText xml:space="preserve"> PAGEREF _Toc308697266 \h </w:instrText>
        </w:r>
        <w:r w:rsidRPr="007A3E8A">
          <w:rPr>
            <w:webHidden/>
          </w:rPr>
        </w:r>
        <w:r w:rsidRPr="007A3E8A">
          <w:rPr>
            <w:webHidden/>
          </w:rPr>
          <w:fldChar w:fldCharType="separate"/>
        </w:r>
        <w:r w:rsidRPr="007A3E8A">
          <w:rPr>
            <w:webHidden/>
          </w:rPr>
          <w:t>24</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67" w:history="1">
        <w:r w:rsidRPr="007A3E8A">
          <w:rPr>
            <w:rStyle w:val="Hyperlnk"/>
          </w:rPr>
          <w:t>32. Relations with Russia- Establishment of the position of the European Union for the eighth EU-Russia Permanent Partnership Council (Foreign Ministers), to be held in Moscow on 17 November 2011</w:t>
        </w:r>
        <w:r w:rsidRPr="007A3E8A">
          <w:rPr>
            <w:webHidden/>
          </w:rPr>
          <w:tab/>
        </w:r>
        <w:r w:rsidRPr="007A3E8A">
          <w:rPr>
            <w:webHidden/>
          </w:rPr>
          <w:fldChar w:fldCharType="begin" w:fldLock="1"/>
        </w:r>
        <w:r w:rsidRPr="007A3E8A">
          <w:rPr>
            <w:webHidden/>
          </w:rPr>
          <w:instrText xml:space="preserve"> PAGEREF _Toc308697267 \h </w:instrText>
        </w:r>
        <w:r w:rsidRPr="007A3E8A">
          <w:rPr>
            <w:webHidden/>
          </w:rPr>
        </w:r>
        <w:r w:rsidRPr="007A3E8A">
          <w:rPr>
            <w:webHidden/>
          </w:rPr>
          <w:fldChar w:fldCharType="separate"/>
        </w:r>
        <w:r w:rsidRPr="007A3E8A">
          <w:rPr>
            <w:webHidden/>
          </w:rPr>
          <w:t>25</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68" w:history="1">
        <w:r w:rsidRPr="007A3E8A">
          <w:rPr>
            <w:rStyle w:val="Hyperlnk"/>
          </w:rPr>
          <w:t>33. Report of the High Representative on the fourteenth six-monthly review of operation ALTHEA</w:t>
        </w:r>
        <w:r w:rsidRPr="007A3E8A">
          <w:rPr>
            <w:webHidden/>
          </w:rPr>
          <w:tab/>
        </w:r>
        <w:r w:rsidRPr="007A3E8A">
          <w:rPr>
            <w:webHidden/>
          </w:rPr>
          <w:fldChar w:fldCharType="begin" w:fldLock="1"/>
        </w:r>
        <w:r w:rsidRPr="007A3E8A">
          <w:rPr>
            <w:webHidden/>
          </w:rPr>
          <w:instrText xml:space="preserve"> PAGEREF _Toc308697268 \h </w:instrText>
        </w:r>
        <w:r w:rsidRPr="007A3E8A">
          <w:rPr>
            <w:webHidden/>
          </w:rPr>
        </w:r>
        <w:r w:rsidRPr="007A3E8A">
          <w:rPr>
            <w:webHidden/>
          </w:rPr>
          <w:fldChar w:fldCharType="separate"/>
        </w:r>
        <w:r w:rsidRPr="007A3E8A">
          <w:rPr>
            <w:webHidden/>
          </w:rPr>
          <w:t>26</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69" w:history="1">
        <w:r w:rsidRPr="007A3E8A">
          <w:rPr>
            <w:rStyle w:val="Hyperlnk"/>
          </w:rPr>
          <w:t>34. Commission Communication on Special Advisers - Expiry</w:t>
        </w:r>
        <w:r w:rsidRPr="007A3E8A">
          <w:rPr>
            <w:webHidden/>
          </w:rPr>
          <w:tab/>
        </w:r>
        <w:r w:rsidRPr="007A3E8A">
          <w:rPr>
            <w:webHidden/>
          </w:rPr>
          <w:fldChar w:fldCharType="begin" w:fldLock="1"/>
        </w:r>
        <w:r w:rsidRPr="007A3E8A">
          <w:rPr>
            <w:webHidden/>
          </w:rPr>
          <w:instrText xml:space="preserve"> PAGEREF _Toc308697269 \h </w:instrText>
        </w:r>
        <w:r w:rsidRPr="007A3E8A">
          <w:rPr>
            <w:webHidden/>
          </w:rPr>
        </w:r>
        <w:r w:rsidRPr="007A3E8A">
          <w:rPr>
            <w:webHidden/>
          </w:rPr>
          <w:fldChar w:fldCharType="separate"/>
        </w:r>
        <w:r w:rsidRPr="007A3E8A">
          <w:rPr>
            <w:webHidden/>
          </w:rPr>
          <w:t>26</w:t>
        </w:r>
        <w:r w:rsidRPr="007A3E8A">
          <w:rPr>
            <w:webHidden/>
          </w:rPr>
          <w:fldChar w:fldCharType="end"/>
        </w:r>
      </w:hyperlink>
    </w:p>
    <w:p w:rsidR="00412EF1" w:rsidRPr="007A3E8A" w:rsidRDefault="00412EF1">
      <w:pPr>
        <w:pStyle w:val="Innehll2"/>
        <w:tabs>
          <w:tab w:val="right" w:leader="dot" w:pos="7644"/>
        </w:tabs>
        <w:rPr>
          <w:rFonts w:ascii="Calibri" w:hAnsi="Calibri"/>
          <w:b w:val="0"/>
          <w:bCs w:val="0"/>
          <w:sz w:val="22"/>
          <w:szCs w:val="22"/>
          <w:lang w:eastAsia="sv-SE"/>
        </w:rPr>
      </w:pPr>
      <w:hyperlink w:anchor="_Toc308697270" w:history="1">
        <w:r w:rsidRPr="007A3E8A">
          <w:rPr>
            <w:rStyle w:val="Hyperlnk"/>
          </w:rPr>
          <w:t>35. Fourth Implementation Report on the EU Action Plan for Afghanistan and Pakistan</w:t>
        </w:r>
        <w:r w:rsidRPr="007A3E8A">
          <w:rPr>
            <w:webHidden/>
          </w:rPr>
          <w:tab/>
        </w:r>
        <w:r w:rsidRPr="007A3E8A">
          <w:rPr>
            <w:webHidden/>
          </w:rPr>
          <w:fldChar w:fldCharType="begin" w:fldLock="1"/>
        </w:r>
        <w:r w:rsidRPr="007A3E8A">
          <w:rPr>
            <w:webHidden/>
          </w:rPr>
          <w:instrText xml:space="preserve"> PAGEREF _Toc308697270 \h </w:instrText>
        </w:r>
        <w:r w:rsidRPr="007A3E8A">
          <w:rPr>
            <w:webHidden/>
          </w:rPr>
        </w:r>
        <w:r w:rsidRPr="007A3E8A">
          <w:rPr>
            <w:webHidden/>
          </w:rPr>
          <w:fldChar w:fldCharType="separate"/>
        </w:r>
        <w:r w:rsidRPr="007A3E8A">
          <w:rPr>
            <w:webHidden/>
          </w:rPr>
          <w:t>27</w:t>
        </w:r>
        <w:r w:rsidRPr="007A3E8A">
          <w:rPr>
            <w:webHidden/>
          </w:rPr>
          <w:fldChar w:fldCharType="end"/>
        </w:r>
      </w:hyperlink>
    </w:p>
    <w:p w:rsidR="005F1820" w:rsidRPr="007A3E8A" w:rsidRDefault="005F1820">
      <w:pPr>
        <w:pStyle w:val="RKnormal"/>
        <w:ind w:left="0"/>
        <w:rPr>
          <w:b/>
          <w:bCs/>
        </w:rPr>
      </w:pPr>
      <w:r w:rsidRPr="007A3E8A">
        <w:rPr>
          <w:b/>
          <w:bCs/>
        </w:rPr>
        <w:fldChar w:fldCharType="end"/>
      </w:r>
    </w:p>
    <w:p w:rsidR="005F1820" w:rsidRPr="007A3E8A" w:rsidRDefault="005F1820">
      <w:pPr>
        <w:pStyle w:val="Rubrik1"/>
        <w:tabs>
          <w:tab w:val="clear" w:pos="1134"/>
          <w:tab w:val="left" w:pos="0"/>
        </w:tabs>
      </w:pPr>
      <w:r w:rsidRPr="007A3E8A">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08697232"/>
      <w:r w:rsidRPr="007A3E8A">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7A3E8A" w:rsidRDefault="005F1820" w:rsidP="00D24D53">
      <w:pPr>
        <w:tabs>
          <w:tab w:val="left" w:pos="1843"/>
        </w:tabs>
      </w:pPr>
      <w:r w:rsidRPr="007A3E8A">
        <w:t xml:space="preserve">Nedan återges en förteckning över de frågor som lösts i förberedande instanser. Dessa frågor kommer att eller har presenterats på någon av de officiella listor med A-punkter från rådssekretariatet. Vissa A-punkter föranleder inga annoteringar.  </w:t>
      </w:r>
      <w:bookmarkStart w:id="54" w:name="Punkt"/>
      <w:bookmarkEnd w:id="54"/>
    </w:p>
    <w:p w:rsidR="00D24D53" w:rsidRPr="007A3E8A" w:rsidRDefault="00D24D53" w:rsidP="00D24D53">
      <w:pPr>
        <w:pStyle w:val="Rubrik1"/>
      </w:pPr>
      <w:bookmarkStart w:id="55" w:name="_Toc308697233"/>
      <w:r w:rsidRPr="007A3E8A">
        <w:t>Troliga A-punkter inför kommande rådsmöten som godkändes vid Coreper I 2011-11-09</w:t>
      </w:r>
      <w:bookmarkEnd w:id="55"/>
    </w:p>
    <w:p w:rsidR="005A0420" w:rsidRPr="007A3E8A" w:rsidRDefault="005A0420">
      <w:pPr>
        <w:pStyle w:val="RKnormal"/>
        <w:tabs>
          <w:tab w:val="clear" w:pos="1843"/>
          <w:tab w:val="left" w:pos="0"/>
        </w:tabs>
        <w:ind w:left="0"/>
      </w:pPr>
      <w:r w:rsidRPr="007A3E8A">
        <w:t xml:space="preserve"> </w:t>
      </w:r>
    </w:p>
    <w:p w:rsidR="00D24D53" w:rsidRPr="007A3E8A" w:rsidRDefault="005A0420" w:rsidP="005A0420">
      <w:pPr>
        <w:pStyle w:val="Rubrik2"/>
      </w:pPr>
      <w:bookmarkStart w:id="56" w:name="_Toc308697234"/>
      <w:r w:rsidRPr="007A3E8A">
        <w:t>1. Reply to written questions put to the Council by Members of the European Parliament (+)</w:t>
      </w:r>
      <w:bookmarkEnd w:id="56"/>
      <w:r w:rsidRPr="007A3E8A">
        <w:t xml:space="preserve"> </w:t>
      </w:r>
    </w:p>
    <w:p w:rsidR="005A0420" w:rsidRPr="007A3E8A" w:rsidRDefault="005A0420" w:rsidP="00D24D53">
      <w:r w:rsidRPr="007A3E8A">
        <w:t>(a) n° E-008353/2011 put by Antonio Cancian, Alfredo Pallone, Gabriele Albertini, Magdi Cristiano Allam, Roberta Angelilli, Paolo Bartolozzi, Sergio Berlato, Vito Bonsignore, Lara Comi, Carlo Fidanza, Salvatore Iacolino, Giovanni La Via, Clemente Mastella, Barbara Matera, Mario Mauro, Erminia Mazzoni, Crescenzio Rivellini, Aldo Patriciello, Potito Salatto, Amalia Sartori and Marco Scurria "Interpretation of Regulation (EU) No 204/2011"(b) n° E-008366/2011 put by Nikolaos Chountis "New European Council building" (c) n° E-008371/2011 put by Marek Henryk Migalski "The case of Sergey Magnitsky" (d) n° P-008707/2011 put by Ingeborg Gräßle "VP/HR - Cost of the Résidence Palace building" (e) n° E-008733/2011 put by Paulo Rangel "Social emergency"</w:t>
      </w:r>
    </w:p>
    <w:p w:rsidR="005A0420" w:rsidRPr="007A3E8A" w:rsidRDefault="005A0420">
      <w:pPr>
        <w:pStyle w:val="RKnormal"/>
        <w:tabs>
          <w:tab w:val="clear" w:pos="1843"/>
          <w:tab w:val="left" w:pos="0"/>
        </w:tabs>
        <w:ind w:left="0"/>
      </w:pPr>
    </w:p>
    <w:p w:rsidR="005A0420" w:rsidRPr="007A3E8A" w:rsidRDefault="00412EF1" w:rsidP="005A0420">
      <w:r w:rsidRPr="007A3E8A">
        <w:t xml:space="preserve">15443/11, </w:t>
      </w:r>
      <w:r w:rsidR="005A0420" w:rsidRPr="007A3E8A">
        <w:t>15442/11, 15635/11, 15413/11, 15633/11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Statsrådsberedningen</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Birgitta Ohlsson</w:t>
      </w:r>
    </w:p>
    <w:p w:rsidR="005A0420" w:rsidRPr="007A3E8A" w:rsidRDefault="005A0420">
      <w:pPr>
        <w:pStyle w:val="RKnormal"/>
        <w:tabs>
          <w:tab w:val="clear" w:pos="1843"/>
          <w:tab w:val="left" w:pos="0"/>
        </w:tabs>
        <w:ind w:left="0"/>
      </w:pPr>
    </w:p>
    <w:p w:rsidR="005A0420" w:rsidRPr="007A3E8A" w:rsidRDefault="005A0420" w:rsidP="005A0420">
      <w:r w:rsidRPr="007A3E8A">
        <w:t>Godkänd av Coreper I den 9 november 2011</w:t>
      </w:r>
    </w:p>
    <w:p w:rsidR="005A0420" w:rsidRPr="007A3E8A" w:rsidRDefault="005A0420">
      <w:pPr>
        <w:pStyle w:val="RKnormal"/>
        <w:tabs>
          <w:tab w:val="clear" w:pos="1843"/>
          <w:tab w:val="left" w:pos="0"/>
        </w:tabs>
        <w:ind w:left="0"/>
      </w:pPr>
    </w:p>
    <w:p w:rsidR="005A0420" w:rsidRPr="007A3E8A" w:rsidRDefault="005A0420" w:rsidP="00D24D53">
      <w:r w:rsidRPr="007A3E8A">
        <w:t xml:space="preserve">Föranleder ingen annotering. </w:t>
      </w:r>
    </w:p>
    <w:p w:rsidR="005A0420" w:rsidRPr="007A3E8A" w:rsidRDefault="00D24D53" w:rsidP="005A0420">
      <w:pPr>
        <w:pStyle w:val="Rubrik2"/>
      </w:pPr>
      <w:r w:rsidRPr="007A3E8A">
        <w:br w:type="page"/>
      </w:r>
      <w:bookmarkStart w:id="57" w:name="_Toc308697235"/>
      <w:r w:rsidR="005A0420" w:rsidRPr="007A3E8A">
        <w:t>2. Draft agenda for the forthcoming part-session of the European Parliament in Strasbourg from 14 to 17 November 2011</w:t>
      </w:r>
      <w:bookmarkEnd w:id="57"/>
    </w:p>
    <w:p w:rsidR="005A0420" w:rsidRPr="007A3E8A" w:rsidRDefault="005A0420" w:rsidP="005A0420">
      <w:r w:rsidRPr="007A3E8A">
        <w:t>16238/11, 16239/11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Statsrådsberedningen</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Birgitta Ohlsson</w:t>
      </w:r>
    </w:p>
    <w:p w:rsidR="00D24D53" w:rsidRPr="007A3E8A" w:rsidRDefault="00D24D53" w:rsidP="005A0420"/>
    <w:p w:rsidR="005A0420" w:rsidRPr="007A3E8A" w:rsidRDefault="005A0420" w:rsidP="005A0420">
      <w:r w:rsidRPr="007A3E8A">
        <w:t>Godkänd av Coreper I den 9 november 2011</w:t>
      </w:r>
    </w:p>
    <w:p w:rsidR="005A0420" w:rsidRPr="007A3E8A" w:rsidRDefault="005A0420">
      <w:pPr>
        <w:pStyle w:val="RKnormal"/>
        <w:tabs>
          <w:tab w:val="clear" w:pos="1843"/>
          <w:tab w:val="left" w:pos="0"/>
        </w:tabs>
        <w:ind w:left="0"/>
      </w:pPr>
    </w:p>
    <w:p w:rsidR="005A0420" w:rsidRPr="007A3E8A" w:rsidRDefault="005A0420" w:rsidP="00D24D53">
      <w:r w:rsidRPr="007A3E8A">
        <w:t xml:space="preserve">Föranleder ingen annotering. </w:t>
      </w:r>
    </w:p>
    <w:p w:rsidR="005A0420" w:rsidRPr="007A3E8A" w:rsidRDefault="005A0420" w:rsidP="005A0420">
      <w:pPr>
        <w:pStyle w:val="Rubrik2"/>
      </w:pPr>
      <w:bookmarkStart w:id="58" w:name="_Toc308697236"/>
      <w:r w:rsidRPr="007A3E8A">
        <w:t>3. Case before the General Court Case T-176/11 R (Federación Nacional de Empresarios de Minas de Carbón (Carbunión) against Council of the European Union, European Commission, intervener)</w:t>
      </w:r>
      <w:r w:rsidR="00D24D53" w:rsidRPr="007A3E8A">
        <w:t xml:space="preserve"> </w:t>
      </w:r>
      <w:r w:rsidRPr="007A3E8A">
        <w:t>= Information note for the Permanent Representatives Committee (Part 1)</w:t>
      </w:r>
      <w:bookmarkEnd w:id="58"/>
    </w:p>
    <w:p w:rsidR="005A0420" w:rsidRPr="007A3E8A" w:rsidRDefault="005A0420" w:rsidP="005A0420">
      <w:r w:rsidRPr="007A3E8A">
        <w:t>16211/11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Birgitta Ohlsson</w:t>
      </w:r>
    </w:p>
    <w:p w:rsidR="005A0420" w:rsidRPr="007A3E8A" w:rsidRDefault="005A0420">
      <w:pPr>
        <w:pStyle w:val="RKnormal"/>
        <w:tabs>
          <w:tab w:val="clear" w:pos="1843"/>
          <w:tab w:val="left" w:pos="0"/>
        </w:tabs>
        <w:ind w:left="0"/>
      </w:pPr>
    </w:p>
    <w:p w:rsidR="005A0420" w:rsidRPr="007A3E8A" w:rsidRDefault="005A0420" w:rsidP="005A0420">
      <w:r w:rsidRPr="007A3E8A">
        <w:t>Godkänd av Coreper I den 9 november 2011</w:t>
      </w:r>
    </w:p>
    <w:p w:rsidR="005A0420" w:rsidRPr="007A3E8A" w:rsidRDefault="005A0420">
      <w:pPr>
        <w:pStyle w:val="RKnormal"/>
        <w:tabs>
          <w:tab w:val="clear" w:pos="1843"/>
          <w:tab w:val="left" w:pos="0"/>
        </w:tabs>
        <w:ind w:left="0"/>
      </w:pPr>
    </w:p>
    <w:p w:rsidR="005A0420" w:rsidRPr="007A3E8A" w:rsidRDefault="005A0420" w:rsidP="00D24D53">
      <w:r w:rsidRPr="007A3E8A">
        <w:t xml:space="preserve">Föranleder ingen annotering </w:t>
      </w:r>
    </w:p>
    <w:p w:rsidR="005A0420" w:rsidRPr="007A3E8A" w:rsidRDefault="005A0420" w:rsidP="005A0420">
      <w:pPr>
        <w:pStyle w:val="Rubrik2"/>
      </w:pPr>
      <w:bookmarkStart w:id="59" w:name="_Toc308697237"/>
      <w:r w:rsidRPr="007A3E8A">
        <w:t>4. Council Decision on the signing of a Voluntary Partnership Agreement between the European Union and the Central African Republic on forest law enforcement, governance and trade in timber and derived products to the European Union- Adoption</w:t>
      </w:r>
      <w:bookmarkEnd w:id="59"/>
    </w:p>
    <w:p w:rsidR="005A0420" w:rsidRPr="007A3E8A" w:rsidRDefault="005A0420" w:rsidP="005A0420">
      <w:r w:rsidRPr="007A3E8A">
        <w:t>15741/11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Landsbygdsdepartementet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Eskil Erlandsson</w:t>
      </w:r>
    </w:p>
    <w:p w:rsidR="005A0420" w:rsidRPr="007A3E8A" w:rsidRDefault="005A0420">
      <w:pPr>
        <w:pStyle w:val="RKnormal"/>
        <w:tabs>
          <w:tab w:val="clear" w:pos="1843"/>
          <w:tab w:val="left" w:pos="0"/>
        </w:tabs>
        <w:ind w:left="0"/>
      </w:pPr>
    </w:p>
    <w:p w:rsidR="005A0420" w:rsidRPr="007A3E8A" w:rsidRDefault="005A0420" w:rsidP="005A0420">
      <w:r w:rsidRPr="007A3E8A">
        <w:t>Godkänd av Coreper I den 9 november 2011</w:t>
      </w:r>
    </w:p>
    <w:p w:rsidR="005A0420" w:rsidRPr="007A3E8A" w:rsidRDefault="005A0420">
      <w:pPr>
        <w:pStyle w:val="RKnormal"/>
        <w:tabs>
          <w:tab w:val="clear" w:pos="1843"/>
          <w:tab w:val="left" w:pos="0"/>
        </w:tabs>
        <w:ind w:left="0"/>
      </w:pPr>
    </w:p>
    <w:p w:rsidR="005A0420" w:rsidRPr="007A3E8A" w:rsidRDefault="005A0420" w:rsidP="005A0420">
      <w:r w:rsidRPr="007A3E8A">
        <w:t xml:space="preserve">I handlingsplanen för skogslagstiftningens efterlevnad, styrelseformer och handel (FLEGT), som rådet godkände 2003 föreslås en rad åtgärder, däribland stöd till timmerproducerande länder, multilateralt samarbete för att bekämpa handeln med olagligt virke, stöd till privata initiativ samt åtgärder för att undvika investeringar i verksamheter som främjar olaglig avverkning. Hörnstenen i handlingsplanen är inrättandet av frivilliga FLEGT-partnerskap mellan gemenskapen och timmerproducerande länder i syfte att stoppa olaglig avverkning. År 2005 antog rådet förordning 2173/2005 som fastställer ett licenssystem och en mekanism för att kontrollera lagligheten av importerat timmer till gemenskapen. </w:t>
      </w:r>
    </w:p>
    <w:p w:rsidR="005A0420" w:rsidRPr="007A3E8A" w:rsidRDefault="005A0420" w:rsidP="005A0420"/>
    <w:p w:rsidR="005A0420" w:rsidRPr="007A3E8A" w:rsidRDefault="005A0420" w:rsidP="005A0420">
      <w:r w:rsidRPr="007A3E8A">
        <w:t xml:space="preserve">I december 2005 utfärdade rådet ett direktiv med instruktioner till kommissionen i syfte att förhandla fram partnerskapsavtal med timmerproducerande länder för att genomföra EU:s FLEGT-handlingsplan och särskilt för att uppmuntra handel med kontrollerat lagligt avverkat timmer som importeras till gemenskapen från sådana partnerländerna. Avtalet med Centralafrikanska republiken är det femte partnerskapsavtalet. Förhandlingarna förs alltjämt med ett antal andra utvecklingsländer. </w:t>
      </w:r>
    </w:p>
    <w:p w:rsidR="005A0420" w:rsidRPr="007A3E8A" w:rsidRDefault="005A0420" w:rsidP="005A0420"/>
    <w:p w:rsidR="005A0420" w:rsidRPr="007A3E8A" w:rsidRDefault="005A0420" w:rsidP="005A0420">
      <w:r w:rsidRPr="007A3E8A">
        <w:t>De frivilliga partnerskapsavtalen beslutas sedan ikraftträdandet av EUF av rådet i två steg, varav det första handlar om parternas undertecknande.</w:t>
      </w:r>
    </w:p>
    <w:p w:rsidR="005A0420" w:rsidRPr="007A3E8A" w:rsidRDefault="005A0420" w:rsidP="005A0420"/>
    <w:p w:rsidR="005A0420" w:rsidRPr="007A3E8A" w:rsidRDefault="005A0420" w:rsidP="00D24D53">
      <w:r w:rsidRPr="007A3E8A">
        <w:t xml:space="preserve">Sverige stödjer beslutet om undertecknande av frivilligt partnerskapsavtal med Centralafrikanska republiken. </w:t>
      </w:r>
    </w:p>
    <w:p w:rsidR="005A0420" w:rsidRPr="007A3E8A" w:rsidRDefault="005A0420" w:rsidP="005A0420">
      <w:pPr>
        <w:pStyle w:val="Rubrik2"/>
      </w:pPr>
      <w:bookmarkStart w:id="60" w:name="_Toc308697238"/>
      <w:r w:rsidRPr="007A3E8A">
        <w:t>5. Draft Council Decision establishing the position to be adopted on behalf of the European Union with regard to proposals for amending Appendices I and II to the Convention on the conservation of migratory species of wild animals at the tenth meeting of the Conference of the Parties</w:t>
      </w:r>
      <w:r w:rsidR="00D24D53" w:rsidRPr="007A3E8A">
        <w:t xml:space="preserve"> </w:t>
      </w:r>
      <w:r w:rsidRPr="007A3E8A">
        <w:t>= Adoption</w:t>
      </w:r>
      <w:bookmarkEnd w:id="60"/>
    </w:p>
    <w:p w:rsidR="005A0420" w:rsidRPr="007A3E8A" w:rsidRDefault="005A0420" w:rsidP="005A0420">
      <w:r w:rsidRPr="007A3E8A">
        <w:t>15752/11, 16129/11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Miljödepartementet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Lena Ek</w:t>
      </w:r>
    </w:p>
    <w:p w:rsidR="005A0420" w:rsidRPr="007A3E8A" w:rsidRDefault="005A0420">
      <w:pPr>
        <w:pStyle w:val="RKnormal"/>
        <w:tabs>
          <w:tab w:val="clear" w:pos="1843"/>
          <w:tab w:val="left" w:pos="0"/>
        </w:tabs>
        <w:ind w:left="0"/>
      </w:pPr>
    </w:p>
    <w:p w:rsidR="005A0420" w:rsidRPr="007A3E8A" w:rsidRDefault="005A0420" w:rsidP="005A0420">
      <w:r w:rsidRPr="007A3E8A">
        <w:t>Godkänd av Coreper I den 9 november 2011</w:t>
      </w:r>
    </w:p>
    <w:p w:rsidR="005A0420" w:rsidRPr="007A3E8A" w:rsidRDefault="005A0420">
      <w:pPr>
        <w:pStyle w:val="RKnormal"/>
        <w:tabs>
          <w:tab w:val="clear" w:pos="1843"/>
          <w:tab w:val="left" w:pos="0"/>
        </w:tabs>
        <w:ind w:left="0"/>
      </w:pPr>
    </w:p>
    <w:p w:rsidR="005A0420" w:rsidRPr="007A3E8A" w:rsidRDefault="005A0420" w:rsidP="005A0420">
      <w:r w:rsidRPr="007A3E8A">
        <w:t xml:space="preserve">KOM har inför kommande partsmöte med CMS Convention on Migratory Species den 20-25 november 2011 i Bergen, Norge, tagit fram ett förslag till rådsbeslut om EUs position för de förslag som kommer från konventionsländer utanför EU som rör listning av arter på konventionens bilaga 1 och 2. Förslaget har senast dryftats vid WPE den 4 november. Efter WPE lanserade KOM en tyst procedur där förslaget från WPE var något ändrat, dock ej utifrån sak eller legal karaktär. Samma beslutsförslag som i den tysta proceduren kommer nu till Coreper som en I/A punkt. </w:t>
      </w:r>
    </w:p>
    <w:p w:rsidR="005A0420" w:rsidRPr="007A3E8A" w:rsidRDefault="005A0420" w:rsidP="005A0420"/>
    <w:p w:rsidR="005A0420" w:rsidRPr="007A3E8A" w:rsidRDefault="005A0420" w:rsidP="00D24D53">
      <w:r w:rsidRPr="007A3E8A">
        <w:t xml:space="preserve">SE stödjer förslaget till rådsbeslut. </w:t>
      </w:r>
    </w:p>
    <w:p w:rsidR="005A0420" w:rsidRPr="007A3E8A" w:rsidRDefault="005A0420" w:rsidP="005A0420">
      <w:pPr>
        <w:pStyle w:val="Rubrik2"/>
      </w:pPr>
      <w:bookmarkStart w:id="61" w:name="_Toc308697239"/>
      <w:r w:rsidRPr="007A3E8A">
        <w:t>6. Proposal for a Directive of the European Parliament and of the Council on the assessment of the effects of certain public and private projects on the environment (Codification) (First reading) (Legislative deliberation)</w:t>
      </w:r>
      <w:r w:rsidR="00D24D53" w:rsidRPr="007A3E8A">
        <w:t xml:space="preserve"> </w:t>
      </w:r>
      <w:r w:rsidRPr="007A3E8A">
        <w:t>= Adoption of the legislative act</w:t>
      </w:r>
      <w:bookmarkEnd w:id="61"/>
    </w:p>
    <w:p w:rsidR="005A0420" w:rsidRPr="007A3E8A" w:rsidRDefault="005A0420" w:rsidP="005A0420">
      <w:r w:rsidRPr="007A3E8A">
        <w:t>52/11, 16149/11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Miljödepartementet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Lena Ek</w:t>
      </w:r>
    </w:p>
    <w:p w:rsidR="005A0420" w:rsidRPr="007A3E8A" w:rsidRDefault="005A0420">
      <w:pPr>
        <w:pStyle w:val="RKnormal"/>
        <w:tabs>
          <w:tab w:val="clear" w:pos="1843"/>
          <w:tab w:val="left" w:pos="0"/>
        </w:tabs>
        <w:ind w:left="0"/>
      </w:pPr>
    </w:p>
    <w:p w:rsidR="005A0420" w:rsidRPr="007A3E8A" w:rsidRDefault="005A0420" w:rsidP="005A0420">
      <w:r w:rsidRPr="007A3E8A">
        <w:t>Tidigare behandling vid rådsmöte: Miljörådet</w:t>
      </w:r>
    </w:p>
    <w:p w:rsidR="005A0420" w:rsidRPr="007A3E8A" w:rsidRDefault="005A0420">
      <w:pPr>
        <w:pStyle w:val="RKnormal"/>
        <w:tabs>
          <w:tab w:val="clear" w:pos="1843"/>
          <w:tab w:val="left" w:pos="0"/>
        </w:tabs>
        <w:ind w:left="0"/>
      </w:pPr>
    </w:p>
    <w:p w:rsidR="005A0420" w:rsidRPr="007A3E8A" w:rsidRDefault="005A0420" w:rsidP="005A0420">
      <w:r w:rsidRPr="007A3E8A">
        <w:t>Godkänd av Coreper I den 9 november 2011</w:t>
      </w:r>
    </w:p>
    <w:p w:rsidR="005A0420" w:rsidRPr="007A3E8A" w:rsidRDefault="005A0420">
      <w:pPr>
        <w:pStyle w:val="RKnormal"/>
        <w:tabs>
          <w:tab w:val="clear" w:pos="1843"/>
          <w:tab w:val="left" w:pos="0"/>
        </w:tabs>
        <w:ind w:left="0"/>
      </w:pPr>
    </w:p>
    <w:p w:rsidR="005A0420" w:rsidRPr="007A3E8A" w:rsidRDefault="005A0420" w:rsidP="00D24D53">
      <w:r w:rsidRPr="007A3E8A">
        <w:t xml:space="preserve">Föranleder ingen annotering. </w:t>
      </w:r>
    </w:p>
    <w:p w:rsidR="00D24D53" w:rsidRPr="007A3E8A" w:rsidRDefault="00D24D53" w:rsidP="00D24D53"/>
    <w:p w:rsidR="00D24D53" w:rsidRPr="007A3E8A" w:rsidRDefault="00D24D53" w:rsidP="00D24D53"/>
    <w:p w:rsidR="00D24D53" w:rsidRPr="007A3E8A" w:rsidRDefault="00D24D53" w:rsidP="00D24D53">
      <w:pPr>
        <w:pStyle w:val="Rubrik1"/>
      </w:pPr>
      <w:bookmarkStart w:id="62" w:name="_Toc308697240"/>
      <w:r w:rsidRPr="007A3E8A">
        <w:t>Troliga A-punkter inför kommande rådsmöten som förväntas godkännas vid Coreper II 2011-11-10</w:t>
      </w:r>
      <w:bookmarkEnd w:id="62"/>
    </w:p>
    <w:p w:rsidR="005A0420" w:rsidRPr="007A3E8A" w:rsidRDefault="005A0420" w:rsidP="005A0420">
      <w:pPr>
        <w:pStyle w:val="Rubrik2"/>
      </w:pPr>
      <w:bookmarkStart w:id="63" w:name="_Toc308697241"/>
      <w:r w:rsidRPr="007A3E8A">
        <w:t>7. Resolutions, decisions and opinions adopted by the European Parliament during its part sessions:(a) in Brussels from 12 to 13 October 2011(b) in Strasbourg from 24 to 27 October 2011</w:t>
      </w:r>
      <w:bookmarkEnd w:id="63"/>
      <w:r w:rsidRPr="007A3E8A">
        <w:t xml:space="preserve"> </w:t>
      </w:r>
    </w:p>
    <w:p w:rsidR="005A0420" w:rsidRPr="007A3E8A" w:rsidRDefault="005A0420" w:rsidP="005A0420">
      <w:r w:rsidRPr="007A3E8A">
        <w:t>15737/11, 1416217/11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Statsrådsberedningen</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Birgitta Ohlsson</w:t>
      </w:r>
    </w:p>
    <w:p w:rsidR="005A0420" w:rsidRPr="007A3E8A" w:rsidRDefault="005A0420">
      <w:pPr>
        <w:pStyle w:val="RKnormal"/>
        <w:tabs>
          <w:tab w:val="clear" w:pos="1843"/>
          <w:tab w:val="left" w:pos="0"/>
        </w:tabs>
        <w:ind w:left="0"/>
      </w:pPr>
    </w:p>
    <w:p w:rsidR="005A0420" w:rsidRPr="007A3E8A" w:rsidRDefault="00D24D53" w:rsidP="005A0420">
      <w:r w:rsidRPr="007A3E8A">
        <w:t>Förväntas godkännas</w:t>
      </w:r>
      <w:r w:rsidR="005A0420" w:rsidRPr="007A3E8A">
        <w:t xml:space="preserve"> av Coreper II den 10 november 2011</w:t>
      </w:r>
    </w:p>
    <w:p w:rsidR="005A0420" w:rsidRPr="007A3E8A" w:rsidRDefault="005A0420">
      <w:pPr>
        <w:pStyle w:val="RKnormal"/>
        <w:tabs>
          <w:tab w:val="clear" w:pos="1843"/>
          <w:tab w:val="left" w:pos="0"/>
        </w:tabs>
        <w:ind w:left="0"/>
      </w:pPr>
    </w:p>
    <w:p w:rsidR="005A0420" w:rsidRPr="007A3E8A" w:rsidRDefault="005A0420" w:rsidP="005A0420">
      <w:r w:rsidRPr="007A3E8A">
        <w:t>Föranleder ingen annotering.</w:t>
      </w:r>
    </w:p>
    <w:p w:rsidR="005A0420" w:rsidRPr="007A3E8A" w:rsidRDefault="005A0420">
      <w:pPr>
        <w:pStyle w:val="RKnormal"/>
        <w:tabs>
          <w:tab w:val="clear" w:pos="1843"/>
          <w:tab w:val="left" w:pos="0"/>
        </w:tabs>
        <w:ind w:left="0"/>
      </w:pPr>
      <w:r w:rsidRPr="007A3E8A">
        <w:t xml:space="preserve"> </w:t>
      </w:r>
    </w:p>
    <w:p w:rsidR="005A0420" w:rsidRPr="007A3E8A" w:rsidRDefault="005A0420" w:rsidP="005A0420">
      <w:pPr>
        <w:pStyle w:val="Rubrik2"/>
      </w:pPr>
      <w:bookmarkStart w:id="64" w:name="_Toc308697242"/>
      <w:r w:rsidRPr="007A3E8A">
        <w:t>8. Case before the General Court of the European Union: Case T-490/11(Bena Properties Co S.A. v. Council of the European Union)</w:t>
      </w:r>
      <w:bookmarkEnd w:id="64"/>
    </w:p>
    <w:p w:rsidR="005A0420" w:rsidRPr="007A3E8A" w:rsidRDefault="005A0420" w:rsidP="005A0420">
      <w:r w:rsidRPr="007A3E8A">
        <w:t>16116/11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Birgitta Ohlsson</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2E6C58">
      <w:r w:rsidRPr="007A3E8A">
        <w:t xml:space="preserve">Föranleder ingen annotering </w:t>
      </w:r>
    </w:p>
    <w:p w:rsidR="005A0420" w:rsidRPr="007A3E8A" w:rsidRDefault="005A0420" w:rsidP="005A0420">
      <w:pPr>
        <w:pStyle w:val="Rubrik2"/>
      </w:pPr>
      <w:bookmarkStart w:id="65" w:name="_Toc308697243"/>
      <w:r w:rsidRPr="007A3E8A">
        <w:t>9. Recommendation to the Council concerning the approval of a second party evaluated cryptographic device</w:t>
      </w:r>
      <w:bookmarkEnd w:id="65"/>
    </w:p>
    <w:p w:rsidR="005A0420" w:rsidRPr="007A3E8A" w:rsidRDefault="005A0420" w:rsidP="005A0420">
      <w:r w:rsidRPr="007A3E8A">
        <w:t>15773/11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Carl Bildt</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5A0420">
      <w:r w:rsidRPr="007A3E8A">
        <w:t>Enligt Rådets säkerhetsbestämmelser (artikel 10.6 och bilaga IV, art 26) ska kryptoprodukter som godkänns för säkerhetsskyddsklassificeringsnivån SECRET UE/EU SECRET och högre ha godkänts av Rådet i egenskap av kryptogodkännande myndighet på rekommendation av säkerhetskommittén efter evaluering av två skilda medlemsstater.</w:t>
      </w:r>
    </w:p>
    <w:p w:rsidR="005A0420" w:rsidRPr="007A3E8A" w:rsidRDefault="005A0420" w:rsidP="005A0420"/>
    <w:p w:rsidR="005A0420" w:rsidRPr="007A3E8A" w:rsidRDefault="005A0420" w:rsidP="005A0420">
      <w:r w:rsidRPr="007A3E8A">
        <w:t>Rådets säkerhetskommitté (informationssäkring) har bekräftat att de nödvändiga förutsättningarna för ett sådant godkännande uppfylls av den svenska kryptoprodukten Mobile Encryption Device 7301-C (MED 7301-C).</w:t>
      </w:r>
    </w:p>
    <w:p w:rsidR="005A0420" w:rsidRPr="007A3E8A" w:rsidRDefault="005A0420" w:rsidP="005A0420"/>
    <w:p w:rsidR="005A0420" w:rsidRPr="007A3E8A" w:rsidRDefault="005A0420" w:rsidP="002E6C58">
      <w:r w:rsidRPr="007A3E8A">
        <w:t xml:space="preserve">I ljuset av ovanstående rekommenderas rådet, med förbehåll för bekräftelse från Coreper, godkänna användningen av den svenska kryptoprodukten MED 7301-C för att skydda säkerhetsskyddsklassificerade EU-uppgifter på en säkerhetsskyddsklassificeringsnivå som inte är högre än SECRET UE/EU SECRET. </w:t>
      </w:r>
    </w:p>
    <w:p w:rsidR="005A0420" w:rsidRPr="007A3E8A" w:rsidRDefault="002E6C58" w:rsidP="005A0420">
      <w:pPr>
        <w:pStyle w:val="Rubrik2"/>
      </w:pPr>
      <w:r w:rsidRPr="007A3E8A">
        <w:br w:type="page"/>
      </w:r>
      <w:bookmarkStart w:id="66" w:name="_Toc308697244"/>
      <w:r w:rsidR="005A0420" w:rsidRPr="007A3E8A">
        <w:t>10. Proposal for a Decision of the European Parliam</w:t>
      </w:r>
      <w:r w:rsidRPr="007A3E8A">
        <w:t xml:space="preserve">ent and of the Council on the </w:t>
      </w:r>
      <w:r w:rsidR="005A0420" w:rsidRPr="007A3E8A">
        <w:t>mobilisation of the European Globalisation Adjustment Fund in accordance with point 28 of the Interinstitutional Agreement of 17 May 2006 between the European Parliament, the Council and the Commission on budgetary discipline and sound financial management (application EGF/2010/019 IE/Construction 41 from Ireland)- Proposal for transfer of appropriations No DEC38/2011 within Section III - Commission - of the general budget for 2011</w:t>
      </w:r>
      <w:bookmarkEnd w:id="66"/>
    </w:p>
    <w:p w:rsidR="005A0420" w:rsidRPr="007A3E8A" w:rsidRDefault="005A0420" w:rsidP="005A0420">
      <w:r w:rsidRPr="007A3E8A">
        <w:t>16166/11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Finansdepartementet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Anders Borg</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5A0420">
      <w:r w:rsidRPr="007A3E8A">
        <w:t xml:space="preserve">Kommissionen har förelagt rådet ett förslag till beslut om utnyttjande av medel från Europeiska fonden för justering för globaliseringseffekter. </w:t>
      </w:r>
    </w:p>
    <w:p w:rsidR="005A0420" w:rsidRPr="007A3E8A" w:rsidRDefault="005A0420" w:rsidP="005A0420"/>
    <w:p w:rsidR="005A0420" w:rsidRPr="007A3E8A" w:rsidRDefault="005A0420" w:rsidP="005A0420">
      <w:r w:rsidRPr="007A3E8A">
        <w:t xml:space="preserve">Förslaget syftar till att utnyttja ett belopp 12 689 838 euro från Europeiska fonden för justering för globaliseringseffekter för att tillmötesgå </w:t>
      </w:r>
      <w:r w:rsidR="00917B70" w:rsidRPr="007A3E8A">
        <w:t>en ansökan</w:t>
      </w:r>
      <w:r w:rsidRPr="007A3E8A">
        <w:t xml:space="preserve"> från Irland. Frankrikes ansökan om ekonomiskt bidrag från fonden sker med anledning av uppsagda arbetstagare </w:t>
      </w:r>
      <w:r w:rsidR="00917B70" w:rsidRPr="007A3E8A">
        <w:t>i 1</w:t>
      </w:r>
      <w:r w:rsidRPr="007A3E8A">
        <w:t xml:space="preserve"> 482 företag verksamma inom byggsektorn.</w:t>
      </w:r>
    </w:p>
    <w:p w:rsidR="005A0420" w:rsidRPr="007A3E8A" w:rsidRDefault="005A0420" w:rsidP="005A0420"/>
    <w:p w:rsidR="005A0420" w:rsidRPr="007A3E8A" w:rsidRDefault="005A0420" w:rsidP="002E6C58">
      <w:r w:rsidRPr="007A3E8A">
        <w:t xml:space="preserve">Överföringen behandlades och godkändes vid budgetkommitténs möte den 28 oktober september 2011. Dokumenten är godkända. </w:t>
      </w:r>
    </w:p>
    <w:p w:rsidR="005A0420" w:rsidRPr="007A3E8A" w:rsidRDefault="002E6C58" w:rsidP="005A0420">
      <w:pPr>
        <w:pStyle w:val="Rubrik2"/>
      </w:pPr>
      <w:r w:rsidRPr="007A3E8A">
        <w:br w:type="page"/>
      </w:r>
      <w:bookmarkStart w:id="67" w:name="_Toc308697245"/>
      <w:r w:rsidR="005A0420" w:rsidRPr="007A3E8A">
        <w:t>11.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EGF/2010/020 IE/Construction 43 from Ireland)- Proposal for transfer of appropriations No DEC40/2011 within Section III - Commission - of the general budget for 2011</w:t>
      </w:r>
      <w:bookmarkEnd w:id="67"/>
    </w:p>
    <w:p w:rsidR="005A0420" w:rsidRPr="007A3E8A" w:rsidRDefault="005A0420" w:rsidP="005A0420">
      <w:r w:rsidRPr="007A3E8A">
        <w:t>16167/11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Finansdepartementet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Anders Borg</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5A0420">
      <w:r w:rsidRPr="007A3E8A">
        <w:t xml:space="preserve">Kommissionen har förelagt rådet ett förslag till beslut om utnyttjande av medel från Europeiska fonden för justering för globaliseringseffekter. </w:t>
      </w:r>
    </w:p>
    <w:p w:rsidR="005A0420" w:rsidRPr="007A3E8A" w:rsidRDefault="005A0420" w:rsidP="005A0420"/>
    <w:p w:rsidR="005A0420" w:rsidRPr="007A3E8A" w:rsidRDefault="005A0420" w:rsidP="005A0420">
      <w:r w:rsidRPr="007A3E8A">
        <w:t xml:space="preserve">Förslaget syftar till att utnyttja ett belopp 21 664 148 euro från Europeiska fonden för justering för globaliseringseffekter för att tillmötesgå en ansökan från Irland. Irlands ansökan om ekonomiskt bidrag från fonden sker med anledning av att 2 228 uppsagda personer vid 1 607 företag i byggsektorn. </w:t>
      </w:r>
    </w:p>
    <w:p w:rsidR="005A0420" w:rsidRPr="007A3E8A" w:rsidRDefault="005A0420" w:rsidP="005A0420"/>
    <w:p w:rsidR="005A0420" w:rsidRPr="007A3E8A" w:rsidRDefault="005A0420" w:rsidP="002E6C58">
      <w:r w:rsidRPr="007A3E8A">
        <w:t xml:space="preserve">Överföringen behandlades och godkändes vid budgetkommitténs möte den 28 oktober 2011. Dokumenten är godkända.  </w:t>
      </w:r>
    </w:p>
    <w:p w:rsidR="005A0420" w:rsidRPr="007A3E8A" w:rsidRDefault="005A0420" w:rsidP="005A0420">
      <w:pPr>
        <w:pStyle w:val="Rubrik2"/>
      </w:pPr>
      <w:bookmarkStart w:id="68" w:name="_Toc308697246"/>
      <w:r w:rsidRPr="007A3E8A">
        <w:t>12.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EGF/2010/021 IE/Construction 71 from Ireland)- Proposal for transfer of appropriations No DEC39/2011 within Section III - Commission - of the general budget for 2011</w:t>
      </w:r>
      <w:bookmarkEnd w:id="68"/>
    </w:p>
    <w:p w:rsidR="005A0420" w:rsidRPr="007A3E8A" w:rsidRDefault="005A0420" w:rsidP="005A0420">
      <w:r w:rsidRPr="007A3E8A">
        <w:t>16168/11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Finansdepartementet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Anders Borg</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5A0420">
      <w:r w:rsidRPr="007A3E8A">
        <w:t xml:space="preserve">Kommissionen har förelagt rådet ett förslag till beslut om utnyttjande av medel från Europeiska fonden för justering för globaliseringseffekter. </w:t>
      </w:r>
    </w:p>
    <w:p w:rsidR="005A0420" w:rsidRPr="007A3E8A" w:rsidRDefault="005A0420" w:rsidP="005A0420"/>
    <w:p w:rsidR="005A0420" w:rsidRPr="007A3E8A" w:rsidRDefault="005A0420" w:rsidP="005A0420">
      <w:r w:rsidRPr="007A3E8A">
        <w:t>Förslaget syftar till att utnyttja ett belopp 1 387 819 euro från Europeiska fonden för justering för globaliseringseffekter för att tillmötesgå en ansökan från Irland. Irlands ansökan om ekonomiskt bidrag från fonden sker med anledning av att 554 uppsagda personer vid 234 företag i byggsektorn. Stödet är inriktat på att bistå de berörda arbetstagarna vid deras återinträde på arbetsmarknaden.</w:t>
      </w:r>
    </w:p>
    <w:p w:rsidR="005A0420" w:rsidRPr="007A3E8A" w:rsidRDefault="005A0420" w:rsidP="005A0420"/>
    <w:p w:rsidR="005A0420" w:rsidRPr="007A3E8A" w:rsidRDefault="005A0420" w:rsidP="002E6C58">
      <w:r w:rsidRPr="007A3E8A">
        <w:t xml:space="preserve">Överföringen behandlades och godkändes vid budgetkommitténs möte den 28 oktober 2011. Dokumenten är godkända.  </w:t>
      </w:r>
    </w:p>
    <w:p w:rsidR="005A0420" w:rsidRPr="007A3E8A" w:rsidRDefault="005A0420" w:rsidP="005A0420">
      <w:pPr>
        <w:pStyle w:val="Rubrik2"/>
      </w:pPr>
      <w:bookmarkStart w:id="69" w:name="_Toc308697247"/>
      <w:r w:rsidRPr="007A3E8A">
        <w:t>13. Proposal for transfer of appropriations No DEC43/2011 within Section III - Commission - of the general budget for 2011</w:t>
      </w:r>
      <w:bookmarkEnd w:id="69"/>
    </w:p>
    <w:p w:rsidR="005A0420" w:rsidRPr="007A3E8A" w:rsidRDefault="005A0420" w:rsidP="005A0420">
      <w:r w:rsidRPr="007A3E8A">
        <w:t>15798/11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Finansdepartementet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Anders Borg</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2E6C58">
      <w:r w:rsidRPr="007A3E8A">
        <w:t xml:space="preserve">Godkännande av överföring om 500 000 euro från anslaget Bidrag till internationella organisationer under fiskeribudgeten till anslaget Intervention för fiskeriprodukter - nya åtgärder. Ansökningar om medel från det senare anslaget har överskridit tidigare budgeterade nivåer med 500 000 euro. Ett motsvarande belopp finns tillgängligt på föregående anslag då kostnaderna för bidrag till internationella organisationer räknat i euro har blivit lägre än väntat på grund av gynnsamma växelkursförändringar. </w:t>
      </w:r>
    </w:p>
    <w:p w:rsidR="005A0420" w:rsidRPr="007A3E8A" w:rsidRDefault="00B602FB" w:rsidP="005A0420">
      <w:pPr>
        <w:pStyle w:val="Rubrik2"/>
      </w:pPr>
      <w:r w:rsidRPr="007A3E8A">
        <w:br w:type="page"/>
      </w:r>
      <w:bookmarkStart w:id="70" w:name="_Toc308697248"/>
      <w:r w:rsidR="005A0420" w:rsidRPr="007A3E8A">
        <w:t>14. Proposal for transfer of appropriations No DEC 44/2011 within Section III - Commission - of the general budget for 2011</w:t>
      </w:r>
      <w:bookmarkEnd w:id="70"/>
    </w:p>
    <w:p w:rsidR="005A0420" w:rsidRPr="007A3E8A" w:rsidRDefault="005A0420" w:rsidP="005A0420">
      <w:r w:rsidRPr="007A3E8A">
        <w:t>16158/11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Finansdepartementet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Anders Borg</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5A0420">
      <w:r w:rsidRPr="007A3E8A">
        <w:t xml:space="preserve">Förslaget avser en utgiftsneutral överföring från anslag i en </w:t>
      </w:r>
      <w:r w:rsidR="00917B70" w:rsidRPr="007A3E8A">
        <w:t>utgiftskategori</w:t>
      </w:r>
      <w:r w:rsidRPr="007A3E8A">
        <w:t xml:space="preserve"> där anslagna medel överstiger behoven till anslag där motsatt situation råder, dvs. behoven överskrider de medel som avsatts för anslaget. Överföringen innebär inte några konsekvenser för utgiftstaket.</w:t>
      </w:r>
    </w:p>
    <w:p w:rsidR="005A0420" w:rsidRPr="007A3E8A" w:rsidRDefault="005A0420" w:rsidP="005A0420"/>
    <w:p w:rsidR="005A0420" w:rsidRPr="007A3E8A" w:rsidRDefault="005A0420" w:rsidP="005A0420">
      <w:r w:rsidRPr="007A3E8A">
        <w:t>Kommissionen föreslår att sammanlagt 15 291 800 euro i åtagandebemyndiganden och 1 685 000 i betalningsbemyndiganden till 01 04 04 Ramprogram för konkurrenskraft och innovation – Omfördelningen sker från andra budgetposter inom rubrik 1a ”Konkurrenskraft för tillväxt och sysselsättning.</w:t>
      </w:r>
    </w:p>
    <w:p w:rsidR="005A0420" w:rsidRPr="007A3E8A" w:rsidRDefault="005A0420" w:rsidP="005A0420"/>
    <w:p w:rsidR="005A0420" w:rsidRPr="007A3E8A" w:rsidRDefault="005A0420" w:rsidP="005A0420">
      <w:r w:rsidRPr="007A3E8A">
        <w:t>Överföringen görs med stöd av Fördraget om EU:s funktionssätt art. 314 om det årliga budgetförfarandet och Rådets förordning (EG, Euratom) nr 1605/2002 av den 25 juni 2002 med budgetförordning för Europeiska gemenskapernas allmänna budget, art. 22-24.</w:t>
      </w:r>
    </w:p>
    <w:p w:rsidR="005A0420" w:rsidRPr="007A3E8A" w:rsidRDefault="005A0420" w:rsidP="005A0420"/>
    <w:p w:rsidR="005A0420" w:rsidRPr="007A3E8A" w:rsidRDefault="005A0420" w:rsidP="002E6C58">
      <w:r w:rsidRPr="007A3E8A">
        <w:t xml:space="preserve">Överföringen behandlades och godkändes vid budgetkommitténs möte den 28 oktober 2011. Dokumenten är godkända.  </w:t>
      </w:r>
    </w:p>
    <w:p w:rsidR="005A0420" w:rsidRPr="007A3E8A" w:rsidRDefault="005A0420" w:rsidP="005A0420">
      <w:pPr>
        <w:pStyle w:val="Rubrik2"/>
      </w:pPr>
      <w:bookmarkStart w:id="71" w:name="_Toc308697249"/>
      <w:r w:rsidRPr="007A3E8A">
        <w:t>15. Proposal for transfer of appropriations No DEC45/2011 within Section III - Commission - of the general budget for 2011</w:t>
      </w:r>
      <w:bookmarkEnd w:id="71"/>
    </w:p>
    <w:p w:rsidR="005A0420" w:rsidRPr="007A3E8A" w:rsidRDefault="005A0420" w:rsidP="005A0420">
      <w:r w:rsidRPr="007A3E8A">
        <w:t>16160/11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Finansdepartementet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Anders Borg</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5A0420">
      <w:r w:rsidRPr="007A3E8A">
        <w:t xml:space="preserve">Kommissionen föreslår att 8 473 533 miljoner euro i betalningsbemyndiganden och åtagandebemyndigande förs till artikel 08 04 01 Samarbete – Nanovetenskap, nanoteknik, material och ny produktionsteknik, 8 134 308 miljoner euro i betalningsbemyndiganden och åtagandebemyndigande förs till artikel 0807 01 Samarbete –Transport (inbegripet flygteknik)samt 350 000 euro i betalningsbemyndiganden och åtagandebemyndigande förs till artikel 08 10 01 Idéer. 350 000 euro överförs icke-differentierad anslag från punkt 08 01 04 30 Genomförandeorganet för Europeiska forskningsrådet samt 16 607 841 euro icke-differentierad anslag från punkt 08 01 05 03 Andra administrativa utgifter för forskning. </w:t>
      </w:r>
    </w:p>
    <w:p w:rsidR="005A0420" w:rsidRPr="007A3E8A" w:rsidRDefault="005A0420" w:rsidP="005A0420"/>
    <w:p w:rsidR="005A0420" w:rsidRPr="007A3E8A" w:rsidRDefault="005A0420" w:rsidP="00B602FB">
      <w:r w:rsidRPr="007A3E8A">
        <w:t xml:space="preserve">Överföringen behandlades och godkändes vid budgetkommitténs möte den 28 oktober september 2011. Dokumenten är godkända. </w:t>
      </w:r>
    </w:p>
    <w:p w:rsidR="005A0420" w:rsidRPr="007A3E8A" w:rsidRDefault="005A0420" w:rsidP="005A0420">
      <w:pPr>
        <w:pStyle w:val="Rubrik2"/>
      </w:pPr>
      <w:bookmarkStart w:id="72" w:name="_Toc308697250"/>
      <w:r w:rsidRPr="007A3E8A">
        <w:t>1</w:t>
      </w:r>
      <w:r w:rsidR="001A6D16" w:rsidRPr="007A3E8A">
        <w:t>6</w:t>
      </w:r>
      <w:r w:rsidRPr="007A3E8A">
        <w:t>. Proposal for a Directive of the European Parliament and of the Council on combating the sexual abuse, sexual exploitation of children and child pornography, repealing Framework Decision 2004/68/JHA (first reading) (LA)- Adoption of the legislative act</w:t>
      </w:r>
      <w:bookmarkEnd w:id="72"/>
    </w:p>
    <w:p w:rsidR="005A0420" w:rsidRPr="007A3E8A" w:rsidRDefault="005A0420" w:rsidP="005A0420">
      <w:r w:rsidRPr="007A3E8A">
        <w:t>51/11, 16150/11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Justitiedepartementet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Beatrice Ask</w:t>
      </w:r>
    </w:p>
    <w:p w:rsidR="005A0420" w:rsidRPr="007A3E8A" w:rsidRDefault="005A0420">
      <w:pPr>
        <w:pStyle w:val="RKnormal"/>
        <w:tabs>
          <w:tab w:val="clear" w:pos="1843"/>
          <w:tab w:val="left" w:pos="0"/>
        </w:tabs>
        <w:ind w:left="0"/>
      </w:pPr>
    </w:p>
    <w:p w:rsidR="005A0420" w:rsidRPr="007A3E8A" w:rsidRDefault="005A0420" w:rsidP="005A0420">
      <w:r w:rsidRPr="007A3E8A">
        <w:t>Tidigare behandling i EU -nämnden: 2011-10-21</w:t>
      </w:r>
    </w:p>
    <w:p w:rsidR="005A0420" w:rsidRPr="007A3E8A" w:rsidRDefault="005A0420">
      <w:pPr>
        <w:pStyle w:val="RKnormal"/>
        <w:tabs>
          <w:tab w:val="clear" w:pos="1843"/>
          <w:tab w:val="left" w:pos="0"/>
        </w:tabs>
        <w:ind w:left="0"/>
      </w:pPr>
    </w:p>
    <w:p w:rsidR="005A0420" w:rsidRPr="007A3E8A" w:rsidRDefault="005A0420" w:rsidP="005A0420">
      <w:r w:rsidRPr="007A3E8A">
        <w:t>Tidigare behandling vid rådsmöte: Rättsliga och inrikes frågor</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5A0420">
      <w:r w:rsidRPr="007A3E8A">
        <w:t xml:space="preserve">KOM presenterade i mars 2010 ett förslag till direktiv som ska ersätta rådets rambeslut om bekämpande av sexuellt utnyttjande av barn och barnpornografi (2004/68/RIF). Förslaget syftar till att skapa minimiregler om fastställande av brottsrekvisit och påföljder inom området sexuell exploatering av barn. Det syftar också till att införa gemensamma bestämmelser för att stärka åtgärderna för att förebygga sådana brott och förbättra skyddet av brottsoffer. </w:t>
      </w:r>
    </w:p>
    <w:p w:rsidR="005A0420" w:rsidRPr="007A3E8A" w:rsidRDefault="005A0420" w:rsidP="005A0420"/>
    <w:p w:rsidR="005A0420" w:rsidRPr="007A3E8A" w:rsidRDefault="005A0420" w:rsidP="005A0420">
      <w:r w:rsidRPr="007A3E8A">
        <w:t xml:space="preserve">Vid RIF-råden den 8 oktober och 2-3 december 2010 enades man om en allmän inriktning på direktivet. Under </w:t>
      </w:r>
      <w:r w:rsidR="00917B70" w:rsidRPr="007A3E8A">
        <w:t>våren 2011</w:t>
      </w:r>
      <w:r w:rsidRPr="007A3E8A">
        <w:t xml:space="preserve"> pågick trepartsförhandlingar mellan EP, rådet och KOM och i juni nåddes en principöverenskommelse om direktivtexten vilken bekräftades i Coreper den 29 juni 2011 och i LIBE den 12 juli 2011. Den 27 oktober hölls i EP en omröstning i plenum. </w:t>
      </w:r>
    </w:p>
    <w:p w:rsidR="005A0420" w:rsidRPr="007A3E8A" w:rsidRDefault="005A0420" w:rsidP="005A0420"/>
    <w:p w:rsidR="005A0420" w:rsidRPr="007A3E8A" w:rsidRDefault="005A0420" w:rsidP="002E6C58">
      <w:r w:rsidRPr="007A3E8A">
        <w:t xml:space="preserve">Viktiga inslag i direktivet är möjligheten att förhindra dömda personer från att arbeta med barn, möjligheten för arbetsgivare att vid rekrytering för professionell eller organiserad frivillig verksamhet som innefattar direkt och regelbunden kontakt med barn bli informerade om fällande domar samt åtgärder för att stänga ner eller blockera hemsidor som innehåller barnpornografi. </w:t>
      </w:r>
    </w:p>
    <w:p w:rsidR="005A0420" w:rsidRPr="007A3E8A" w:rsidRDefault="001A6D16" w:rsidP="005A0420">
      <w:pPr>
        <w:pStyle w:val="Rubrik2"/>
      </w:pPr>
      <w:bookmarkStart w:id="73" w:name="_Toc308697251"/>
      <w:r w:rsidRPr="007A3E8A">
        <w:t>17</w:t>
      </w:r>
      <w:r w:rsidR="005A0420" w:rsidRPr="007A3E8A">
        <w:t>. Proposal for a Regulation of the European Parliament and of the Council on amending Council Regulation (EC) No 1215/2009 introducing exceptional trade measures for countries and territories participating in or linked to the European Union's Stabilisation and Association process (first reading) (LA+S)- Adoption of the legislative act</w:t>
      </w:r>
      <w:bookmarkEnd w:id="73"/>
    </w:p>
    <w:p w:rsidR="005A0420" w:rsidRPr="007A3E8A" w:rsidRDefault="005A0420" w:rsidP="005A0420">
      <w:r w:rsidRPr="007A3E8A">
        <w:t>47/11, 15672/11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Carl Bildt</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5A0420">
      <w:r w:rsidRPr="007A3E8A">
        <w:t xml:space="preserve">Den 15 april skulle Europaparlamentets och rådets förordning om ändring av förordning (EG) nr 1215/2009 antas, syftande till införande av särskilda handelsåtgärder för länder och territorier som deltar i eller är knutna till Europeiska unionens stabiliserings- och associeringsprocess. </w:t>
      </w:r>
    </w:p>
    <w:p w:rsidR="005A0420" w:rsidRPr="007A3E8A" w:rsidRDefault="005A0420" w:rsidP="005A0420"/>
    <w:p w:rsidR="005A0420" w:rsidRPr="007A3E8A" w:rsidRDefault="005A0420" w:rsidP="002E6C58">
      <w:r w:rsidRPr="007A3E8A">
        <w:t xml:space="preserve">Då medlemsstaternas diskussion gällande referens till Kosovo i rådets text fortfarande är resultatlös föreslår ordförandeskapet att ett textstycke inkluderas i Coreper- och rådsprotokollen som tydliggör att referenser till Kosovo, i Europaparlamentets och rådets förordning om ändring av förordning (EG) nr 1215/2009, inte prejudicerar enskilda medlemsstaters ståndpunkt gällande Kosovos status. </w:t>
      </w:r>
    </w:p>
    <w:p w:rsidR="005A0420" w:rsidRPr="007A3E8A" w:rsidRDefault="005A0420" w:rsidP="005A0420">
      <w:pPr>
        <w:pStyle w:val="Rubrik2"/>
      </w:pPr>
      <w:bookmarkStart w:id="74" w:name="_Toc308697252"/>
      <w:r w:rsidRPr="007A3E8A">
        <w:t>1</w:t>
      </w:r>
      <w:r w:rsidR="001A6D16" w:rsidRPr="007A3E8A">
        <w:t>8</w:t>
      </w:r>
      <w:r w:rsidRPr="007A3E8A">
        <w:t>. Relations with Iraq - proposal for a Council Decision on the signing, on behalf of the European Union, and provisional application of certain provisions of the Partnership and Cooperation Agreement between the European Union and its Member States, of the one part, and the Republic of Iraq, of the other part- Adoption</w:t>
      </w:r>
      <w:bookmarkEnd w:id="74"/>
    </w:p>
    <w:p w:rsidR="005A0420" w:rsidRPr="007A3E8A" w:rsidRDefault="005A0420" w:rsidP="005A0420">
      <w:r w:rsidRPr="007A3E8A">
        <w:t>15954/11, 5784/2/11, 13639/11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Carl Bildt</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2E6C58">
      <w:r w:rsidRPr="007A3E8A">
        <w:t>Punkten handlar om att EU och dess medlemsstater undertecknar ett avtal om partnerskap och samarbete mellan Europeiska unionen och dess medlemsstater, å ena sidan, och Republiken Irak, å andra sidan. Avtalet omfattar såväl handelsaspekter samt breddat samarbete inom en rad områden som energi, transport, investeringar, mänskliga rättigheter, utbildning, vetenskap och teknik,</w:t>
      </w:r>
      <w:r w:rsidR="00917B70" w:rsidRPr="007A3E8A">
        <w:t xml:space="preserve"> </w:t>
      </w:r>
      <w:r w:rsidRPr="007A3E8A">
        <w:t xml:space="preserve">miljö samt regionalt eller kulturellt samarbete. </w:t>
      </w:r>
    </w:p>
    <w:p w:rsidR="005A0420" w:rsidRPr="007A3E8A" w:rsidRDefault="001A6D16" w:rsidP="005A0420">
      <w:pPr>
        <w:pStyle w:val="Rubrik2"/>
      </w:pPr>
      <w:bookmarkStart w:id="75" w:name="_Toc308697253"/>
      <w:r w:rsidRPr="007A3E8A">
        <w:t>19</w:t>
      </w:r>
      <w:r w:rsidR="005A0420" w:rsidRPr="007A3E8A">
        <w:t>. Relations with Afghanistan - Authorisation for the opening of negotiations for a Cooperation Agreement on Partnership and Development between the European Union and its Member States and Afghanistan</w:t>
      </w:r>
      <w:bookmarkEnd w:id="75"/>
    </w:p>
    <w:p w:rsidR="005A0420" w:rsidRPr="007A3E8A" w:rsidRDefault="005A0420" w:rsidP="005A0420">
      <w:r w:rsidRPr="007A3E8A">
        <w:t>16153/11, 16146/11, 16147/11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Carl Bildt</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2E6C58">
      <w:r w:rsidRPr="007A3E8A">
        <w:t xml:space="preserve">Rådet förväntas fatta beslut om att ge EU-kommissionen och den Höga representanten i uppdrag att förhandla ett samarbetsavtal för partnerskap och utveckling mellan EU och Afghanistan samt fatta beslut om förhandlingsdirektiv för detta. Avtalet mellan EU och Afghanistan var ursprungligen ett svenskt initiativ och utgör en viktig del av EU:s budskap om långsiktigt åtagande vid den internationella konferensen i Bonn den 5 december. Regeringen stödjer att beslut fattas om uppdraget till EU-kommissionen och den Höga representanten samt om förhandlingsdirektiven. </w:t>
      </w:r>
    </w:p>
    <w:p w:rsidR="005A0420" w:rsidRPr="007A3E8A" w:rsidRDefault="005A0420" w:rsidP="005A0420">
      <w:pPr>
        <w:pStyle w:val="Rubrik2"/>
      </w:pPr>
      <w:bookmarkStart w:id="76" w:name="_Toc308697254"/>
      <w:r w:rsidRPr="007A3E8A">
        <w:t>2</w:t>
      </w:r>
      <w:r w:rsidR="001A6D16" w:rsidRPr="007A3E8A">
        <w:t>0</w:t>
      </w:r>
      <w:r w:rsidRPr="007A3E8A">
        <w:t>. EULEX Kosovo - additional allowance</w:t>
      </w:r>
      <w:bookmarkEnd w:id="76"/>
    </w:p>
    <w:p w:rsidR="005A0420" w:rsidRPr="007A3E8A" w:rsidRDefault="005A0420" w:rsidP="005A0420">
      <w:r w:rsidRPr="007A3E8A">
        <w:t>15919/11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Carl Bildt</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5A0420">
      <w:r w:rsidRPr="007A3E8A">
        <w:t>I syfte att förstärka EU:s rättstatsinsats EULEX närvaro i norra Kosovo, har European External Action Service (Civilian Planning and Conduct Capabilit</w:t>
      </w:r>
      <w:r w:rsidR="00917B70" w:rsidRPr="007A3E8A">
        <w:t xml:space="preserve">y)föreslagit att anställda vid </w:t>
      </w:r>
      <w:r w:rsidRPr="007A3E8A">
        <w:t>EULEX Kosovo som väljer att bosätta sig i norra Kosovo, eller där tjänstgöra under 24-timmarsrotationer, tilldelas en extra ersättning om 15 euro (</w:t>
      </w:r>
      <w:r w:rsidR="00917B70" w:rsidRPr="007A3E8A">
        <w:t>ca</w:t>
      </w:r>
      <w:r w:rsidRPr="007A3E8A">
        <w:t xml:space="preserve"> 142 SEK) per dag. </w:t>
      </w:r>
    </w:p>
    <w:p w:rsidR="005A0420" w:rsidRPr="007A3E8A" w:rsidRDefault="005A0420" w:rsidP="005A0420">
      <w:r w:rsidRPr="007A3E8A">
        <w:t>Den 25 oktober 2011 beslöts i RELEX att en sådan ersättning skall börja utbetalas från och med den 1 september 2011.</w:t>
      </w:r>
    </w:p>
    <w:p w:rsidR="005A0420" w:rsidRPr="007A3E8A" w:rsidRDefault="005A0420" w:rsidP="005A0420"/>
    <w:p w:rsidR="005A0420" w:rsidRPr="007A3E8A" w:rsidRDefault="005A0420" w:rsidP="005A0420">
      <w:r w:rsidRPr="007A3E8A">
        <w:t>Sverige godkänner att en extra ersättning om 15 euro (</w:t>
      </w:r>
      <w:r w:rsidR="00917B70" w:rsidRPr="007A3E8A">
        <w:t>ca</w:t>
      </w:r>
      <w:r w:rsidRPr="007A3E8A">
        <w:t xml:space="preserve"> 142 svenska kronor) per dag, från den 1 november 2011, </w:t>
      </w:r>
    </w:p>
    <w:p w:rsidR="005A0420" w:rsidRPr="007A3E8A" w:rsidRDefault="005A0420" w:rsidP="002E6C58">
      <w:r w:rsidRPr="007A3E8A">
        <w:t xml:space="preserve">utgår till anställda vid EULEX som bosätter sig i norra Kosovo eller där väljer att tjänstgöra under 24-timmarsrotationer.  </w:t>
      </w:r>
    </w:p>
    <w:p w:rsidR="005A0420" w:rsidRPr="007A3E8A" w:rsidRDefault="001A6D16" w:rsidP="005A0420">
      <w:pPr>
        <w:pStyle w:val="Rubrik2"/>
      </w:pPr>
      <w:bookmarkStart w:id="77" w:name="_Toc308697255"/>
      <w:r w:rsidRPr="007A3E8A">
        <w:t>21</w:t>
      </w:r>
      <w:r w:rsidR="005A0420" w:rsidRPr="007A3E8A">
        <w:t>. Council Decision repealing Council Decision 2011/210/CFSP on a European Union military operation in support of humanitarian assistance operations in response to the crisis situation in Libya (EUFOR Libya)</w:t>
      </w:r>
      <w:bookmarkEnd w:id="77"/>
    </w:p>
    <w:p w:rsidR="005A0420" w:rsidRPr="007A3E8A" w:rsidRDefault="005A0420" w:rsidP="005A0420">
      <w:r w:rsidRPr="007A3E8A">
        <w:t>16266/11, 16416/11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Carl Bildt</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r w:rsidRPr="007A3E8A">
        <w:t xml:space="preserve"> </w:t>
      </w:r>
    </w:p>
    <w:p w:rsidR="00B602FB" w:rsidRPr="007A3E8A" w:rsidRDefault="00717A4D" w:rsidP="00B602FB">
      <w:pPr>
        <w:rPr>
          <w:b/>
          <w:i/>
          <w:iCs/>
        </w:rPr>
      </w:pPr>
      <w:r w:rsidRPr="007A3E8A">
        <w:t>EU:s medlemsländer har enats om att avsluta insatsen EUFOR Libya (vars högkvarter stängs den 10 november).</w:t>
      </w:r>
      <w:r w:rsidRPr="007A3E8A">
        <w:rPr>
          <w:b/>
          <w:i/>
          <w:iCs/>
        </w:rPr>
        <w:t xml:space="preserve"> </w:t>
      </w:r>
    </w:p>
    <w:p w:rsidR="00B602FB" w:rsidRPr="007A3E8A" w:rsidRDefault="00B602FB" w:rsidP="00B602FB">
      <w:pPr>
        <w:rPr>
          <w:b/>
          <w:i/>
          <w:iCs/>
        </w:rPr>
      </w:pPr>
    </w:p>
    <w:p w:rsidR="00717A4D" w:rsidRPr="007A3E8A" w:rsidRDefault="00717A4D" w:rsidP="00B602FB">
      <w:pPr>
        <w:rPr>
          <w:b/>
          <w:i/>
          <w:iCs/>
        </w:rPr>
      </w:pPr>
      <w:r w:rsidRPr="007A3E8A">
        <w:t>Regeringen står bakom rådsbeslutet att avsluta EUFOR Libya.</w:t>
      </w:r>
    </w:p>
    <w:p w:rsidR="005A0420" w:rsidRPr="007A3E8A" w:rsidRDefault="005A0420" w:rsidP="00717A4D">
      <w:pPr>
        <w:pStyle w:val="Rubrik2"/>
      </w:pPr>
      <w:bookmarkStart w:id="78" w:name="_Toc308697256"/>
      <w:r w:rsidRPr="007A3E8A">
        <w:t>2</w:t>
      </w:r>
      <w:r w:rsidR="001A6D16" w:rsidRPr="007A3E8A">
        <w:t>2</w:t>
      </w:r>
      <w:r w:rsidRPr="007A3E8A">
        <w:t>. Enlargement- Accession negotiations with Island(a) Outcome of screening on Chapter 19: Social Policy and Employment</w:t>
      </w:r>
      <w:r w:rsidR="008C417B" w:rsidRPr="007A3E8A">
        <w:t xml:space="preserve"> </w:t>
      </w:r>
      <w:r w:rsidRPr="007A3E8A">
        <w:t>(b) Outcome of screening on Chapter 31: Foreign, Security and Defence Policy</w:t>
      </w:r>
      <w:bookmarkEnd w:id="78"/>
    </w:p>
    <w:p w:rsidR="005A0420" w:rsidRPr="007A3E8A" w:rsidRDefault="005A0420" w:rsidP="005A0420">
      <w:r w:rsidRPr="007A3E8A">
        <w:t>16241/11, 16230/11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Carl Bildt</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5A0420">
      <w:r w:rsidRPr="007A3E8A">
        <w:t xml:space="preserve">(a) Inom ramen för Islands anslutningsförhandlingar med EU ska Coreper godkänna EU-kommissionens screeningrapport gällande förhandlingskapitel 19 om Socialpolitik och arbetsmarknad. </w:t>
      </w:r>
    </w:p>
    <w:p w:rsidR="005A0420" w:rsidRPr="007A3E8A" w:rsidRDefault="005A0420" w:rsidP="005A0420"/>
    <w:p w:rsidR="005A0420" w:rsidRPr="007A3E8A" w:rsidRDefault="005A0420" w:rsidP="005A0420">
      <w:r w:rsidRPr="007A3E8A">
        <w:t>Regelverket för kapitel 19 innefattar minimistandards inom områdena arbetsrätt, jämställdhet, hälsa och säkerhet på arbetsplatsen samt anti-diskriminering. KOM bedömer att Island har uppnått en hög grad av anpassning och redan tillämpar en väsentlig del av regelverket på området för socialpolitik och sysselsättning. Dock framhålls behovet av att öka den administrativa kapaciteten och att ytterligare anpassa regelverket för anti-diskriminering.</w:t>
      </w:r>
    </w:p>
    <w:p w:rsidR="005A0420" w:rsidRPr="007A3E8A" w:rsidRDefault="005A0420" w:rsidP="005A0420"/>
    <w:p w:rsidR="005A0420" w:rsidRPr="007A3E8A" w:rsidRDefault="005A0420" w:rsidP="005A0420">
      <w:r w:rsidRPr="007A3E8A">
        <w:t xml:space="preserve">Sverige instämmer i EU-kommissionens bedömning att Island är tillräckligt förberett för att inleda förhandlingar på området. </w:t>
      </w:r>
    </w:p>
    <w:p w:rsidR="005A0420" w:rsidRPr="007A3E8A" w:rsidRDefault="005A0420" w:rsidP="005A0420"/>
    <w:p w:rsidR="005A0420" w:rsidRPr="007A3E8A" w:rsidRDefault="005A0420" w:rsidP="005A0420">
      <w:r w:rsidRPr="007A3E8A">
        <w:t xml:space="preserve">(b) Inom ramen för Islands anslutningsförhandlingar med EU ska </w:t>
      </w:r>
      <w:r w:rsidR="00917B70" w:rsidRPr="007A3E8A">
        <w:t>Coreper</w:t>
      </w:r>
      <w:r w:rsidRPr="007A3E8A">
        <w:t xml:space="preserve"> godkänna EU-kommissionens screeningrapport gällande förhandlingskapitel 31 om Utrikes-, säkerhets- och försvarspolitik. </w:t>
      </w:r>
    </w:p>
    <w:p w:rsidR="005A0420" w:rsidRPr="007A3E8A" w:rsidRDefault="005A0420" w:rsidP="005A0420"/>
    <w:p w:rsidR="005A0420" w:rsidRPr="007A3E8A" w:rsidRDefault="005A0420" w:rsidP="005A0420">
      <w:r w:rsidRPr="007A3E8A">
        <w:t xml:space="preserve">Den gemensamma utrikes- och säkerhetspolitiken (GUSP) och den europeiska säkerhets- och försvarspolitiken (ESFP) bygger på rättsakter, inklusive bindande internationella avtal, och politiska dokument. Regelverket för kapitlet består av politiska deklarationer och överenskommelser. Medlemsstaterna måste kunna föra en politisk dialog inom ramen för GUSP, ansluta sig till EU:s uttalanden, medverka i EU-ledda insatser samt fullfölja överenskomna sanktioner och restriktioner. Kandidatländerna är skyldiga att gradvis ansluta sig till överenskomna EU-uttalanden samt genomföra sanktioner och restriktioner när detta efterfrågas. </w:t>
      </w:r>
    </w:p>
    <w:p w:rsidR="00B602FB" w:rsidRPr="007A3E8A" w:rsidRDefault="00B602FB" w:rsidP="005A0420"/>
    <w:p w:rsidR="005A0420" w:rsidRPr="007A3E8A" w:rsidRDefault="005A0420" w:rsidP="005A0420">
      <w:r w:rsidRPr="007A3E8A">
        <w:t>Rapporten framlägger att Island har stöttat EU:s utrikespolitik under flera år och KOM gör bedömningen att Island bör vara redo att aktivt medverka i GUSP och ESFP.</w:t>
      </w:r>
    </w:p>
    <w:p w:rsidR="005A0420" w:rsidRPr="007A3E8A" w:rsidRDefault="005A0420" w:rsidP="005A0420"/>
    <w:p w:rsidR="005A0420" w:rsidRPr="007A3E8A" w:rsidRDefault="005A0420" w:rsidP="0042383C">
      <w:r w:rsidRPr="007A3E8A">
        <w:t xml:space="preserve">Sverige instämmer i den Höga representantens och EU-kommissionens bedömning att Island är tillräckligt väl förberett för att inleda förhandlingar på området.  </w:t>
      </w:r>
    </w:p>
    <w:p w:rsidR="005A0420" w:rsidRPr="007A3E8A" w:rsidRDefault="00B602FB" w:rsidP="005A0420">
      <w:pPr>
        <w:pStyle w:val="Rubrik2"/>
      </w:pPr>
      <w:r w:rsidRPr="007A3E8A">
        <w:br w:type="page"/>
      </w:r>
      <w:bookmarkStart w:id="79" w:name="_Toc308697257"/>
      <w:r w:rsidR="005A0420" w:rsidRPr="007A3E8A">
        <w:t>2</w:t>
      </w:r>
      <w:r w:rsidR="001A6D16" w:rsidRPr="007A3E8A">
        <w:t>3</w:t>
      </w:r>
      <w:r w:rsidR="005A0420" w:rsidRPr="007A3E8A">
        <w:t>. Proposal for a Regulation of the European Parliament and of the Council amending Council Regulation (EC) No 1085/2006 of 17 July 2006 establishing an Instrument for Pre Accession Assistance (IPA) - Analysis of the text with a view to an agreement with the European Parliament</w:t>
      </w:r>
      <w:bookmarkEnd w:id="79"/>
    </w:p>
    <w:p w:rsidR="005A0420" w:rsidRPr="007A3E8A" w:rsidRDefault="005A0420" w:rsidP="005A0420">
      <w:r w:rsidRPr="007A3E8A">
        <w:t>16407/11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Carl Bildt</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5A0420">
      <w:r w:rsidRPr="007A3E8A">
        <w:t xml:space="preserve">Kommissionen föreslår en ändring av artikel 19 i IPA-förordningen för att anpassa bestämmelserna till artikel 21 i ENPI-förordningen </w:t>
      </w:r>
      <w:r w:rsidR="00917B70" w:rsidRPr="007A3E8A">
        <w:t>om deltagande</w:t>
      </w:r>
      <w:r w:rsidRPr="007A3E8A">
        <w:t xml:space="preserve"> i anbudsförfaranden och kontrakt. Syftet är att komma till rätta med de farhågor som uttryckts av EU-medlemsstater som deltar i IPA:s program för gränsöverskridande samarbete. Dessa medlemsstater har begärt att deltagandet i ett anbudsförfarande skall begränsas till sökande från länder som deltar i relevanta IPA-program för gränsöverskridande samarbeten, såsom är fallet i ENPI-sammanhang. Genom ändringen kan deltagarna i ett anbudsförfarande begränsas till lokala aktörer, med hänsyn till de gränsöverskridande samarbetenas lokala karaktär. </w:t>
      </w:r>
    </w:p>
    <w:p w:rsidR="005A0420" w:rsidRPr="007A3E8A" w:rsidRDefault="005A0420" w:rsidP="005A0420"/>
    <w:p w:rsidR="005A0420" w:rsidRPr="007A3E8A" w:rsidRDefault="005A0420" w:rsidP="005A0420">
      <w:r w:rsidRPr="007A3E8A">
        <w:t xml:space="preserve">Vidare föreslår Kommissionen en ändring av artikel 25.1 i IPA-förordningen i syfte att tillåta den </w:t>
      </w:r>
      <w:r w:rsidR="00917B70" w:rsidRPr="007A3E8A">
        <w:t>s.k.</w:t>
      </w:r>
      <w:r w:rsidRPr="007A3E8A">
        <w:t xml:space="preserve"> Pharekommittén att fortsatt bistå kommissionen i förvaltningen av det ekonomiska stödet till den turkcypriotiska befolkningsgruppen (som fast</w:t>
      </w:r>
      <w:r w:rsidR="00917B70" w:rsidRPr="007A3E8A">
        <w:t>st</w:t>
      </w:r>
      <w:r w:rsidRPr="007A3E8A">
        <w:t xml:space="preserve">älls i förordning (EG) nr 389/2006 rörande stöd till den turkcypriotiska befolkningsgruppen). </w:t>
      </w:r>
    </w:p>
    <w:p w:rsidR="005A0420" w:rsidRPr="007A3E8A" w:rsidRDefault="005A0420" w:rsidP="005A0420"/>
    <w:p w:rsidR="005A0420" w:rsidRPr="007A3E8A" w:rsidRDefault="005A0420" w:rsidP="0042383C">
      <w:r w:rsidRPr="007A3E8A">
        <w:t xml:space="preserve">Ändringsförslagen har antagits i rådsarbetsgruppen Coela och nu väntar vidare behandling och godkännande i Coreper. Sverige har inga invändningar mot Kommissionens ändringsförslag.  </w:t>
      </w:r>
    </w:p>
    <w:p w:rsidR="005A0420" w:rsidRPr="007A3E8A" w:rsidRDefault="001A6D16" w:rsidP="005A0420">
      <w:pPr>
        <w:pStyle w:val="Rubrik2"/>
      </w:pPr>
      <w:bookmarkStart w:id="80" w:name="_Toc308697258"/>
      <w:r w:rsidRPr="007A3E8A">
        <w:t>24</w:t>
      </w:r>
      <w:r w:rsidR="005A0420" w:rsidRPr="007A3E8A">
        <w:t>. Proposal for a Regulation of the European Parliament and of the Council on Short Selling and certain aspects of Credit Default Swaps- Letter to the European Parliament</w:t>
      </w:r>
      <w:bookmarkEnd w:id="80"/>
    </w:p>
    <w:p w:rsidR="005A0420" w:rsidRPr="007A3E8A" w:rsidRDefault="005A0420" w:rsidP="005A0420">
      <w:r w:rsidRPr="007A3E8A">
        <w:t>16336/11, 16338/11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Finansdepartementet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Peter Norman</w:t>
      </w:r>
    </w:p>
    <w:p w:rsidR="005A0420" w:rsidRPr="007A3E8A" w:rsidRDefault="005A0420">
      <w:pPr>
        <w:pStyle w:val="RKnormal"/>
        <w:tabs>
          <w:tab w:val="clear" w:pos="1843"/>
          <w:tab w:val="left" w:pos="0"/>
        </w:tabs>
        <w:ind w:left="0"/>
      </w:pPr>
    </w:p>
    <w:p w:rsidR="005A0420" w:rsidRPr="007A3E8A" w:rsidRDefault="005A0420" w:rsidP="005A0420">
      <w:r w:rsidRPr="007A3E8A">
        <w:t>Tidigare behandling i EU -nämnden: 2011-05-13</w:t>
      </w:r>
    </w:p>
    <w:p w:rsidR="005A0420" w:rsidRPr="007A3E8A" w:rsidRDefault="005A0420">
      <w:pPr>
        <w:pStyle w:val="RKnormal"/>
        <w:tabs>
          <w:tab w:val="clear" w:pos="1843"/>
          <w:tab w:val="left" w:pos="0"/>
        </w:tabs>
        <w:ind w:left="0"/>
      </w:pPr>
    </w:p>
    <w:p w:rsidR="005A0420" w:rsidRPr="007A3E8A" w:rsidRDefault="005A0420" w:rsidP="005A0420">
      <w:r w:rsidRPr="007A3E8A">
        <w:t>Tidigare behandling vid rådsmöte: Ekonomiska och finansiella frågor</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5A0420">
      <w:r w:rsidRPr="007A3E8A">
        <w:t xml:space="preserve">Kommissionen lade den 15 september 2010 fram förslag till en förordning om blankning och vissa aspekter av kreditswappar (CDS:er).  Bakgrunden till förslaget är att många medlemsstater under finanskrisen på varierande sätt vidtog åtgärder för att förbjuda blankning eller krävde anmälning av korta positioner vid olika trösklar. Avsikten med förordningen är att utvidga regelverket som är tillämpligt på blankning samt öka harmoniseringen och samordningen på området. Förordningen innehåller framför allt möjlighet för tillsynsmyndigheter att förbjuda blankning i krisliknande situationer och en skyldighet för myndigheterna att samråda med varandra och med ESMA inför sådana beslut. Efter förhandlingar med Europaparlamentet innehåller förordningen även ett generellt förbud mot s.k. nakna positioner i statspappers-CDS:er, där dock ”naken position” definieras snävt så att olika hedging-strategier tillåts. </w:t>
      </w:r>
    </w:p>
    <w:p w:rsidR="005A0420" w:rsidRPr="007A3E8A" w:rsidRDefault="005A0420" w:rsidP="005A0420"/>
    <w:p w:rsidR="005A0420" w:rsidRPr="007A3E8A" w:rsidRDefault="005A0420" w:rsidP="0042383C">
      <w:r w:rsidRPr="007A3E8A">
        <w:t xml:space="preserve">Rådet ska nu preliminärt besluta om att förordningen kan antas, genom att informera Europaparlamentet om att rådet kommer anta förslaget om parlamentet accepterar de ändringar som gjorts i förhållande till kommissionens förslag. Sverige föreslås stödja ett sådant beslut. </w:t>
      </w:r>
    </w:p>
    <w:p w:rsidR="005A0420" w:rsidRPr="007A3E8A" w:rsidRDefault="001A6D16" w:rsidP="005A0420">
      <w:pPr>
        <w:pStyle w:val="Rubrik2"/>
      </w:pPr>
      <w:bookmarkStart w:id="81" w:name="_Toc308697259"/>
      <w:r w:rsidRPr="007A3E8A">
        <w:t>25</w:t>
      </w:r>
      <w:r w:rsidR="005A0420" w:rsidRPr="007A3E8A">
        <w:t>. Mixed agreements:- Operational conclusions of the meeting of the Working Party on Public International Law of 7 October 2011</w:t>
      </w:r>
      <w:bookmarkEnd w:id="81"/>
    </w:p>
    <w:p w:rsidR="005A0420" w:rsidRPr="007A3E8A" w:rsidRDefault="005A0420" w:rsidP="005A0420">
      <w:r w:rsidRPr="007A3E8A">
        <w:t>16415/11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Carl Bildt</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5A0420">
      <w:r w:rsidRPr="007A3E8A">
        <w:t xml:space="preserve">Europeiska kommissionen (KOM, DG Trade) och Höga representanten (HR, stödd av utrikestjänsten EEAS) har på egen hand - utan att först delge medlemsstaterna (MS) relevanta avtalsutkast och utan att bjuda in eller involvera roterande ordförandeskapet (ORDF) - paraferat associationsavtalet med Centralamerika och handelsavtalet med Peru och Colombia. </w:t>
      </w:r>
    </w:p>
    <w:p w:rsidR="005A0420" w:rsidRPr="007A3E8A" w:rsidRDefault="005A0420" w:rsidP="005A0420"/>
    <w:p w:rsidR="005A0420" w:rsidRPr="007A3E8A" w:rsidRDefault="005A0420" w:rsidP="0042383C">
      <w:r w:rsidRPr="007A3E8A">
        <w:t xml:space="preserve">Ett flertal medlemsstater har menat kommissionens agerande stred mot artikel 218.4 FEUF och även att kommissionen eventuellt kunde anses ha brutit mot lojalitetsförpliktelsen i artikel 4.3 FEU. Vid COJUR-möte den 7 oktober 2011 nåddes konsensus att kommissionen ska informera medlemsstaterna i god tid före parafering av blandade avtal för att ge medlemsstaterna tillräcklig tid att granska avtalen. </w:t>
      </w:r>
    </w:p>
    <w:p w:rsidR="005A0420" w:rsidRPr="007A3E8A" w:rsidRDefault="001A6D16" w:rsidP="005A0420">
      <w:pPr>
        <w:pStyle w:val="Rubrik2"/>
      </w:pPr>
      <w:bookmarkStart w:id="82" w:name="_Toc308697260"/>
      <w:r w:rsidRPr="007A3E8A">
        <w:t>26</w:t>
      </w:r>
      <w:r w:rsidR="005A0420" w:rsidRPr="007A3E8A">
        <w:t>. European Economic Area- Establishment of the European Union's common position for the 36th meeting of the EEA Council</w:t>
      </w:r>
      <w:bookmarkEnd w:id="82"/>
    </w:p>
    <w:p w:rsidR="005A0420" w:rsidRPr="007A3E8A" w:rsidRDefault="005A0420" w:rsidP="005A0420">
      <w:r w:rsidRPr="007A3E8A">
        <w:t>16360/11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utrikesminister Carl Bildt</w:t>
      </w:r>
    </w:p>
    <w:p w:rsidR="005A0420" w:rsidRPr="007A3E8A" w:rsidRDefault="005A0420">
      <w:pPr>
        <w:pStyle w:val="RKnormal"/>
        <w:tabs>
          <w:tab w:val="clear" w:pos="1843"/>
          <w:tab w:val="left" w:pos="0"/>
        </w:tabs>
        <w:ind w:left="0"/>
      </w:pPr>
    </w:p>
    <w:p w:rsidR="005A0420" w:rsidRPr="007A3E8A" w:rsidRDefault="005A0420" w:rsidP="005A0420">
      <w:r w:rsidRPr="007A3E8A">
        <w:t>Tidigare behandling vid rådsmöte: Allmänna frågor och yttre förbindelser</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42383C">
      <w:r w:rsidRPr="007A3E8A">
        <w:t xml:space="preserve">Vid möte med EES-rådet 15 november deltar utrikesministrarna från IS,LI och NO samt företrädare för EU. Vid mötet antas slutsatser om utvecklingen i EU/EES. Av speciellt svenskt intresse är understrykande av en fördjupad dialog mellan EU och NO om handel med livsmedel (Protokoll 3) samt förväntan om kommande översyner av handeln med jordbruksprodukter mellan EU och NO (Artikel 19). Det råder fortfarande ingen enighet mellan EU och EFTA/EES-sidan vad gäller texten kring förvaltningen av makrillbeståndet (Artikel 22) men förhoppningen är att detta lösts till rådsmötet. </w:t>
      </w:r>
    </w:p>
    <w:p w:rsidR="005A0420" w:rsidRPr="007A3E8A" w:rsidRDefault="005A0420" w:rsidP="005A0420">
      <w:pPr>
        <w:pStyle w:val="Rubrik2"/>
      </w:pPr>
      <w:bookmarkStart w:id="83" w:name="_Toc308697261"/>
      <w:r w:rsidRPr="007A3E8A">
        <w:t>2</w:t>
      </w:r>
      <w:r w:rsidR="001A6D16" w:rsidRPr="007A3E8A">
        <w:t>7</w:t>
      </w:r>
      <w:r w:rsidR="00780AF8" w:rsidRPr="007A3E8A">
        <w:t xml:space="preserve">. </w:t>
      </w:r>
      <w:r w:rsidRPr="007A3E8A">
        <w:t>Restrictive measures against Syria- Letters in reply to persons and entities subject to the restrictive measures provided for inCouncil Decision 2011/273/CFSP and Regulation (EU) No 442/2011</w:t>
      </w:r>
      <w:bookmarkEnd w:id="83"/>
    </w:p>
    <w:p w:rsidR="005A0420" w:rsidRPr="007A3E8A" w:rsidRDefault="005A0420" w:rsidP="005A0420">
      <w:r w:rsidRPr="007A3E8A">
        <w:t>16246/11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Carl Bildt</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5A0420">
      <w:r w:rsidRPr="007A3E8A">
        <w:t xml:space="preserve">Inom ramen för Europeiska unionens gemensamma utrikes- och säkerhetspolitik antogs rådsbeslut 2011/273/Gusp den 9 maj vilket innefattar embargo mot export av vapen och utrustning som kan användas för internt förtryck till Syrien samt reserestriktioner och frysning av tillgångar mot dem som är ansvariga för det våldsamma förtrycket mot den egna befolkningen samt med dem associerade personer och enheter. Kretsen av personer som är föremål för restriktiva åtgärder har vid flera tillfällen utökats genom beslut av rådet. </w:t>
      </w:r>
    </w:p>
    <w:p w:rsidR="005A0420" w:rsidRPr="007A3E8A" w:rsidRDefault="005A0420" w:rsidP="005A0420"/>
    <w:p w:rsidR="005A0420" w:rsidRPr="007A3E8A" w:rsidRDefault="005A0420" w:rsidP="005A0420">
      <w:r w:rsidRPr="007A3E8A">
        <w:t>Ett flertal brev har inkommit till rådet från listade personer med frågor kring deras listning och i enstaka fall önskan om att bli avlistad. Rådet har utarbetat fyra brevsvar. I några av breven har man föreslagit att skälen till listningarna uppdateras. Ingen har i detta läge avlistats. Brevsvaren erbjuder de listade att svara inom tre veckor.</w:t>
      </w:r>
    </w:p>
    <w:p w:rsidR="005A0420" w:rsidRPr="007A3E8A" w:rsidRDefault="005A0420" w:rsidP="005A0420"/>
    <w:p w:rsidR="005A0420" w:rsidRPr="007A3E8A" w:rsidRDefault="005A0420" w:rsidP="0042383C">
      <w:r w:rsidRPr="007A3E8A">
        <w:t xml:space="preserve">Regeringen avser stödja ett antagande av rådets brevsvar. </w:t>
      </w:r>
    </w:p>
    <w:p w:rsidR="005A0420" w:rsidRPr="007A3E8A" w:rsidRDefault="001A6D16" w:rsidP="005A0420">
      <w:pPr>
        <w:pStyle w:val="Rubrik2"/>
      </w:pPr>
      <w:bookmarkStart w:id="84" w:name="_Toc308697262"/>
      <w:r w:rsidRPr="007A3E8A">
        <w:t>28</w:t>
      </w:r>
      <w:r w:rsidR="00780AF8" w:rsidRPr="007A3E8A">
        <w:t xml:space="preserve">. </w:t>
      </w:r>
      <w:r w:rsidR="005A0420" w:rsidRPr="007A3E8A">
        <w:t>Restrictive measures against Belarus -Letters of reply to persons and entities subject to the restrictive measures provided for in Council Decision 2010/639/CFSP and in Council Regulation (EC) No 765/2006</w:t>
      </w:r>
      <w:bookmarkEnd w:id="84"/>
    </w:p>
    <w:p w:rsidR="005A0420" w:rsidRPr="007A3E8A" w:rsidRDefault="005A0420" w:rsidP="005A0420">
      <w:r w:rsidRPr="007A3E8A">
        <w:t>16174/11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Carl Bildt</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5A0420">
      <w:r w:rsidRPr="007A3E8A">
        <w:t>Ett antal vitryska medborgare och enheter som är föremål för restriktiva åtgärder sedan rådsbeslut 2011/357/GUSP 20 juni 2011, har skriftligen inkommit med begäran om att avlistas.</w:t>
      </w:r>
    </w:p>
    <w:p w:rsidR="005A0420" w:rsidRPr="007A3E8A" w:rsidRDefault="005A0420" w:rsidP="0042383C">
      <w:r w:rsidRPr="007A3E8A">
        <w:t xml:space="preserve">Utkast till </w:t>
      </w:r>
      <w:r w:rsidR="00917B70" w:rsidRPr="007A3E8A">
        <w:t>brevsvar</w:t>
      </w:r>
      <w:r w:rsidRPr="007A3E8A">
        <w:t xml:space="preserve"> har behandlats i Coest och RELEX där enighet kunnat uppnås om att avslå samtligas begäran. </w:t>
      </w:r>
    </w:p>
    <w:p w:rsidR="005A0420" w:rsidRPr="007A3E8A" w:rsidRDefault="00B602FB" w:rsidP="005A0420">
      <w:pPr>
        <w:pStyle w:val="Rubrik2"/>
      </w:pPr>
      <w:r w:rsidRPr="007A3E8A">
        <w:br w:type="page"/>
      </w:r>
      <w:bookmarkStart w:id="85" w:name="_Toc308697263"/>
      <w:r w:rsidR="001A6D16" w:rsidRPr="007A3E8A">
        <w:t>29</w:t>
      </w:r>
      <w:r w:rsidR="00780AF8" w:rsidRPr="007A3E8A">
        <w:t xml:space="preserve">. </w:t>
      </w:r>
      <w:r w:rsidR="005A0420" w:rsidRPr="007A3E8A">
        <w:t>Council Regulation (EC) No 2580/2001 on specific restrictive measures directed against certain persons and entities with a view to combating terrorism- Adoption of updated statements of reasons concerning persons and groups subject to restrictive measures provided for in Council Regulation (EC) No 2580/2001</w:t>
      </w:r>
      <w:bookmarkEnd w:id="85"/>
    </w:p>
    <w:p w:rsidR="005A0420" w:rsidRPr="007A3E8A" w:rsidRDefault="005A0420" w:rsidP="005A0420">
      <w:r w:rsidRPr="007A3E8A">
        <w:t>16423/11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Carl Bildt</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E90939" w:rsidRPr="007A3E8A" w:rsidRDefault="00E90939" w:rsidP="005A0420">
      <w:pPr>
        <w:pStyle w:val="Rubrik2"/>
        <w:rPr>
          <w:rFonts w:ascii="OrigGarmnd BT" w:hAnsi="OrigGarmnd BT" w:cs="Times New Roman"/>
          <w:b w:val="0"/>
          <w:i w:val="0"/>
          <w:iCs w:val="0"/>
          <w:kern w:val="0"/>
        </w:rPr>
      </w:pPr>
      <w:bookmarkStart w:id="86" w:name="_Toc308697264"/>
      <w:r w:rsidRPr="007A3E8A">
        <w:rPr>
          <w:rFonts w:ascii="OrigGarmnd BT" w:hAnsi="OrigGarmnd BT" w:cs="Times New Roman"/>
          <w:b w:val="0"/>
          <w:i w:val="0"/>
          <w:iCs w:val="0"/>
          <w:kern w:val="0"/>
        </w:rPr>
        <w:t>Dagordningspunkten avser förändringar i texten över deklarerade motiv för listning av personer, grupper och organisationer involverade i terroristhandlingar. Ändringsförslagen omfattar 4 personer och 12 grupper/organisationer och emanerar från ett enskilt medlemslands revision av egna listningar. Dessa förändringar utgör inte en del av EU:s regelbundna halvårsrevision.</w:t>
      </w:r>
      <w:bookmarkEnd w:id="86"/>
    </w:p>
    <w:p w:rsidR="005A0420" w:rsidRPr="007A3E8A" w:rsidRDefault="001A6D16" w:rsidP="005A0420">
      <w:pPr>
        <w:pStyle w:val="Rubrik2"/>
      </w:pPr>
      <w:bookmarkStart w:id="87" w:name="_Toc308697265"/>
      <w:r w:rsidRPr="007A3E8A">
        <w:t>30</w:t>
      </w:r>
      <w:r w:rsidR="005A0420" w:rsidRPr="007A3E8A">
        <w:t>. Case before the General Court of the European Union: Case T 543/11 (Emad Ghreiwati v. Council of the European Union)</w:t>
      </w:r>
      <w:bookmarkEnd w:id="87"/>
    </w:p>
    <w:p w:rsidR="005A0420" w:rsidRPr="007A3E8A" w:rsidRDefault="005A0420" w:rsidP="005A0420">
      <w:r w:rsidRPr="007A3E8A">
        <w:t>16307/11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Birgitta Ohlsson</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B602FB">
      <w:r w:rsidRPr="007A3E8A">
        <w:t xml:space="preserve">Föranleder ingen annotering </w:t>
      </w:r>
    </w:p>
    <w:p w:rsidR="005A0420" w:rsidRPr="007A3E8A" w:rsidRDefault="001A6D16" w:rsidP="005A0420">
      <w:pPr>
        <w:pStyle w:val="Rubrik2"/>
      </w:pPr>
      <w:bookmarkStart w:id="88" w:name="_Toc308697266"/>
      <w:r w:rsidRPr="007A3E8A">
        <w:t>31</w:t>
      </w:r>
      <w:r w:rsidR="005A0420" w:rsidRPr="007A3E8A">
        <w:t>. Draft Council Conclusions on the 10th European Development Fund Performance Review- Adoption</w:t>
      </w:r>
      <w:bookmarkEnd w:id="88"/>
    </w:p>
    <w:p w:rsidR="005A0420" w:rsidRPr="007A3E8A" w:rsidRDefault="005A0420" w:rsidP="005A0420">
      <w:r w:rsidRPr="007A3E8A">
        <w:t>16461/11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Gunilla Carlsson</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5A0420">
      <w:r w:rsidRPr="007A3E8A">
        <w:t>Utkastet på rådsslutsatser tar avstamp i ett arbetspapper som cirkulerats av Kommissionen. Rådsslutsatserna kommer att ligga till grund för en gemensam resultatöversyn som stipuleras i Cotonou-avtalet och som ska genomföras av EU tillsammans med AVS-länderna . Detta kan ses som ett led i diskussionen om framtida samarbete med AVS-länderna. Beslutet innebär således att EUMS ger sin syn på vad den kommande resultatöversynen bör innehålla.</w:t>
      </w:r>
    </w:p>
    <w:p w:rsidR="005A0420" w:rsidRPr="007A3E8A" w:rsidRDefault="005A0420" w:rsidP="005A0420"/>
    <w:p w:rsidR="005A0420" w:rsidRPr="007A3E8A" w:rsidRDefault="005A0420" w:rsidP="005A0420">
      <w:r w:rsidRPr="007A3E8A">
        <w:t>Utkastet på rådsslutsatser innehåller skrivningar som framhåller EDF:s mervärde, genomslag och implementeringsgrad. Dessutom återfinns skrivningar om vikten av ökat resultatfokus och större fokus på genomslag för EDF-finansierade aktiviteter, liksom skrivningar som framhåller viktiga aspekter som bör beaktas inom det fortsatta samarbetet under Cotonou-avtalet.</w:t>
      </w:r>
    </w:p>
    <w:p w:rsidR="005A0420" w:rsidRPr="007A3E8A" w:rsidRDefault="005A0420" w:rsidP="0042383C">
      <w:r w:rsidRPr="007A3E8A">
        <w:t xml:space="preserve">Regeringen kan acceptera utkastet på rådsslutsatser. </w:t>
      </w:r>
    </w:p>
    <w:p w:rsidR="005A0420" w:rsidRPr="007A3E8A" w:rsidRDefault="005A0420" w:rsidP="005A0420">
      <w:pPr>
        <w:pStyle w:val="Rubrik2"/>
      </w:pPr>
      <w:bookmarkStart w:id="89" w:name="_Toc308697267"/>
      <w:r w:rsidRPr="007A3E8A">
        <w:t>3</w:t>
      </w:r>
      <w:r w:rsidR="001A6D16" w:rsidRPr="007A3E8A">
        <w:t>2</w:t>
      </w:r>
      <w:r w:rsidRPr="007A3E8A">
        <w:t>. Relations with Russia- Establishment of the position of the European Union for the eighth EU-Russia Permanent Partnership Council (Foreign Ministers), to be held in Moscow on 17 November 2011</w:t>
      </w:r>
      <w:bookmarkEnd w:id="89"/>
    </w:p>
    <w:p w:rsidR="005A0420" w:rsidRPr="007A3E8A" w:rsidRDefault="005A0420" w:rsidP="005A0420">
      <w:r w:rsidRPr="007A3E8A">
        <w:t>16504/11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Carl Bildt</w:t>
      </w:r>
    </w:p>
    <w:p w:rsidR="005A0420" w:rsidRPr="007A3E8A" w:rsidRDefault="005A0420">
      <w:pPr>
        <w:pStyle w:val="RKnormal"/>
        <w:tabs>
          <w:tab w:val="clear" w:pos="1843"/>
          <w:tab w:val="left" w:pos="0"/>
        </w:tabs>
        <w:ind w:left="0"/>
      </w:pPr>
    </w:p>
    <w:p w:rsidR="00D24D53" w:rsidRPr="007A3E8A" w:rsidRDefault="00D24D53" w:rsidP="00D24D53">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5A0420">
      <w:r w:rsidRPr="007A3E8A">
        <w:t xml:space="preserve">Förslaget till EU:s position inför utrikesministermötet EU-Ryssland i Moskva den 17 november bygger vidare på resultaten från det senaste toppmötet i juni i Nizjnij Novgorod, ett justitieministermöte i oktober i Warszawa samt Aviation Summit i oktober i St. Petersburg. </w:t>
      </w:r>
    </w:p>
    <w:p w:rsidR="005A0420" w:rsidRPr="007A3E8A" w:rsidRDefault="005A0420" w:rsidP="005A0420"/>
    <w:p w:rsidR="005A0420" w:rsidRPr="007A3E8A" w:rsidRDefault="005A0420" w:rsidP="005A0420">
      <w:r w:rsidRPr="007A3E8A">
        <w:t>EU föreslås inta följande positioner vid mötet:</w:t>
      </w:r>
    </w:p>
    <w:p w:rsidR="005A0420" w:rsidRPr="007A3E8A" w:rsidRDefault="005A0420" w:rsidP="005A0420">
      <w:r w:rsidRPr="007A3E8A">
        <w:t>•</w:t>
      </w:r>
      <w:r w:rsidRPr="007A3E8A">
        <w:tab/>
        <w:t>Understryka vikten av balanserade framgångar i förhandlingarna om det Nya Avtalet.</w:t>
      </w:r>
    </w:p>
    <w:p w:rsidR="005A0420" w:rsidRPr="007A3E8A" w:rsidRDefault="005A0420" w:rsidP="005A0420">
      <w:r w:rsidRPr="007A3E8A">
        <w:t>•</w:t>
      </w:r>
      <w:r w:rsidRPr="007A3E8A">
        <w:tab/>
        <w:t>Betona att respekt för mänskliga rättigheter, demokrati och rättsstatsprincipen är väsentliga för ett konstruktivt samarbete, samt erinra om Rysslands internationella åtagande att genomföra fria och rättvisa val med tillräcklig övervakning av OSSE/ODIHR.</w:t>
      </w:r>
    </w:p>
    <w:p w:rsidR="005A0420" w:rsidRPr="007A3E8A" w:rsidRDefault="005A0420" w:rsidP="005A0420">
      <w:r w:rsidRPr="007A3E8A">
        <w:t>•</w:t>
      </w:r>
      <w:r w:rsidRPr="007A3E8A">
        <w:tab/>
        <w:t xml:space="preserve">Upprepa EU:s beslutsamhet att främja mellanfolkliga kontakter, särskilt genom ökad personrörlighet. </w:t>
      </w:r>
    </w:p>
    <w:p w:rsidR="005A0420" w:rsidRPr="007A3E8A" w:rsidRDefault="005A0420" w:rsidP="005A0420">
      <w:r w:rsidRPr="007A3E8A">
        <w:t>•</w:t>
      </w:r>
      <w:r w:rsidRPr="007A3E8A">
        <w:tab/>
        <w:t>Framhålla Rysslands utrikespolitiska åtaganden i det gemensamma grannskapet, speciellt Moldavien och Georgien.</w:t>
      </w:r>
    </w:p>
    <w:p w:rsidR="005A0420" w:rsidRPr="007A3E8A" w:rsidRDefault="005A0420" w:rsidP="0042383C">
      <w:r w:rsidRPr="007A3E8A">
        <w:t>•</w:t>
      </w:r>
      <w:r w:rsidRPr="007A3E8A">
        <w:tab/>
        <w:t xml:space="preserve">Understryka EU:s beredskap att utveckla ett samarbete inom krishantering och att så snart som möjligt färdigställa ett ramavtal med full respekt för EU:s beslutsautonomi.  </w:t>
      </w:r>
    </w:p>
    <w:p w:rsidR="005A0420" w:rsidRPr="007A3E8A" w:rsidRDefault="005A0420" w:rsidP="005A0420">
      <w:pPr>
        <w:pStyle w:val="Rubrik2"/>
      </w:pPr>
      <w:bookmarkStart w:id="90" w:name="_Toc308697268"/>
      <w:r w:rsidRPr="007A3E8A">
        <w:t>3</w:t>
      </w:r>
      <w:r w:rsidR="001A6D16" w:rsidRPr="007A3E8A">
        <w:t>3</w:t>
      </w:r>
      <w:r w:rsidRPr="007A3E8A">
        <w:t>. Report of the High Representative on the fourteenth six-monthly review of operation ALTHEA</w:t>
      </w:r>
      <w:bookmarkEnd w:id="90"/>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Carl Bildt</w:t>
      </w:r>
    </w:p>
    <w:p w:rsidR="005A0420" w:rsidRPr="007A3E8A" w:rsidRDefault="005A0420">
      <w:pPr>
        <w:pStyle w:val="RKnormal"/>
        <w:tabs>
          <w:tab w:val="clear" w:pos="1843"/>
          <w:tab w:val="left" w:pos="0"/>
        </w:tabs>
        <w:ind w:left="0"/>
      </w:pPr>
    </w:p>
    <w:p w:rsidR="005A0420" w:rsidRPr="007A3E8A" w:rsidRDefault="005A0420" w:rsidP="005A0420">
      <w:r w:rsidRPr="007A3E8A">
        <w:t>Tidigare behandling vid rådsmöte: Rådet för utrikesfrågor</w:t>
      </w:r>
    </w:p>
    <w:p w:rsidR="005A0420" w:rsidRPr="007A3E8A" w:rsidRDefault="005A0420">
      <w:pPr>
        <w:pStyle w:val="RKnormal"/>
        <w:tabs>
          <w:tab w:val="clear" w:pos="1843"/>
          <w:tab w:val="left" w:pos="0"/>
        </w:tabs>
        <w:ind w:left="0"/>
      </w:pPr>
    </w:p>
    <w:p w:rsidR="00344C28" w:rsidRPr="007A3E8A" w:rsidRDefault="00344C28" w:rsidP="00344C28">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42383C">
      <w:r w:rsidRPr="007A3E8A">
        <w:t xml:space="preserve">Rapportens slutsatser fokuserar på den förbättrade säkerhetssituationen i Bosnien och EUFOR ALTHEA:s arbete med kapacitetsuppbyggnad och träning. Rapporten noterar samtidigt också nuvarande truppvakanser i styrkan och lyfter särskilt fram riskerna i händelse av säkerhetsrelaterade incidenter. </w:t>
      </w:r>
    </w:p>
    <w:p w:rsidR="005A0420" w:rsidRPr="007A3E8A" w:rsidRDefault="005A0420" w:rsidP="005A0420">
      <w:pPr>
        <w:pStyle w:val="Rubrik2"/>
      </w:pPr>
      <w:bookmarkStart w:id="91" w:name="_Toc308697269"/>
      <w:r w:rsidRPr="007A3E8A">
        <w:t>3</w:t>
      </w:r>
      <w:r w:rsidR="001A6D16" w:rsidRPr="007A3E8A">
        <w:t>4</w:t>
      </w:r>
      <w:r w:rsidRPr="007A3E8A">
        <w:t>. Commission Communication on Special Advisers - Expiry</w:t>
      </w:r>
      <w:bookmarkEnd w:id="91"/>
    </w:p>
    <w:p w:rsidR="005A0420" w:rsidRPr="007A3E8A" w:rsidRDefault="005A0420" w:rsidP="005A0420">
      <w:r w:rsidRPr="007A3E8A">
        <w:t>16515/11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Carl Bildt</w:t>
      </w:r>
    </w:p>
    <w:p w:rsidR="005A0420" w:rsidRPr="007A3E8A" w:rsidRDefault="005A0420">
      <w:pPr>
        <w:pStyle w:val="RKnormal"/>
        <w:tabs>
          <w:tab w:val="clear" w:pos="1843"/>
          <w:tab w:val="left" w:pos="0"/>
        </w:tabs>
        <w:ind w:left="0"/>
      </w:pPr>
    </w:p>
    <w:p w:rsidR="005A0420" w:rsidRPr="007A3E8A" w:rsidRDefault="005A0420" w:rsidP="005A0420">
      <w:r w:rsidRPr="007A3E8A">
        <w:t>Tidigare behandling vid rådsmöte: Rådet för utrikesfrågor</w:t>
      </w:r>
    </w:p>
    <w:p w:rsidR="005A0420" w:rsidRPr="007A3E8A" w:rsidRDefault="005A0420">
      <w:pPr>
        <w:pStyle w:val="RKnormal"/>
        <w:tabs>
          <w:tab w:val="clear" w:pos="1843"/>
          <w:tab w:val="left" w:pos="0"/>
        </w:tabs>
        <w:ind w:left="0"/>
      </w:pPr>
    </w:p>
    <w:p w:rsidR="00344C28" w:rsidRPr="007A3E8A" w:rsidRDefault="00344C28" w:rsidP="00344C28">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42383C">
      <w:r w:rsidRPr="007A3E8A">
        <w:t xml:space="preserve">Kommissionen har föreslagit ändringar i systemet för budgethantering i GSFP-insatserna. Medlemsstaterna har ifrågasatt Kommissionens förslag, då det inte är klarlagt vilka konsekvenser förändringarna skulle har. I den aktuella noten uttrycker medlemsstaterna att de föreslagna förändringarna inte får ha implikationer för insatserna, i synnerhet vad gäller flexibilitet, kostnader, ansvar och ledningskedja samt att den tidtabell som föreslås av Kommissionen inte medger tillräckligt med tid för att till fyllest granska ändringarnas konsekvenser. Det framförs vidare att de av Kommissionen efterfrågade förändringarna endast kan göras genom ändringar av de rådsbeslut som rör insatserna. </w:t>
      </w:r>
    </w:p>
    <w:p w:rsidR="005A0420" w:rsidRPr="007A3E8A" w:rsidRDefault="001A6D16" w:rsidP="005A0420">
      <w:pPr>
        <w:pStyle w:val="Rubrik2"/>
      </w:pPr>
      <w:bookmarkStart w:id="92" w:name="_Toc308697270"/>
      <w:r w:rsidRPr="007A3E8A">
        <w:t>35</w:t>
      </w:r>
      <w:r w:rsidR="005A0420" w:rsidRPr="007A3E8A">
        <w:t>. Fourth Implementation Report on the EU Action Plan for Afghanistan and Pakistan</w:t>
      </w:r>
      <w:bookmarkEnd w:id="92"/>
    </w:p>
    <w:p w:rsidR="005A0420" w:rsidRPr="007A3E8A" w:rsidRDefault="005A0420" w:rsidP="005A0420">
      <w:r w:rsidRPr="007A3E8A">
        <w:t>16532/11</w:t>
      </w:r>
    </w:p>
    <w:p w:rsidR="005A0420" w:rsidRPr="007A3E8A" w:rsidRDefault="005A0420">
      <w:pPr>
        <w:pStyle w:val="RKnormal"/>
        <w:tabs>
          <w:tab w:val="clear" w:pos="1843"/>
          <w:tab w:val="left" w:pos="0"/>
        </w:tabs>
        <w:ind w:left="0"/>
      </w:pPr>
    </w:p>
    <w:p w:rsidR="005A0420" w:rsidRPr="007A3E8A" w:rsidRDefault="005A0420" w:rsidP="005A0420">
      <w:r w:rsidRPr="007A3E8A">
        <w:t>Ansvarigt departement: Utrikesdepartementet</w:t>
      </w:r>
    </w:p>
    <w:p w:rsidR="005A0420" w:rsidRPr="007A3E8A" w:rsidRDefault="005A0420">
      <w:pPr>
        <w:pStyle w:val="RKnormal"/>
        <w:tabs>
          <w:tab w:val="clear" w:pos="1843"/>
          <w:tab w:val="left" w:pos="0"/>
        </w:tabs>
        <w:ind w:left="0"/>
      </w:pPr>
    </w:p>
    <w:p w:rsidR="005A0420" w:rsidRPr="007A3E8A" w:rsidRDefault="005A0420" w:rsidP="005A0420">
      <w:r w:rsidRPr="007A3E8A">
        <w:t>Ansvarigt statsråd: Carl Bildt</w:t>
      </w:r>
    </w:p>
    <w:p w:rsidR="005A0420" w:rsidRPr="007A3E8A" w:rsidRDefault="005A0420">
      <w:pPr>
        <w:pStyle w:val="RKnormal"/>
        <w:tabs>
          <w:tab w:val="clear" w:pos="1843"/>
          <w:tab w:val="left" w:pos="0"/>
        </w:tabs>
        <w:ind w:left="0"/>
      </w:pPr>
    </w:p>
    <w:p w:rsidR="00344C28" w:rsidRPr="007A3E8A" w:rsidRDefault="00344C28" w:rsidP="00344C28">
      <w:r w:rsidRPr="007A3E8A">
        <w:t>Förväntas godkännas av Coreper II den 10 november 2011</w:t>
      </w:r>
    </w:p>
    <w:p w:rsidR="005A0420" w:rsidRPr="007A3E8A" w:rsidRDefault="005A0420">
      <w:pPr>
        <w:pStyle w:val="RKnormal"/>
        <w:tabs>
          <w:tab w:val="clear" w:pos="1843"/>
          <w:tab w:val="left" w:pos="0"/>
        </w:tabs>
        <w:ind w:left="0"/>
      </w:pPr>
    </w:p>
    <w:p w:rsidR="005A0420" w:rsidRPr="007A3E8A" w:rsidRDefault="005A0420" w:rsidP="005A0420">
      <w:r w:rsidRPr="007A3E8A">
        <w:t>Ministrarna förväntas godkänna den fjärde implementeringsrapporten för EU:s handlingsplan för Afghanistan. Handlingsplanen utgör ett viktigt led i EU:s arbete med att bidra till utveckling och förbättrat samhällsstyre i Afghanistan. Implementeringsrapporten beskriver vilka åtgärder som har vidtagits för att genomföra handlingsplanen, som togs fram och beslutades under det svenska ordförandeskapet 2009. Sverige stödjer antagandet av implementeringsrapporten.</w:t>
      </w:r>
    </w:p>
    <w:p w:rsidR="005A0420" w:rsidRPr="007A3E8A" w:rsidRDefault="005A0420">
      <w:pPr>
        <w:pStyle w:val="RKnormal"/>
        <w:tabs>
          <w:tab w:val="clear" w:pos="1843"/>
          <w:tab w:val="left" w:pos="0"/>
        </w:tabs>
        <w:ind w:left="0"/>
      </w:pPr>
    </w:p>
    <w:sectPr w:rsidR="005A0420" w:rsidRPr="007A3E8A">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506F" w:rsidRPr="007A3E8A" w:rsidRDefault="0091506F">
      <w:r w:rsidRPr="007A3E8A">
        <w:separator/>
      </w:r>
    </w:p>
  </w:endnote>
  <w:endnote w:type="continuationSeparator" w:id="0">
    <w:p w:rsidR="0091506F" w:rsidRPr="007A3E8A" w:rsidRDefault="0091506F">
      <w:r w:rsidRPr="007A3E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A2B" w:rsidRPr="007A3E8A" w:rsidRDefault="00BD7A2B">
    <w:pPr>
      <w:pStyle w:val="Sidfot"/>
      <w:framePr w:wrap="around" w:vAnchor="text" w:hAnchor="margin" w:xAlign="right" w:y="1"/>
      <w:rPr>
        <w:rStyle w:val="Sidnummer"/>
        <w:sz w:val="16"/>
      </w:rPr>
    </w:pPr>
    <w:r w:rsidRPr="007A3E8A">
      <w:rPr>
        <w:rStyle w:val="Sidnummer"/>
        <w:sz w:val="16"/>
      </w:rPr>
      <w:fldChar w:fldCharType="begin" w:fldLock="1"/>
    </w:r>
    <w:r w:rsidRPr="007A3E8A">
      <w:rPr>
        <w:rStyle w:val="Sidnummer"/>
        <w:sz w:val="16"/>
      </w:rPr>
      <w:instrText xml:space="preserve">PAGE  </w:instrText>
    </w:r>
    <w:r w:rsidRPr="007A3E8A">
      <w:rPr>
        <w:rStyle w:val="Sidnummer"/>
        <w:sz w:val="16"/>
      </w:rPr>
      <w:fldChar w:fldCharType="separate"/>
    </w:r>
    <w:r w:rsidR="007962F2" w:rsidRPr="007A3E8A">
      <w:rPr>
        <w:rStyle w:val="Sidnummer"/>
        <w:sz w:val="16"/>
      </w:rPr>
      <w:t>2</w:t>
    </w:r>
    <w:r w:rsidRPr="007A3E8A">
      <w:rPr>
        <w:rStyle w:val="Sidnummer"/>
        <w:sz w:val="16"/>
      </w:rPr>
      <w:fldChar w:fldCharType="end"/>
    </w:r>
    <w:r w:rsidRPr="007A3E8A">
      <w:rPr>
        <w:rStyle w:val="Sidnummer"/>
        <w:sz w:val="16"/>
      </w:rPr>
      <w:t>(</w:t>
    </w:r>
    <w:r w:rsidRPr="007A3E8A">
      <w:rPr>
        <w:rStyle w:val="Sidnummer"/>
        <w:sz w:val="16"/>
      </w:rPr>
      <w:fldChar w:fldCharType="begin" w:fldLock="1"/>
    </w:r>
    <w:r w:rsidRPr="007A3E8A">
      <w:rPr>
        <w:rStyle w:val="Sidnummer"/>
        <w:sz w:val="16"/>
      </w:rPr>
      <w:instrText xml:space="preserve"> NUMPAGES </w:instrText>
    </w:r>
    <w:r w:rsidRPr="007A3E8A">
      <w:rPr>
        <w:rStyle w:val="Sidnummer"/>
        <w:sz w:val="16"/>
      </w:rPr>
      <w:fldChar w:fldCharType="separate"/>
    </w:r>
    <w:r w:rsidR="00412EF1" w:rsidRPr="007A3E8A">
      <w:rPr>
        <w:rStyle w:val="Sidnummer"/>
        <w:sz w:val="16"/>
      </w:rPr>
      <w:t>27</w:t>
    </w:r>
    <w:r w:rsidRPr="007A3E8A">
      <w:rPr>
        <w:rStyle w:val="Sidnummer"/>
        <w:sz w:val="16"/>
      </w:rPr>
      <w:fldChar w:fldCharType="end"/>
    </w:r>
    <w:r w:rsidRPr="007A3E8A">
      <w:rPr>
        <w:rStyle w:val="Sidnummer"/>
        <w:sz w:val="16"/>
      </w:rPr>
      <w:t>)</w:t>
    </w:r>
  </w:p>
  <w:p w:rsidR="00BD7A2B" w:rsidRPr="007A3E8A" w:rsidRDefault="00BD7A2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A2B" w:rsidRPr="007A3E8A" w:rsidRDefault="00BD7A2B">
    <w:pPr>
      <w:pStyle w:val="Sidfot"/>
      <w:framePr w:wrap="around" w:vAnchor="text" w:hAnchor="margin" w:xAlign="right" w:y="1"/>
      <w:rPr>
        <w:rStyle w:val="Sidnummer"/>
        <w:sz w:val="16"/>
      </w:rPr>
    </w:pPr>
    <w:r w:rsidRPr="007A3E8A">
      <w:rPr>
        <w:rStyle w:val="Sidnummer"/>
        <w:sz w:val="16"/>
      </w:rPr>
      <w:fldChar w:fldCharType="begin" w:fldLock="1"/>
    </w:r>
    <w:r w:rsidRPr="007A3E8A">
      <w:rPr>
        <w:rStyle w:val="Sidnummer"/>
        <w:sz w:val="16"/>
      </w:rPr>
      <w:instrText xml:space="preserve">PAGE  </w:instrText>
    </w:r>
    <w:r w:rsidRPr="007A3E8A">
      <w:rPr>
        <w:rStyle w:val="Sidnummer"/>
        <w:sz w:val="16"/>
      </w:rPr>
      <w:fldChar w:fldCharType="separate"/>
    </w:r>
    <w:r w:rsidR="007962F2" w:rsidRPr="007A3E8A">
      <w:rPr>
        <w:rStyle w:val="Sidnummer"/>
        <w:sz w:val="16"/>
      </w:rPr>
      <w:t>1</w:t>
    </w:r>
    <w:r w:rsidRPr="007A3E8A">
      <w:rPr>
        <w:rStyle w:val="Sidnummer"/>
        <w:sz w:val="16"/>
      </w:rPr>
      <w:fldChar w:fldCharType="end"/>
    </w:r>
    <w:r w:rsidRPr="007A3E8A">
      <w:rPr>
        <w:rStyle w:val="Sidnummer"/>
        <w:sz w:val="16"/>
      </w:rPr>
      <w:t>(</w:t>
    </w:r>
    <w:r w:rsidRPr="007A3E8A">
      <w:rPr>
        <w:rStyle w:val="Sidnummer"/>
        <w:sz w:val="16"/>
      </w:rPr>
      <w:fldChar w:fldCharType="begin" w:fldLock="1"/>
    </w:r>
    <w:r w:rsidRPr="007A3E8A">
      <w:rPr>
        <w:rStyle w:val="Sidnummer"/>
        <w:sz w:val="16"/>
      </w:rPr>
      <w:instrText xml:space="preserve"> NUMPAGES </w:instrText>
    </w:r>
    <w:r w:rsidRPr="007A3E8A">
      <w:rPr>
        <w:rStyle w:val="Sidnummer"/>
        <w:sz w:val="16"/>
      </w:rPr>
      <w:fldChar w:fldCharType="separate"/>
    </w:r>
    <w:r w:rsidR="00A458D5" w:rsidRPr="007A3E8A">
      <w:rPr>
        <w:rStyle w:val="Sidnummer"/>
        <w:sz w:val="16"/>
      </w:rPr>
      <w:t>27</w:t>
    </w:r>
    <w:r w:rsidRPr="007A3E8A">
      <w:rPr>
        <w:rStyle w:val="Sidnummer"/>
        <w:sz w:val="16"/>
      </w:rPr>
      <w:fldChar w:fldCharType="end"/>
    </w:r>
    <w:r w:rsidRPr="007A3E8A">
      <w:rPr>
        <w:rStyle w:val="Sidnummer"/>
        <w:sz w:val="16"/>
      </w:rPr>
      <w:t>)</w:t>
    </w:r>
  </w:p>
  <w:p w:rsidR="00BD7A2B" w:rsidRPr="007A3E8A" w:rsidRDefault="00BD7A2B">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A2B" w:rsidRPr="007A3E8A" w:rsidRDefault="00BD7A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506F" w:rsidRPr="007A3E8A" w:rsidRDefault="0091506F">
      <w:r w:rsidRPr="007A3E8A">
        <w:separator/>
      </w:r>
    </w:p>
  </w:footnote>
  <w:footnote w:type="continuationSeparator" w:id="0">
    <w:p w:rsidR="0091506F" w:rsidRPr="007A3E8A" w:rsidRDefault="0091506F">
      <w:r w:rsidRPr="007A3E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A2B" w:rsidRPr="007A3E8A" w:rsidRDefault="00BD7A2B">
    <w:pPr>
      <w:pStyle w:val="Sidhuvud"/>
      <w:framePr w:wrap="around" w:vAnchor="text" w:hAnchor="margin" w:xAlign="right" w:y="1"/>
      <w:rPr>
        <w:rStyle w:val="Sidnummer"/>
      </w:rPr>
    </w:pPr>
  </w:p>
  <w:p w:rsidR="00BD7A2B" w:rsidRPr="007A3E8A" w:rsidRDefault="00BD7A2B">
    <w:pPr>
      <w:pStyle w:val="Sidhuvud"/>
      <w:ind w:right="360"/>
    </w:pPr>
  </w:p>
  <w:p w:rsidR="00BD7A2B" w:rsidRPr="007A3E8A" w:rsidRDefault="00BD7A2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A2B" w:rsidRPr="007A3E8A" w:rsidRDefault="007A3E8A">
    <w:pPr>
      <w:framePr w:w="2948" w:h="1321" w:hRule="exact" w:wrap="notBeside" w:vAnchor="page" w:hAnchor="page" w:x="1362" w:y="653"/>
    </w:pPr>
    <w:r w:rsidRPr="007A3E8A">
      <w:rPr>
        <w:noProof/>
      </w:rPr>
      <w:drawing>
        <wp:inline distT="0" distB="0" distL="0" distR="0">
          <wp:extent cx="1866900" cy="8439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3915"/>
                  </a:xfrm>
                  <a:prstGeom prst="rect">
                    <a:avLst/>
                  </a:prstGeom>
                  <a:noFill/>
                  <a:ln>
                    <a:noFill/>
                  </a:ln>
                </pic:spPr>
              </pic:pic>
            </a:graphicData>
          </a:graphic>
        </wp:inline>
      </w:drawing>
    </w:r>
  </w:p>
  <w:p w:rsidR="00BD7A2B" w:rsidRPr="007A3E8A" w:rsidRDefault="00BD7A2B">
    <w:pPr>
      <w:pStyle w:val="Sidhuvud"/>
    </w:pPr>
  </w:p>
  <w:p w:rsidR="00BD7A2B" w:rsidRPr="007A3E8A" w:rsidRDefault="00BD7A2B">
    <w:pPr>
      <w:pStyle w:val="Sidhuvud"/>
      <w:ind w:right="360"/>
    </w:pPr>
  </w:p>
  <w:p w:rsidR="00BD7A2B" w:rsidRPr="007A3E8A" w:rsidRDefault="00BD7A2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A2B" w:rsidRPr="007A3E8A" w:rsidRDefault="007A3E8A">
    <w:pPr>
      <w:framePr w:w="2948" w:h="1321" w:hRule="exact" w:wrap="notBeside" w:vAnchor="page" w:hAnchor="page" w:x="1362" w:y="653"/>
    </w:pPr>
    <w:r w:rsidRPr="007A3E8A">
      <w:rPr>
        <w:noProof/>
      </w:rPr>
      <w:drawing>
        <wp:inline distT="0" distB="0" distL="0" distR="0">
          <wp:extent cx="1872615"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D7A2B" w:rsidRPr="007A3E8A" w:rsidRDefault="00BD7A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38420912">
    <w:abstractNumId w:val="10"/>
  </w:num>
  <w:num w:numId="2" w16cid:durableId="1700937790">
    <w:abstractNumId w:val="8"/>
  </w:num>
  <w:num w:numId="3" w16cid:durableId="1450586030">
    <w:abstractNumId w:val="4"/>
  </w:num>
  <w:num w:numId="4" w16cid:durableId="1411849439">
    <w:abstractNumId w:val="9"/>
  </w:num>
  <w:num w:numId="5" w16cid:durableId="1004285738">
    <w:abstractNumId w:val="0"/>
  </w:num>
  <w:num w:numId="6" w16cid:durableId="391854481">
    <w:abstractNumId w:val="1"/>
  </w:num>
  <w:num w:numId="7" w16cid:durableId="531693850">
    <w:abstractNumId w:val="6"/>
  </w:num>
  <w:num w:numId="8" w16cid:durableId="1827554151">
    <w:abstractNumId w:val="2"/>
  </w:num>
  <w:num w:numId="9" w16cid:durableId="447165730">
    <w:abstractNumId w:val="3"/>
  </w:num>
  <w:num w:numId="10" w16cid:durableId="457995994">
    <w:abstractNumId w:val="5"/>
  </w:num>
  <w:num w:numId="11" w16cid:durableId="158892693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5A0420"/>
    <w:rsid w:val="001A6D16"/>
    <w:rsid w:val="002B40C7"/>
    <w:rsid w:val="002E6C58"/>
    <w:rsid w:val="003135C5"/>
    <w:rsid w:val="00336212"/>
    <w:rsid w:val="00344C28"/>
    <w:rsid w:val="003E1A9B"/>
    <w:rsid w:val="00412EF1"/>
    <w:rsid w:val="0042383C"/>
    <w:rsid w:val="004471F4"/>
    <w:rsid w:val="005A0420"/>
    <w:rsid w:val="005A23F9"/>
    <w:rsid w:val="005C212F"/>
    <w:rsid w:val="005F1820"/>
    <w:rsid w:val="00717A4D"/>
    <w:rsid w:val="00780AF8"/>
    <w:rsid w:val="007962F2"/>
    <w:rsid w:val="007A3E8A"/>
    <w:rsid w:val="00847B54"/>
    <w:rsid w:val="008B5C4A"/>
    <w:rsid w:val="008C417B"/>
    <w:rsid w:val="0091506F"/>
    <w:rsid w:val="00917B70"/>
    <w:rsid w:val="00936272"/>
    <w:rsid w:val="00A458D5"/>
    <w:rsid w:val="00A72123"/>
    <w:rsid w:val="00AF0928"/>
    <w:rsid w:val="00B602FB"/>
    <w:rsid w:val="00BA6B91"/>
    <w:rsid w:val="00BD7A2B"/>
    <w:rsid w:val="00D24D53"/>
    <w:rsid w:val="00E52EE0"/>
    <w:rsid w:val="00E90939"/>
    <w:rsid w:val="00EC3C7C"/>
    <w:rsid w:val="00ED5DCC"/>
    <w:rsid w:val="00F056A7"/>
    <w:rsid w:val="00FF72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588608-0F3E-43BD-9AAD-56677F1B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412EF1"/>
    <w:pPr>
      <w:spacing w:line="240" w:lineRule="auto"/>
    </w:pPr>
    <w:rPr>
      <w:rFonts w:ascii="Tahoma" w:hAnsi="Tahoma" w:cs="Tahoma"/>
      <w:sz w:val="16"/>
      <w:szCs w:val="16"/>
    </w:rPr>
  </w:style>
  <w:style w:type="character" w:customStyle="1" w:styleId="BallongtextChar">
    <w:name w:val="Ballongtext Char"/>
    <w:link w:val="Ballongtext"/>
    <w:rsid w:val="00412EF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1.1.dot</Template>
  <TotalTime>0</TotalTime>
  <Pages>2</Pages>
  <Words>6449</Words>
  <Characters>39856</Characters>
  <Application>Microsoft Office Word</Application>
  <DocSecurity>4</DocSecurity>
  <Lines>1021</Lines>
  <Paragraphs>382</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45923</CharactersWithSpaces>
  <SharedDoc>false</SharedDoc>
  <HLinks>
    <vt:vector size="234" baseType="variant">
      <vt:variant>
        <vt:i4>1114160</vt:i4>
      </vt:variant>
      <vt:variant>
        <vt:i4>233</vt:i4>
      </vt:variant>
      <vt:variant>
        <vt:i4>0</vt:i4>
      </vt:variant>
      <vt:variant>
        <vt:i4>5</vt:i4>
      </vt:variant>
      <vt:variant>
        <vt:lpwstr/>
      </vt:variant>
      <vt:variant>
        <vt:lpwstr>_Toc308697270</vt:lpwstr>
      </vt:variant>
      <vt:variant>
        <vt:i4>1048624</vt:i4>
      </vt:variant>
      <vt:variant>
        <vt:i4>227</vt:i4>
      </vt:variant>
      <vt:variant>
        <vt:i4>0</vt:i4>
      </vt:variant>
      <vt:variant>
        <vt:i4>5</vt:i4>
      </vt:variant>
      <vt:variant>
        <vt:lpwstr/>
      </vt:variant>
      <vt:variant>
        <vt:lpwstr>_Toc308697269</vt:lpwstr>
      </vt:variant>
      <vt:variant>
        <vt:i4>1048624</vt:i4>
      </vt:variant>
      <vt:variant>
        <vt:i4>221</vt:i4>
      </vt:variant>
      <vt:variant>
        <vt:i4>0</vt:i4>
      </vt:variant>
      <vt:variant>
        <vt:i4>5</vt:i4>
      </vt:variant>
      <vt:variant>
        <vt:lpwstr/>
      </vt:variant>
      <vt:variant>
        <vt:lpwstr>_Toc308697268</vt:lpwstr>
      </vt:variant>
      <vt:variant>
        <vt:i4>1048624</vt:i4>
      </vt:variant>
      <vt:variant>
        <vt:i4>215</vt:i4>
      </vt:variant>
      <vt:variant>
        <vt:i4>0</vt:i4>
      </vt:variant>
      <vt:variant>
        <vt:i4>5</vt:i4>
      </vt:variant>
      <vt:variant>
        <vt:lpwstr/>
      </vt:variant>
      <vt:variant>
        <vt:lpwstr>_Toc308697267</vt:lpwstr>
      </vt:variant>
      <vt:variant>
        <vt:i4>1048624</vt:i4>
      </vt:variant>
      <vt:variant>
        <vt:i4>209</vt:i4>
      </vt:variant>
      <vt:variant>
        <vt:i4>0</vt:i4>
      </vt:variant>
      <vt:variant>
        <vt:i4>5</vt:i4>
      </vt:variant>
      <vt:variant>
        <vt:lpwstr/>
      </vt:variant>
      <vt:variant>
        <vt:lpwstr>_Toc308697266</vt:lpwstr>
      </vt:variant>
      <vt:variant>
        <vt:i4>1048624</vt:i4>
      </vt:variant>
      <vt:variant>
        <vt:i4>203</vt:i4>
      </vt:variant>
      <vt:variant>
        <vt:i4>0</vt:i4>
      </vt:variant>
      <vt:variant>
        <vt:i4>5</vt:i4>
      </vt:variant>
      <vt:variant>
        <vt:lpwstr/>
      </vt:variant>
      <vt:variant>
        <vt:lpwstr>_Toc308697265</vt:lpwstr>
      </vt:variant>
      <vt:variant>
        <vt:i4>1048624</vt:i4>
      </vt:variant>
      <vt:variant>
        <vt:i4>197</vt:i4>
      </vt:variant>
      <vt:variant>
        <vt:i4>0</vt:i4>
      </vt:variant>
      <vt:variant>
        <vt:i4>5</vt:i4>
      </vt:variant>
      <vt:variant>
        <vt:lpwstr/>
      </vt:variant>
      <vt:variant>
        <vt:lpwstr>_Toc308697264</vt:lpwstr>
      </vt:variant>
      <vt:variant>
        <vt:i4>1048624</vt:i4>
      </vt:variant>
      <vt:variant>
        <vt:i4>191</vt:i4>
      </vt:variant>
      <vt:variant>
        <vt:i4>0</vt:i4>
      </vt:variant>
      <vt:variant>
        <vt:i4>5</vt:i4>
      </vt:variant>
      <vt:variant>
        <vt:lpwstr/>
      </vt:variant>
      <vt:variant>
        <vt:lpwstr>_Toc308697263</vt:lpwstr>
      </vt:variant>
      <vt:variant>
        <vt:i4>1048624</vt:i4>
      </vt:variant>
      <vt:variant>
        <vt:i4>185</vt:i4>
      </vt:variant>
      <vt:variant>
        <vt:i4>0</vt:i4>
      </vt:variant>
      <vt:variant>
        <vt:i4>5</vt:i4>
      </vt:variant>
      <vt:variant>
        <vt:lpwstr/>
      </vt:variant>
      <vt:variant>
        <vt:lpwstr>_Toc308697262</vt:lpwstr>
      </vt:variant>
      <vt:variant>
        <vt:i4>1048624</vt:i4>
      </vt:variant>
      <vt:variant>
        <vt:i4>179</vt:i4>
      </vt:variant>
      <vt:variant>
        <vt:i4>0</vt:i4>
      </vt:variant>
      <vt:variant>
        <vt:i4>5</vt:i4>
      </vt:variant>
      <vt:variant>
        <vt:lpwstr/>
      </vt:variant>
      <vt:variant>
        <vt:lpwstr>_Toc308697261</vt:lpwstr>
      </vt:variant>
      <vt:variant>
        <vt:i4>1048624</vt:i4>
      </vt:variant>
      <vt:variant>
        <vt:i4>173</vt:i4>
      </vt:variant>
      <vt:variant>
        <vt:i4>0</vt:i4>
      </vt:variant>
      <vt:variant>
        <vt:i4>5</vt:i4>
      </vt:variant>
      <vt:variant>
        <vt:lpwstr/>
      </vt:variant>
      <vt:variant>
        <vt:lpwstr>_Toc308697260</vt:lpwstr>
      </vt:variant>
      <vt:variant>
        <vt:i4>1245232</vt:i4>
      </vt:variant>
      <vt:variant>
        <vt:i4>167</vt:i4>
      </vt:variant>
      <vt:variant>
        <vt:i4>0</vt:i4>
      </vt:variant>
      <vt:variant>
        <vt:i4>5</vt:i4>
      </vt:variant>
      <vt:variant>
        <vt:lpwstr/>
      </vt:variant>
      <vt:variant>
        <vt:lpwstr>_Toc308697259</vt:lpwstr>
      </vt:variant>
      <vt:variant>
        <vt:i4>1245232</vt:i4>
      </vt:variant>
      <vt:variant>
        <vt:i4>161</vt:i4>
      </vt:variant>
      <vt:variant>
        <vt:i4>0</vt:i4>
      </vt:variant>
      <vt:variant>
        <vt:i4>5</vt:i4>
      </vt:variant>
      <vt:variant>
        <vt:lpwstr/>
      </vt:variant>
      <vt:variant>
        <vt:lpwstr>_Toc308697258</vt:lpwstr>
      </vt:variant>
      <vt:variant>
        <vt:i4>1245232</vt:i4>
      </vt:variant>
      <vt:variant>
        <vt:i4>155</vt:i4>
      </vt:variant>
      <vt:variant>
        <vt:i4>0</vt:i4>
      </vt:variant>
      <vt:variant>
        <vt:i4>5</vt:i4>
      </vt:variant>
      <vt:variant>
        <vt:lpwstr/>
      </vt:variant>
      <vt:variant>
        <vt:lpwstr>_Toc308697257</vt:lpwstr>
      </vt:variant>
      <vt:variant>
        <vt:i4>1245232</vt:i4>
      </vt:variant>
      <vt:variant>
        <vt:i4>149</vt:i4>
      </vt:variant>
      <vt:variant>
        <vt:i4>0</vt:i4>
      </vt:variant>
      <vt:variant>
        <vt:i4>5</vt:i4>
      </vt:variant>
      <vt:variant>
        <vt:lpwstr/>
      </vt:variant>
      <vt:variant>
        <vt:lpwstr>_Toc308697256</vt:lpwstr>
      </vt:variant>
      <vt:variant>
        <vt:i4>1245232</vt:i4>
      </vt:variant>
      <vt:variant>
        <vt:i4>143</vt:i4>
      </vt:variant>
      <vt:variant>
        <vt:i4>0</vt:i4>
      </vt:variant>
      <vt:variant>
        <vt:i4>5</vt:i4>
      </vt:variant>
      <vt:variant>
        <vt:lpwstr/>
      </vt:variant>
      <vt:variant>
        <vt:lpwstr>_Toc308697255</vt:lpwstr>
      </vt:variant>
      <vt:variant>
        <vt:i4>1245232</vt:i4>
      </vt:variant>
      <vt:variant>
        <vt:i4>137</vt:i4>
      </vt:variant>
      <vt:variant>
        <vt:i4>0</vt:i4>
      </vt:variant>
      <vt:variant>
        <vt:i4>5</vt:i4>
      </vt:variant>
      <vt:variant>
        <vt:lpwstr/>
      </vt:variant>
      <vt:variant>
        <vt:lpwstr>_Toc308697254</vt:lpwstr>
      </vt:variant>
      <vt:variant>
        <vt:i4>1245232</vt:i4>
      </vt:variant>
      <vt:variant>
        <vt:i4>131</vt:i4>
      </vt:variant>
      <vt:variant>
        <vt:i4>0</vt:i4>
      </vt:variant>
      <vt:variant>
        <vt:i4>5</vt:i4>
      </vt:variant>
      <vt:variant>
        <vt:lpwstr/>
      </vt:variant>
      <vt:variant>
        <vt:lpwstr>_Toc308697253</vt:lpwstr>
      </vt:variant>
      <vt:variant>
        <vt:i4>1245232</vt:i4>
      </vt:variant>
      <vt:variant>
        <vt:i4>125</vt:i4>
      </vt:variant>
      <vt:variant>
        <vt:i4>0</vt:i4>
      </vt:variant>
      <vt:variant>
        <vt:i4>5</vt:i4>
      </vt:variant>
      <vt:variant>
        <vt:lpwstr/>
      </vt:variant>
      <vt:variant>
        <vt:lpwstr>_Toc308697252</vt:lpwstr>
      </vt:variant>
      <vt:variant>
        <vt:i4>1245232</vt:i4>
      </vt:variant>
      <vt:variant>
        <vt:i4>119</vt:i4>
      </vt:variant>
      <vt:variant>
        <vt:i4>0</vt:i4>
      </vt:variant>
      <vt:variant>
        <vt:i4>5</vt:i4>
      </vt:variant>
      <vt:variant>
        <vt:lpwstr/>
      </vt:variant>
      <vt:variant>
        <vt:lpwstr>_Toc308697251</vt:lpwstr>
      </vt:variant>
      <vt:variant>
        <vt:i4>1245232</vt:i4>
      </vt:variant>
      <vt:variant>
        <vt:i4>113</vt:i4>
      </vt:variant>
      <vt:variant>
        <vt:i4>0</vt:i4>
      </vt:variant>
      <vt:variant>
        <vt:i4>5</vt:i4>
      </vt:variant>
      <vt:variant>
        <vt:lpwstr/>
      </vt:variant>
      <vt:variant>
        <vt:lpwstr>_Toc308697250</vt:lpwstr>
      </vt:variant>
      <vt:variant>
        <vt:i4>1179696</vt:i4>
      </vt:variant>
      <vt:variant>
        <vt:i4>107</vt:i4>
      </vt:variant>
      <vt:variant>
        <vt:i4>0</vt:i4>
      </vt:variant>
      <vt:variant>
        <vt:i4>5</vt:i4>
      </vt:variant>
      <vt:variant>
        <vt:lpwstr/>
      </vt:variant>
      <vt:variant>
        <vt:lpwstr>_Toc308697249</vt:lpwstr>
      </vt:variant>
      <vt:variant>
        <vt:i4>1179696</vt:i4>
      </vt:variant>
      <vt:variant>
        <vt:i4>101</vt:i4>
      </vt:variant>
      <vt:variant>
        <vt:i4>0</vt:i4>
      </vt:variant>
      <vt:variant>
        <vt:i4>5</vt:i4>
      </vt:variant>
      <vt:variant>
        <vt:lpwstr/>
      </vt:variant>
      <vt:variant>
        <vt:lpwstr>_Toc308697248</vt:lpwstr>
      </vt:variant>
      <vt:variant>
        <vt:i4>1179696</vt:i4>
      </vt:variant>
      <vt:variant>
        <vt:i4>95</vt:i4>
      </vt:variant>
      <vt:variant>
        <vt:i4>0</vt:i4>
      </vt:variant>
      <vt:variant>
        <vt:i4>5</vt:i4>
      </vt:variant>
      <vt:variant>
        <vt:lpwstr/>
      </vt:variant>
      <vt:variant>
        <vt:lpwstr>_Toc308697247</vt:lpwstr>
      </vt:variant>
      <vt:variant>
        <vt:i4>1179696</vt:i4>
      </vt:variant>
      <vt:variant>
        <vt:i4>89</vt:i4>
      </vt:variant>
      <vt:variant>
        <vt:i4>0</vt:i4>
      </vt:variant>
      <vt:variant>
        <vt:i4>5</vt:i4>
      </vt:variant>
      <vt:variant>
        <vt:lpwstr/>
      </vt:variant>
      <vt:variant>
        <vt:lpwstr>_Toc308697246</vt:lpwstr>
      </vt:variant>
      <vt:variant>
        <vt:i4>1179696</vt:i4>
      </vt:variant>
      <vt:variant>
        <vt:i4>83</vt:i4>
      </vt:variant>
      <vt:variant>
        <vt:i4>0</vt:i4>
      </vt:variant>
      <vt:variant>
        <vt:i4>5</vt:i4>
      </vt:variant>
      <vt:variant>
        <vt:lpwstr/>
      </vt:variant>
      <vt:variant>
        <vt:lpwstr>_Toc308697245</vt:lpwstr>
      </vt:variant>
      <vt:variant>
        <vt:i4>1179696</vt:i4>
      </vt:variant>
      <vt:variant>
        <vt:i4>77</vt:i4>
      </vt:variant>
      <vt:variant>
        <vt:i4>0</vt:i4>
      </vt:variant>
      <vt:variant>
        <vt:i4>5</vt:i4>
      </vt:variant>
      <vt:variant>
        <vt:lpwstr/>
      </vt:variant>
      <vt:variant>
        <vt:lpwstr>_Toc308697244</vt:lpwstr>
      </vt:variant>
      <vt:variant>
        <vt:i4>1179696</vt:i4>
      </vt:variant>
      <vt:variant>
        <vt:i4>71</vt:i4>
      </vt:variant>
      <vt:variant>
        <vt:i4>0</vt:i4>
      </vt:variant>
      <vt:variant>
        <vt:i4>5</vt:i4>
      </vt:variant>
      <vt:variant>
        <vt:lpwstr/>
      </vt:variant>
      <vt:variant>
        <vt:lpwstr>_Toc308697243</vt:lpwstr>
      </vt:variant>
      <vt:variant>
        <vt:i4>1179696</vt:i4>
      </vt:variant>
      <vt:variant>
        <vt:i4>65</vt:i4>
      </vt:variant>
      <vt:variant>
        <vt:i4>0</vt:i4>
      </vt:variant>
      <vt:variant>
        <vt:i4>5</vt:i4>
      </vt:variant>
      <vt:variant>
        <vt:lpwstr/>
      </vt:variant>
      <vt:variant>
        <vt:lpwstr>_Toc308697242</vt:lpwstr>
      </vt:variant>
      <vt:variant>
        <vt:i4>1179696</vt:i4>
      </vt:variant>
      <vt:variant>
        <vt:i4>59</vt:i4>
      </vt:variant>
      <vt:variant>
        <vt:i4>0</vt:i4>
      </vt:variant>
      <vt:variant>
        <vt:i4>5</vt:i4>
      </vt:variant>
      <vt:variant>
        <vt:lpwstr/>
      </vt:variant>
      <vt:variant>
        <vt:lpwstr>_Toc308697241</vt:lpwstr>
      </vt:variant>
      <vt:variant>
        <vt:i4>1179696</vt:i4>
      </vt:variant>
      <vt:variant>
        <vt:i4>53</vt:i4>
      </vt:variant>
      <vt:variant>
        <vt:i4>0</vt:i4>
      </vt:variant>
      <vt:variant>
        <vt:i4>5</vt:i4>
      </vt:variant>
      <vt:variant>
        <vt:lpwstr/>
      </vt:variant>
      <vt:variant>
        <vt:lpwstr>_Toc308697240</vt:lpwstr>
      </vt:variant>
      <vt:variant>
        <vt:i4>1376304</vt:i4>
      </vt:variant>
      <vt:variant>
        <vt:i4>47</vt:i4>
      </vt:variant>
      <vt:variant>
        <vt:i4>0</vt:i4>
      </vt:variant>
      <vt:variant>
        <vt:i4>5</vt:i4>
      </vt:variant>
      <vt:variant>
        <vt:lpwstr/>
      </vt:variant>
      <vt:variant>
        <vt:lpwstr>_Toc308697239</vt:lpwstr>
      </vt:variant>
      <vt:variant>
        <vt:i4>1376304</vt:i4>
      </vt:variant>
      <vt:variant>
        <vt:i4>41</vt:i4>
      </vt:variant>
      <vt:variant>
        <vt:i4>0</vt:i4>
      </vt:variant>
      <vt:variant>
        <vt:i4>5</vt:i4>
      </vt:variant>
      <vt:variant>
        <vt:lpwstr/>
      </vt:variant>
      <vt:variant>
        <vt:lpwstr>_Toc308697238</vt:lpwstr>
      </vt:variant>
      <vt:variant>
        <vt:i4>1376304</vt:i4>
      </vt:variant>
      <vt:variant>
        <vt:i4>35</vt:i4>
      </vt:variant>
      <vt:variant>
        <vt:i4>0</vt:i4>
      </vt:variant>
      <vt:variant>
        <vt:i4>5</vt:i4>
      </vt:variant>
      <vt:variant>
        <vt:lpwstr/>
      </vt:variant>
      <vt:variant>
        <vt:lpwstr>_Toc308697237</vt:lpwstr>
      </vt:variant>
      <vt:variant>
        <vt:i4>1376304</vt:i4>
      </vt:variant>
      <vt:variant>
        <vt:i4>29</vt:i4>
      </vt:variant>
      <vt:variant>
        <vt:i4>0</vt:i4>
      </vt:variant>
      <vt:variant>
        <vt:i4>5</vt:i4>
      </vt:variant>
      <vt:variant>
        <vt:lpwstr/>
      </vt:variant>
      <vt:variant>
        <vt:lpwstr>_Toc308697236</vt:lpwstr>
      </vt:variant>
      <vt:variant>
        <vt:i4>1376304</vt:i4>
      </vt:variant>
      <vt:variant>
        <vt:i4>23</vt:i4>
      </vt:variant>
      <vt:variant>
        <vt:i4>0</vt:i4>
      </vt:variant>
      <vt:variant>
        <vt:i4>5</vt:i4>
      </vt:variant>
      <vt:variant>
        <vt:lpwstr/>
      </vt:variant>
      <vt:variant>
        <vt:lpwstr>_Toc308697235</vt:lpwstr>
      </vt:variant>
      <vt:variant>
        <vt:i4>1376304</vt:i4>
      </vt:variant>
      <vt:variant>
        <vt:i4>17</vt:i4>
      </vt:variant>
      <vt:variant>
        <vt:i4>0</vt:i4>
      </vt:variant>
      <vt:variant>
        <vt:i4>5</vt:i4>
      </vt:variant>
      <vt:variant>
        <vt:lpwstr/>
      </vt:variant>
      <vt:variant>
        <vt:lpwstr>_Toc308697234</vt:lpwstr>
      </vt:variant>
      <vt:variant>
        <vt:i4>1376304</vt:i4>
      </vt:variant>
      <vt:variant>
        <vt:i4>11</vt:i4>
      </vt:variant>
      <vt:variant>
        <vt:i4>0</vt:i4>
      </vt:variant>
      <vt:variant>
        <vt:i4>5</vt:i4>
      </vt:variant>
      <vt:variant>
        <vt:lpwstr/>
      </vt:variant>
      <vt:variant>
        <vt:lpwstr>_Toc308697233</vt:lpwstr>
      </vt:variant>
      <vt:variant>
        <vt:i4>1376304</vt:i4>
      </vt:variant>
      <vt:variant>
        <vt:i4>5</vt:i4>
      </vt:variant>
      <vt:variant>
        <vt:i4>0</vt:i4>
      </vt:variant>
      <vt:variant>
        <vt:i4>5</vt:i4>
      </vt:variant>
      <vt:variant>
        <vt:lpwstr/>
      </vt:variant>
      <vt:variant>
        <vt:lpwstr>_Toc308697232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2011-11-10T13:01:00Z</cp:lastPrinted>
  <dcterms:created xsi:type="dcterms:W3CDTF">2025-12-17T21:44:00Z</dcterms:created>
  <dcterms:modified xsi:type="dcterms:W3CDTF">2025-12-17T21:44:00Z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y fmtid="{D5CDD505-2E9C-101B-9397-08002B2CF9AE}" pid="9" name="RKOrdnaDepartement">
    <vt:lpwstr/>
  </property>
  <property fmtid="{D5CDD505-2E9C-101B-9397-08002B2CF9AE}" pid="10" name="RKOrdnaActivityCategory">
    <vt:lpwstr/>
  </property>
  <property fmtid="{D5CDD505-2E9C-101B-9397-08002B2CF9AE}" pid="11" name="RKOrdnaDiarienummer">
    <vt:lpwstr/>
  </property>
  <property fmtid="{D5CDD505-2E9C-101B-9397-08002B2CF9AE}" pid="12" name="RKOrdnaSearchKeywords">
    <vt:lpwstr/>
  </property>
  <property fmtid="{D5CDD505-2E9C-101B-9397-08002B2CF9AE}" pid="13" name="RKOrdnaSarskildSkyddsvard">
    <vt:lpwstr>0</vt:lpwstr>
  </property>
  <property fmtid="{D5CDD505-2E9C-101B-9397-08002B2CF9AE}" pid="14" name="RKOrdnaCheckInComment">
    <vt:lpwstr/>
  </property>
  <property fmtid="{D5CDD505-2E9C-101B-9397-08002B2CF9AE}" pid="15" name="RKOrdnaClass">
    <vt:lpwstr/>
  </property>
</Properties>
</file>