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24A" w:rsidRPr="00250E0B" w:rsidRDefault="00B7124A">
      <w:pPr>
        <w:pStyle w:val="RubrikInnehllsf"/>
        <w:shd w:val="clear" w:color="000000" w:fill="auto"/>
      </w:pPr>
      <w:r w:rsidRPr="00250E0B">
        <w:t>Innehållsförteckning</w:t>
      </w:r>
    </w:p>
    <w:p w:rsidR="00B7124A" w:rsidRPr="00250E0B" w:rsidRDefault="00B7124A">
      <w:pPr>
        <w:pStyle w:val="Innehll1"/>
        <w:shd w:val="clear" w:color="000000" w:fill="auto"/>
        <w:rPr>
          <w:sz w:val="24"/>
          <w:szCs w:val="24"/>
        </w:rPr>
      </w:pPr>
      <w:r w:rsidRPr="00250E0B">
        <w:rPr>
          <w:sz w:val="24"/>
        </w:rPr>
        <w:fldChar w:fldCharType="begin" w:fldLock="1"/>
      </w:r>
      <w:r w:rsidRPr="00250E0B">
        <w:instrText xml:space="preserve"> TOC \o "2-3" \t "Rubrik 1;1;Hemstl_rubrik;1;RubrikSammanf;1" </w:instrText>
      </w:r>
      <w:r w:rsidRPr="00250E0B">
        <w:rPr>
          <w:sz w:val="24"/>
        </w:rPr>
        <w:fldChar w:fldCharType="separate"/>
      </w:r>
      <w:r w:rsidRPr="00250E0B">
        <w:t>Förslag till riksdagsbeslut</w:t>
      </w:r>
      <w:r w:rsidRPr="00250E0B">
        <w:tab/>
      </w:r>
      <w:r w:rsidRPr="00250E0B">
        <w:fldChar w:fldCharType="begin" w:fldLock="1"/>
      </w:r>
      <w:r w:rsidRPr="00250E0B">
        <w:instrText xml:space="preserve"> PAGEREF _Toc185144744 \h </w:instrText>
      </w:r>
      <w:r w:rsidRPr="00250E0B">
        <w:fldChar w:fldCharType="separate"/>
      </w:r>
      <w:r w:rsidRPr="00250E0B">
        <w:t>2</w:t>
      </w:r>
      <w:r w:rsidRPr="00250E0B">
        <w:fldChar w:fldCharType="end"/>
      </w:r>
    </w:p>
    <w:p w:rsidR="00B7124A" w:rsidRPr="00250E0B" w:rsidRDefault="00B7124A">
      <w:pPr>
        <w:pStyle w:val="Innehll1"/>
        <w:shd w:val="clear" w:color="000000" w:fill="auto"/>
        <w:rPr>
          <w:sz w:val="24"/>
          <w:szCs w:val="24"/>
        </w:rPr>
      </w:pPr>
      <w:r w:rsidRPr="00250E0B">
        <w:t>Inledning</w:t>
      </w:r>
      <w:r w:rsidRPr="00250E0B">
        <w:tab/>
      </w:r>
      <w:r w:rsidRPr="00250E0B">
        <w:fldChar w:fldCharType="begin" w:fldLock="1"/>
      </w:r>
      <w:r w:rsidRPr="00250E0B">
        <w:instrText xml:space="preserve"> PAGEREF _Toc185144745 \h </w:instrText>
      </w:r>
      <w:r w:rsidRPr="00250E0B">
        <w:fldChar w:fldCharType="separate"/>
      </w:r>
      <w:r w:rsidRPr="00250E0B">
        <w:t>5</w:t>
      </w:r>
      <w:r w:rsidRPr="00250E0B">
        <w:fldChar w:fldCharType="end"/>
      </w:r>
    </w:p>
    <w:p w:rsidR="00B7124A" w:rsidRPr="00250E0B" w:rsidRDefault="00B7124A">
      <w:pPr>
        <w:pStyle w:val="Innehll1"/>
        <w:shd w:val="clear" w:color="000000" w:fill="auto"/>
        <w:rPr>
          <w:sz w:val="24"/>
          <w:szCs w:val="24"/>
        </w:rPr>
      </w:pPr>
      <w:r w:rsidRPr="00250E0B">
        <w:t>Könsneutral äktenskapsbalk</w:t>
      </w:r>
      <w:r w:rsidRPr="00250E0B">
        <w:tab/>
      </w:r>
      <w:r w:rsidRPr="00250E0B">
        <w:fldChar w:fldCharType="begin" w:fldLock="1"/>
      </w:r>
      <w:r w:rsidRPr="00250E0B">
        <w:instrText xml:space="preserve"> PAGEREF _Toc185144746 \h </w:instrText>
      </w:r>
      <w:r w:rsidRPr="00250E0B">
        <w:fldChar w:fldCharType="separate"/>
      </w:r>
      <w:r w:rsidRPr="00250E0B">
        <w:t>5</w:t>
      </w:r>
      <w:r w:rsidRPr="00250E0B">
        <w:fldChar w:fldCharType="end"/>
      </w:r>
    </w:p>
    <w:p w:rsidR="00B7124A" w:rsidRPr="00250E0B" w:rsidRDefault="00B7124A">
      <w:pPr>
        <w:pStyle w:val="Innehll1"/>
        <w:shd w:val="clear" w:color="000000" w:fill="auto"/>
        <w:rPr>
          <w:sz w:val="24"/>
          <w:szCs w:val="24"/>
        </w:rPr>
      </w:pPr>
      <w:r w:rsidRPr="00250E0B">
        <w:t>Lika villkor i samhället</w:t>
      </w:r>
      <w:r w:rsidRPr="00250E0B">
        <w:tab/>
      </w:r>
      <w:r w:rsidRPr="00250E0B">
        <w:fldChar w:fldCharType="begin" w:fldLock="1"/>
      </w:r>
      <w:r w:rsidRPr="00250E0B">
        <w:instrText xml:space="preserve"> PAGEREF _Toc185144747 \h </w:instrText>
      </w:r>
      <w:r w:rsidRPr="00250E0B">
        <w:fldChar w:fldCharType="separate"/>
      </w:r>
      <w:r w:rsidRPr="00250E0B">
        <w:t>6</w:t>
      </w:r>
      <w:r w:rsidRPr="00250E0B">
        <w:fldChar w:fldCharType="end"/>
      </w:r>
    </w:p>
    <w:p w:rsidR="00B7124A" w:rsidRPr="00250E0B" w:rsidRDefault="00B7124A">
      <w:pPr>
        <w:pStyle w:val="Innehll2"/>
        <w:shd w:val="clear" w:color="000000" w:fill="auto"/>
        <w:rPr>
          <w:sz w:val="24"/>
          <w:szCs w:val="24"/>
        </w:rPr>
      </w:pPr>
      <w:r w:rsidRPr="00250E0B">
        <w:t>Offentlig sektor</w:t>
      </w:r>
      <w:r w:rsidRPr="00250E0B">
        <w:tab/>
      </w:r>
      <w:r w:rsidRPr="00250E0B">
        <w:fldChar w:fldCharType="begin" w:fldLock="1"/>
      </w:r>
      <w:r w:rsidRPr="00250E0B">
        <w:instrText xml:space="preserve"> PAGEREF _Toc185144748 \h </w:instrText>
      </w:r>
      <w:r w:rsidRPr="00250E0B">
        <w:fldChar w:fldCharType="separate"/>
      </w:r>
      <w:r w:rsidRPr="00250E0B">
        <w:t>6</w:t>
      </w:r>
      <w:r w:rsidRPr="00250E0B">
        <w:fldChar w:fldCharType="end"/>
      </w:r>
    </w:p>
    <w:p w:rsidR="00B7124A" w:rsidRPr="00250E0B" w:rsidRDefault="00B7124A">
      <w:pPr>
        <w:pStyle w:val="Innehll2"/>
        <w:shd w:val="clear" w:color="000000" w:fill="auto"/>
        <w:rPr>
          <w:sz w:val="24"/>
          <w:szCs w:val="24"/>
        </w:rPr>
      </w:pPr>
      <w:r w:rsidRPr="00250E0B">
        <w:t>Skolan och högskolan</w:t>
      </w:r>
      <w:r w:rsidRPr="00250E0B">
        <w:tab/>
      </w:r>
      <w:r w:rsidRPr="00250E0B">
        <w:fldChar w:fldCharType="begin" w:fldLock="1"/>
      </w:r>
      <w:r w:rsidRPr="00250E0B">
        <w:instrText xml:space="preserve"> PAGEREF _Toc185144749 \h </w:instrText>
      </w:r>
      <w:r w:rsidRPr="00250E0B">
        <w:fldChar w:fldCharType="separate"/>
      </w:r>
      <w:r w:rsidRPr="00250E0B">
        <w:t>6</w:t>
      </w:r>
      <w:r w:rsidRPr="00250E0B">
        <w:fldChar w:fldCharType="end"/>
      </w:r>
    </w:p>
    <w:p w:rsidR="00B7124A" w:rsidRPr="00250E0B" w:rsidRDefault="00B7124A">
      <w:pPr>
        <w:pStyle w:val="Innehll2"/>
        <w:shd w:val="clear" w:color="000000" w:fill="auto"/>
        <w:rPr>
          <w:sz w:val="24"/>
          <w:szCs w:val="24"/>
        </w:rPr>
      </w:pPr>
      <w:r w:rsidRPr="00250E0B">
        <w:t>Stöd till frivilligorganisationer</w:t>
      </w:r>
      <w:r w:rsidRPr="00250E0B">
        <w:tab/>
      </w:r>
      <w:r w:rsidRPr="00250E0B">
        <w:fldChar w:fldCharType="begin" w:fldLock="1"/>
      </w:r>
      <w:r w:rsidRPr="00250E0B">
        <w:instrText xml:space="preserve"> PAGEREF _Toc185144750 \h </w:instrText>
      </w:r>
      <w:r w:rsidRPr="00250E0B">
        <w:fldChar w:fldCharType="separate"/>
      </w:r>
      <w:r w:rsidRPr="00250E0B">
        <w:t>7</w:t>
      </w:r>
      <w:r w:rsidRPr="00250E0B">
        <w:fldChar w:fldCharType="end"/>
      </w:r>
    </w:p>
    <w:p w:rsidR="00B7124A" w:rsidRPr="00250E0B" w:rsidRDefault="00B7124A">
      <w:pPr>
        <w:pStyle w:val="Innehll2"/>
        <w:shd w:val="clear" w:color="000000" w:fill="auto"/>
        <w:rPr>
          <w:sz w:val="24"/>
          <w:szCs w:val="24"/>
        </w:rPr>
      </w:pPr>
      <w:r w:rsidRPr="00250E0B">
        <w:t>Lesbiska och bisexuella kvinnor i vården</w:t>
      </w:r>
      <w:r w:rsidRPr="00250E0B">
        <w:tab/>
      </w:r>
      <w:r w:rsidRPr="00250E0B">
        <w:fldChar w:fldCharType="begin" w:fldLock="1"/>
      </w:r>
      <w:r w:rsidRPr="00250E0B">
        <w:instrText xml:space="preserve"> PAGEREF _Toc185144751 \h </w:instrText>
      </w:r>
      <w:r w:rsidRPr="00250E0B">
        <w:fldChar w:fldCharType="separate"/>
      </w:r>
      <w:r w:rsidRPr="00250E0B">
        <w:t>7</w:t>
      </w:r>
      <w:r w:rsidRPr="00250E0B">
        <w:fldChar w:fldCharType="end"/>
      </w:r>
    </w:p>
    <w:p w:rsidR="00B7124A" w:rsidRPr="00250E0B" w:rsidRDefault="00B7124A">
      <w:pPr>
        <w:pStyle w:val="Innehll2"/>
        <w:shd w:val="clear" w:color="000000" w:fill="auto"/>
        <w:rPr>
          <w:sz w:val="24"/>
          <w:szCs w:val="24"/>
        </w:rPr>
      </w:pPr>
      <w:r w:rsidRPr="00250E0B">
        <w:t>Äldre homo- och bisexuella samt transpersoner</w:t>
      </w:r>
      <w:r w:rsidRPr="00250E0B">
        <w:tab/>
      </w:r>
      <w:r w:rsidRPr="00250E0B">
        <w:fldChar w:fldCharType="begin" w:fldLock="1"/>
      </w:r>
      <w:r w:rsidRPr="00250E0B">
        <w:instrText xml:space="preserve"> PAGEREF _Toc185144752 \h </w:instrText>
      </w:r>
      <w:r w:rsidRPr="00250E0B">
        <w:fldChar w:fldCharType="separate"/>
      </w:r>
      <w:r w:rsidRPr="00250E0B">
        <w:t>8</w:t>
      </w:r>
      <w:r w:rsidRPr="00250E0B">
        <w:fldChar w:fldCharType="end"/>
      </w:r>
    </w:p>
    <w:p w:rsidR="00B7124A" w:rsidRPr="00250E0B" w:rsidRDefault="00B7124A">
      <w:pPr>
        <w:pStyle w:val="Innehll2"/>
        <w:shd w:val="clear" w:color="000000" w:fill="auto"/>
        <w:rPr>
          <w:sz w:val="24"/>
          <w:szCs w:val="24"/>
        </w:rPr>
      </w:pPr>
      <w:r w:rsidRPr="00250E0B">
        <w:t>Transpersoner</w:t>
      </w:r>
      <w:r w:rsidRPr="00250E0B">
        <w:tab/>
      </w:r>
      <w:r w:rsidRPr="00250E0B">
        <w:fldChar w:fldCharType="begin" w:fldLock="1"/>
      </w:r>
      <w:r w:rsidRPr="00250E0B">
        <w:instrText xml:space="preserve"> PAGEREF _Toc185144753 \h </w:instrText>
      </w:r>
      <w:r w:rsidRPr="00250E0B">
        <w:fldChar w:fldCharType="separate"/>
      </w:r>
      <w:r w:rsidRPr="00250E0B">
        <w:t>8</w:t>
      </w:r>
      <w:r w:rsidRPr="00250E0B">
        <w:fldChar w:fldCharType="end"/>
      </w:r>
    </w:p>
    <w:p w:rsidR="00B7124A" w:rsidRPr="00250E0B" w:rsidRDefault="00B7124A">
      <w:pPr>
        <w:pStyle w:val="Innehll1"/>
        <w:shd w:val="clear" w:color="000000" w:fill="auto"/>
        <w:rPr>
          <w:sz w:val="24"/>
          <w:szCs w:val="24"/>
        </w:rPr>
      </w:pPr>
      <w:r w:rsidRPr="00250E0B">
        <w:t>Rättstrygghet</w:t>
      </w:r>
      <w:r w:rsidRPr="00250E0B">
        <w:tab/>
      </w:r>
      <w:r w:rsidRPr="00250E0B">
        <w:fldChar w:fldCharType="begin" w:fldLock="1"/>
      </w:r>
      <w:r w:rsidRPr="00250E0B">
        <w:instrText xml:space="preserve"> PAGEREF _Toc185144754 \h </w:instrText>
      </w:r>
      <w:r w:rsidRPr="00250E0B">
        <w:fldChar w:fldCharType="separate"/>
      </w:r>
      <w:r w:rsidRPr="00250E0B">
        <w:t>10</w:t>
      </w:r>
      <w:r w:rsidRPr="00250E0B">
        <w:fldChar w:fldCharType="end"/>
      </w:r>
    </w:p>
    <w:p w:rsidR="00B7124A" w:rsidRPr="00250E0B" w:rsidRDefault="00B7124A">
      <w:pPr>
        <w:pStyle w:val="Innehll2"/>
        <w:shd w:val="clear" w:color="000000" w:fill="auto"/>
        <w:rPr>
          <w:sz w:val="24"/>
          <w:szCs w:val="24"/>
        </w:rPr>
      </w:pPr>
      <w:r w:rsidRPr="00250E0B">
        <w:t>Grundlagsskydd mot diskriminering och hets</w:t>
      </w:r>
      <w:r w:rsidRPr="00250E0B">
        <w:tab/>
      </w:r>
      <w:r w:rsidRPr="00250E0B">
        <w:fldChar w:fldCharType="begin" w:fldLock="1"/>
      </w:r>
      <w:r w:rsidRPr="00250E0B">
        <w:instrText xml:space="preserve"> PAGEREF _Toc185144755 \h </w:instrText>
      </w:r>
      <w:r w:rsidRPr="00250E0B">
        <w:fldChar w:fldCharType="separate"/>
      </w:r>
      <w:r w:rsidRPr="00250E0B">
        <w:t>10</w:t>
      </w:r>
      <w:r w:rsidRPr="00250E0B">
        <w:fldChar w:fldCharType="end"/>
      </w:r>
    </w:p>
    <w:p w:rsidR="00B7124A" w:rsidRPr="00250E0B" w:rsidRDefault="00B7124A">
      <w:pPr>
        <w:pStyle w:val="Innehll2"/>
        <w:shd w:val="clear" w:color="000000" w:fill="auto"/>
        <w:rPr>
          <w:sz w:val="24"/>
          <w:szCs w:val="24"/>
        </w:rPr>
      </w:pPr>
      <w:r w:rsidRPr="00250E0B">
        <w:t>Bekämpa hatbrotten</w:t>
      </w:r>
      <w:r w:rsidRPr="00250E0B">
        <w:tab/>
      </w:r>
      <w:r w:rsidRPr="00250E0B">
        <w:fldChar w:fldCharType="begin" w:fldLock="1"/>
      </w:r>
      <w:r w:rsidRPr="00250E0B">
        <w:instrText xml:space="preserve"> PAGEREF _Toc185144756 \h </w:instrText>
      </w:r>
      <w:r w:rsidRPr="00250E0B">
        <w:fldChar w:fldCharType="separate"/>
      </w:r>
      <w:r w:rsidRPr="00250E0B">
        <w:t>10</w:t>
      </w:r>
      <w:r w:rsidRPr="00250E0B">
        <w:fldChar w:fldCharType="end"/>
      </w:r>
    </w:p>
    <w:p w:rsidR="00B7124A" w:rsidRPr="00250E0B" w:rsidRDefault="00B7124A">
      <w:pPr>
        <w:pStyle w:val="Innehll2"/>
        <w:shd w:val="clear" w:color="000000" w:fill="auto"/>
        <w:rPr>
          <w:sz w:val="24"/>
          <w:szCs w:val="24"/>
        </w:rPr>
      </w:pPr>
      <w:r w:rsidRPr="00250E0B">
        <w:t>Bredda insatserna mot hedersrelaterade brott</w:t>
      </w:r>
      <w:r w:rsidRPr="00250E0B">
        <w:tab/>
      </w:r>
      <w:r w:rsidRPr="00250E0B">
        <w:fldChar w:fldCharType="begin" w:fldLock="1"/>
      </w:r>
      <w:r w:rsidRPr="00250E0B">
        <w:instrText xml:space="preserve"> PAGEREF _Toc185144757 \h </w:instrText>
      </w:r>
      <w:r w:rsidRPr="00250E0B">
        <w:fldChar w:fldCharType="separate"/>
      </w:r>
      <w:r w:rsidRPr="00250E0B">
        <w:t>12</w:t>
      </w:r>
      <w:r w:rsidRPr="00250E0B">
        <w:fldChar w:fldCharType="end"/>
      </w:r>
    </w:p>
    <w:p w:rsidR="00B7124A" w:rsidRPr="00250E0B" w:rsidRDefault="00B7124A">
      <w:pPr>
        <w:pStyle w:val="Innehll2"/>
        <w:shd w:val="clear" w:color="000000" w:fill="auto"/>
        <w:rPr>
          <w:sz w:val="24"/>
          <w:szCs w:val="24"/>
        </w:rPr>
      </w:pPr>
      <w:r w:rsidRPr="00250E0B">
        <w:t>Öka kunskapen om samkönat partnervåld</w:t>
      </w:r>
      <w:r w:rsidRPr="00250E0B">
        <w:tab/>
      </w:r>
      <w:r w:rsidRPr="00250E0B">
        <w:fldChar w:fldCharType="begin" w:fldLock="1"/>
      </w:r>
      <w:r w:rsidRPr="00250E0B">
        <w:instrText xml:space="preserve"> PAGEREF _Toc185144758 \h </w:instrText>
      </w:r>
      <w:r w:rsidRPr="00250E0B">
        <w:fldChar w:fldCharType="separate"/>
      </w:r>
      <w:r w:rsidRPr="00250E0B">
        <w:t>12</w:t>
      </w:r>
      <w:r w:rsidRPr="00250E0B">
        <w:fldChar w:fldCharType="end"/>
      </w:r>
    </w:p>
    <w:p w:rsidR="00B7124A" w:rsidRPr="00250E0B" w:rsidRDefault="00B7124A">
      <w:pPr>
        <w:pStyle w:val="Innehll1"/>
        <w:shd w:val="clear" w:color="000000" w:fill="auto"/>
        <w:rPr>
          <w:sz w:val="24"/>
          <w:szCs w:val="24"/>
        </w:rPr>
      </w:pPr>
      <w:r w:rsidRPr="00250E0B">
        <w:t>Idrott</w:t>
      </w:r>
      <w:r w:rsidRPr="00250E0B">
        <w:tab/>
      </w:r>
      <w:r w:rsidRPr="00250E0B">
        <w:fldChar w:fldCharType="begin" w:fldLock="1"/>
      </w:r>
      <w:r w:rsidRPr="00250E0B">
        <w:instrText xml:space="preserve"> PAGEREF _Toc185144759 \h </w:instrText>
      </w:r>
      <w:r w:rsidRPr="00250E0B">
        <w:fldChar w:fldCharType="separate"/>
      </w:r>
      <w:r w:rsidRPr="00250E0B">
        <w:t>13</w:t>
      </w:r>
      <w:r w:rsidRPr="00250E0B">
        <w:fldChar w:fldCharType="end"/>
      </w:r>
    </w:p>
    <w:p w:rsidR="00B7124A" w:rsidRPr="00250E0B" w:rsidRDefault="00B7124A">
      <w:pPr>
        <w:pStyle w:val="Innehll1"/>
        <w:shd w:val="clear" w:color="000000" w:fill="auto"/>
        <w:rPr>
          <w:sz w:val="24"/>
          <w:szCs w:val="24"/>
        </w:rPr>
      </w:pPr>
      <w:r w:rsidRPr="00250E0B">
        <w:t>Global solidaritet</w:t>
      </w:r>
      <w:r w:rsidRPr="00250E0B">
        <w:tab/>
      </w:r>
      <w:r w:rsidRPr="00250E0B">
        <w:fldChar w:fldCharType="begin" w:fldLock="1"/>
      </w:r>
      <w:r w:rsidRPr="00250E0B">
        <w:instrText xml:space="preserve"> PAGEREF _Toc185144760 \h </w:instrText>
      </w:r>
      <w:r w:rsidRPr="00250E0B">
        <w:fldChar w:fldCharType="separate"/>
      </w:r>
      <w:r w:rsidRPr="00250E0B">
        <w:t>13</w:t>
      </w:r>
      <w:r w:rsidRPr="00250E0B">
        <w:fldChar w:fldCharType="end"/>
      </w:r>
    </w:p>
    <w:p w:rsidR="00B7124A" w:rsidRPr="00250E0B" w:rsidRDefault="00B7124A">
      <w:pPr>
        <w:pStyle w:val="Innehll2"/>
        <w:shd w:val="clear" w:color="000000" w:fill="auto"/>
        <w:rPr>
          <w:sz w:val="24"/>
          <w:szCs w:val="24"/>
        </w:rPr>
      </w:pPr>
      <w:r w:rsidRPr="00250E0B">
        <w:t>Förenta nationerna</w:t>
      </w:r>
      <w:r w:rsidRPr="00250E0B">
        <w:tab/>
      </w:r>
      <w:r w:rsidRPr="00250E0B">
        <w:fldChar w:fldCharType="begin" w:fldLock="1"/>
      </w:r>
      <w:r w:rsidRPr="00250E0B">
        <w:instrText xml:space="preserve"> PAGEREF _Toc185144761 \h </w:instrText>
      </w:r>
      <w:r w:rsidRPr="00250E0B">
        <w:fldChar w:fldCharType="separate"/>
      </w:r>
      <w:r w:rsidRPr="00250E0B">
        <w:t>14</w:t>
      </w:r>
      <w:r w:rsidRPr="00250E0B">
        <w:fldChar w:fldCharType="end"/>
      </w:r>
    </w:p>
    <w:p w:rsidR="00B7124A" w:rsidRPr="00250E0B" w:rsidRDefault="00B7124A">
      <w:pPr>
        <w:pStyle w:val="Innehll2"/>
        <w:shd w:val="clear" w:color="000000" w:fill="auto"/>
        <w:rPr>
          <w:sz w:val="24"/>
          <w:szCs w:val="24"/>
        </w:rPr>
      </w:pPr>
      <w:r w:rsidRPr="00250E0B">
        <w:t>Europeiska unionen</w:t>
      </w:r>
      <w:r w:rsidRPr="00250E0B">
        <w:tab/>
      </w:r>
      <w:r w:rsidRPr="00250E0B">
        <w:fldChar w:fldCharType="begin" w:fldLock="1"/>
      </w:r>
      <w:r w:rsidRPr="00250E0B">
        <w:instrText xml:space="preserve"> PAGEREF _Toc185144762 \h </w:instrText>
      </w:r>
      <w:r w:rsidRPr="00250E0B">
        <w:fldChar w:fldCharType="separate"/>
      </w:r>
      <w:r w:rsidRPr="00250E0B">
        <w:t>15</w:t>
      </w:r>
      <w:r w:rsidRPr="00250E0B">
        <w:fldChar w:fldCharType="end"/>
      </w:r>
    </w:p>
    <w:p w:rsidR="00B7124A" w:rsidRPr="00250E0B" w:rsidRDefault="00B7124A">
      <w:pPr>
        <w:pStyle w:val="Innehll2"/>
        <w:shd w:val="clear" w:color="000000" w:fill="auto"/>
        <w:rPr>
          <w:sz w:val="24"/>
          <w:szCs w:val="24"/>
        </w:rPr>
      </w:pPr>
      <w:r w:rsidRPr="00250E0B">
        <w:t>Europarådet och OSSE</w:t>
      </w:r>
      <w:r w:rsidRPr="00250E0B">
        <w:tab/>
      </w:r>
      <w:r w:rsidRPr="00250E0B">
        <w:fldChar w:fldCharType="begin" w:fldLock="1"/>
      </w:r>
      <w:r w:rsidRPr="00250E0B">
        <w:instrText xml:space="preserve"> PAGEREF _Toc185144763 \h </w:instrText>
      </w:r>
      <w:r w:rsidRPr="00250E0B">
        <w:fldChar w:fldCharType="separate"/>
      </w:r>
      <w:r w:rsidRPr="00250E0B">
        <w:t>16</w:t>
      </w:r>
      <w:r w:rsidRPr="00250E0B">
        <w:fldChar w:fldCharType="end"/>
      </w:r>
    </w:p>
    <w:p w:rsidR="00B7124A" w:rsidRPr="00250E0B" w:rsidRDefault="00B7124A">
      <w:pPr>
        <w:pStyle w:val="Innehll2"/>
        <w:shd w:val="clear" w:color="000000" w:fill="auto"/>
        <w:rPr>
          <w:sz w:val="24"/>
          <w:szCs w:val="24"/>
        </w:rPr>
      </w:pPr>
      <w:r w:rsidRPr="00250E0B">
        <w:t>Sveriges bilaterala bistånd</w:t>
      </w:r>
      <w:r w:rsidRPr="00250E0B">
        <w:tab/>
      </w:r>
      <w:r w:rsidRPr="00250E0B">
        <w:fldChar w:fldCharType="begin" w:fldLock="1"/>
      </w:r>
      <w:r w:rsidRPr="00250E0B">
        <w:instrText xml:space="preserve"> PAGEREF _Toc185144764 \h </w:instrText>
      </w:r>
      <w:r w:rsidRPr="00250E0B">
        <w:fldChar w:fldCharType="separate"/>
      </w:r>
      <w:r w:rsidRPr="00250E0B">
        <w:t>16</w:t>
      </w:r>
      <w:r w:rsidRPr="00250E0B">
        <w:fldChar w:fldCharType="end"/>
      </w:r>
    </w:p>
    <w:p w:rsidR="00B7124A" w:rsidRPr="00250E0B" w:rsidRDefault="00B7124A">
      <w:r w:rsidRPr="00250E0B">
        <w:fldChar w:fldCharType="end"/>
      </w:r>
      <w:bookmarkStart w:id="0" w:name="_Toc185144744"/>
    </w:p>
    <w:p w:rsidR="00B7124A" w:rsidRPr="00250E0B" w:rsidRDefault="00B7124A">
      <w:pPr>
        <w:pStyle w:val="Hemstlrubrik"/>
        <w:pageBreakBefore/>
        <w:shd w:val="clear" w:color="000000" w:fill="auto"/>
        <w:spacing w:before="0"/>
      </w:pPr>
      <w:r w:rsidRPr="00250E0B">
        <w:lastRenderedPageBreak/>
        <w:t>Förslag till riksdagsbeslut</w:t>
      </w:r>
      <w:bookmarkEnd w:id="0"/>
    </w:p>
    <w:p w:rsidR="00B7124A" w:rsidRPr="00250E0B" w:rsidRDefault="00B7124A">
      <w:pPr>
        <w:pStyle w:val="Hemstlatt"/>
        <w:numPr>
          <w:ilvl w:val="0"/>
          <w:numId w:val="1"/>
        </w:numPr>
        <w:shd w:val="clear" w:color="000000" w:fill="auto"/>
      </w:pPr>
      <w:r w:rsidRPr="00250E0B">
        <w:t>Riksdagen tillkännager för regeringen som sin mening vad som anförs i motionen om ett snart införande av en könsne</w:t>
      </w:r>
      <w:r w:rsidRPr="00250E0B">
        <w:t>u</w:t>
      </w:r>
      <w:r w:rsidRPr="00250E0B">
        <w:t>tral äktenskapsbalk för alla par oavsett sexuell läggning.</w:t>
      </w:r>
      <w:r w:rsidRPr="00250E0B">
        <w:rPr>
          <w:vertAlign w:val="superscript"/>
        </w:rPr>
        <w:t>1</w:t>
      </w:r>
    </w:p>
    <w:p w:rsidR="00B7124A" w:rsidRPr="00250E0B" w:rsidRDefault="00B7124A">
      <w:pPr>
        <w:pStyle w:val="Hemstlatt"/>
        <w:numPr>
          <w:ilvl w:val="0"/>
          <w:numId w:val="1"/>
        </w:numPr>
        <w:shd w:val="clear" w:color="000000" w:fill="auto"/>
      </w:pPr>
      <w:r w:rsidRPr="00250E0B">
        <w:t xml:space="preserve">Riksdagen tillkännager för regeringen som sin mening vad som anförs i motionen om </w:t>
      </w:r>
      <w:r w:rsidRPr="00250E0B">
        <w:rPr>
          <w:color w:val="000000"/>
          <w:szCs w:val="24"/>
        </w:rPr>
        <w:t>avskaffande av lagen om registrerat partne</w:t>
      </w:r>
      <w:r w:rsidRPr="00250E0B">
        <w:rPr>
          <w:color w:val="000000"/>
          <w:szCs w:val="24"/>
        </w:rPr>
        <w:t>r</w:t>
      </w:r>
      <w:r w:rsidRPr="00250E0B">
        <w:rPr>
          <w:color w:val="000000"/>
          <w:szCs w:val="24"/>
        </w:rPr>
        <w:t>skap i samband med att en könsneutral äktenskapsbalk införs.</w:t>
      </w:r>
      <w:r w:rsidRPr="00250E0B">
        <w:rPr>
          <w:vertAlign w:val="superscript"/>
        </w:rPr>
        <w:t>1</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kunskaps- och bemötandefrågor om hom</w:t>
      </w:r>
      <w:r w:rsidRPr="00250E0B">
        <w:t>o</w:t>
      </w:r>
      <w:r w:rsidRPr="00250E0B">
        <w:t>sexuellas, bisexuellas och transpersoners situation hos nyckelgrupper inom den offentliga sektorn.</w:t>
      </w:r>
      <w:r w:rsidRPr="00250E0B">
        <w:rPr>
          <w:vertAlign w:val="superscript"/>
        </w:rPr>
        <w:t>2</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tydliga skrivningar om sexuell läggning och könsidentitetsuttryck i skolans kursplaner.</w:t>
      </w:r>
      <w:r w:rsidRPr="00250E0B">
        <w:rPr>
          <w:vertAlign w:val="superscript"/>
        </w:rPr>
        <w:t>3</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översyn av bemötandet av unga homosex</w:t>
      </w:r>
      <w:r w:rsidRPr="00250E0B">
        <w:t>u</w:t>
      </w:r>
      <w:r w:rsidRPr="00250E0B">
        <w:t>ella, bisexuella och transpersoner.</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stöd till frivilligorganisationer för homosex</w:t>
      </w:r>
      <w:r w:rsidRPr="00250E0B">
        <w:t>u</w:t>
      </w:r>
      <w:r w:rsidRPr="00250E0B">
        <w:t>ella, bisexuella och transpersoner.</w:t>
      </w:r>
      <w:r w:rsidRPr="00250E0B">
        <w:rPr>
          <w:vertAlign w:val="superscript"/>
        </w:rPr>
        <w:t>5</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kunskap om bemötandet av lesbiska och b</w:t>
      </w:r>
      <w:r w:rsidRPr="00250E0B">
        <w:t>i</w:t>
      </w:r>
      <w:r w:rsidRPr="00250E0B">
        <w:t>sexuella kvinnor inom hälso- och sjukvården.</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äldre homosexuella, bisexuella och transpe</w:t>
      </w:r>
      <w:r w:rsidRPr="00250E0B">
        <w:t>r</w:t>
      </w:r>
      <w:r w:rsidRPr="00250E0B">
        <w:t>soner.</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översyn av vårdresurserna för transsexue</w:t>
      </w:r>
      <w:r w:rsidRPr="00250E0B">
        <w:t>l</w:t>
      </w:r>
      <w:r w:rsidRPr="00250E0B">
        <w:t>la.</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förändring av lagen (1972:119) om faststä</w:t>
      </w:r>
      <w:r w:rsidRPr="00250E0B">
        <w:t>l</w:t>
      </w:r>
      <w:r w:rsidRPr="00250E0B">
        <w:t>lelse av könstillhörighet i vissa fall.</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snar översyn av namnlagen.</w:t>
      </w:r>
      <w:r w:rsidRPr="00250E0B">
        <w:rPr>
          <w:vertAlign w:val="superscript"/>
        </w:rPr>
        <w:t>1</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utredning som ur ett helhetsperspektiv ska belysa transpersoners situation i det svenska samhället.</w:t>
      </w:r>
      <w:r w:rsidRPr="00250E0B">
        <w:rPr>
          <w:vertAlign w:val="superscript"/>
        </w:rPr>
        <w:t>4</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regeringsformens målsättning i 1 kap. 2 §.</w:t>
      </w:r>
      <w:r w:rsidRPr="00250E0B">
        <w:rPr>
          <w:vertAlign w:val="superscript"/>
        </w:rPr>
        <w:t>2</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bestämmelsen om diskriminerande lagstiftning i 2 kap. 15 § regeringsformen.</w:t>
      </w:r>
      <w:r w:rsidRPr="00250E0B">
        <w:rPr>
          <w:vertAlign w:val="superscript"/>
        </w:rPr>
        <w:t>2</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tryckfrihetsförordningens och brottsbalkens bestämmelser om hets mot folkgrupp.</w:t>
      </w:r>
      <w:r w:rsidRPr="00250E0B">
        <w:rPr>
          <w:vertAlign w:val="superscript"/>
        </w:rPr>
        <w:t>2</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ökade kunskaper inom rättsväsendet om brott mot homosexuella, bisexuella och transpersoner.</w:t>
      </w:r>
      <w:r w:rsidRPr="00250E0B">
        <w:rPr>
          <w:vertAlign w:val="superscript"/>
        </w:rPr>
        <w:t>6</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polisens information till brottsoffer som utsätts för hatbrott på grund av sin sexuella läggning eller könsidentitet.</w:t>
      </w:r>
      <w:r w:rsidRPr="00250E0B">
        <w:rPr>
          <w:vertAlign w:val="superscript"/>
        </w:rPr>
        <w:t>6</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översyn av tillämpningen av den särskilda åtalsregeln gällande ärekränkningsbrott med hatmotiv.</w:t>
      </w:r>
      <w:r w:rsidRPr="00250E0B">
        <w:rPr>
          <w:vertAlign w:val="superscript"/>
        </w:rPr>
        <w:t>6</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insatser mot hedersrelaterade brott riktade mot homosexuella, bisexuella och transpersoner.</w:t>
      </w:r>
      <w:r w:rsidRPr="00250E0B">
        <w:rPr>
          <w:vertAlign w:val="superscript"/>
        </w:rPr>
        <w:t>6</w:t>
      </w:r>
    </w:p>
    <w:p w:rsidR="00B7124A" w:rsidRPr="00250E0B" w:rsidRDefault="00B7124A">
      <w:pPr>
        <w:pStyle w:val="Hemstlatt"/>
        <w:numPr>
          <w:ilvl w:val="0"/>
          <w:numId w:val="1"/>
        </w:numPr>
        <w:shd w:val="clear" w:color="000000" w:fill="auto"/>
      </w:pPr>
      <w:r w:rsidRPr="00250E0B">
        <w:rPr>
          <w:spacing w:val="-4"/>
        </w:rPr>
        <w:t>Riksdagen tillkännager för regeringen som sin mening vad som anförs i motionen om ökade kunskaper om våld mot närstående i samkönade relationer</w:t>
      </w:r>
      <w:r w:rsidRPr="00250E0B">
        <w:t>.</w:t>
      </w:r>
      <w:r w:rsidRPr="00250E0B">
        <w:rPr>
          <w:vertAlign w:val="superscript"/>
        </w:rPr>
        <w:t>6</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ökade kunskaper om frågor om homosexuella, bisexuella och transpersoner i idrottsrörelsen.</w:t>
      </w:r>
      <w:r w:rsidRPr="00250E0B">
        <w:rPr>
          <w:vertAlign w:val="superscript"/>
        </w:rPr>
        <w:t>7</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FN-konvention mot diskriminering på grund av sexuell läggning eller könsidentitet.</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en internationell deklaration mot förtryck på grund av sexuell läggning och könsidentitet.</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HBT-organisationers roll i FN-systemet.</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uppmärksammande av HBT-frågor i UNDP.</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fri rörlighet för EU-medborgare.</w:t>
      </w:r>
      <w:r w:rsidRPr="00250E0B">
        <w:rPr>
          <w:vertAlign w:val="superscript"/>
        </w:rPr>
        <w:t>8</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homosexuellas, bisexuellas och transpersoners rättigheter i EU:s kandidatländer och ansökarländer.</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EU:s insatser mot diskriminering.</w:t>
      </w:r>
    </w:p>
    <w:p w:rsidR="00B7124A" w:rsidRPr="00250E0B" w:rsidRDefault="00B7124A">
      <w:pPr>
        <w:pStyle w:val="Hemstlatt"/>
        <w:numPr>
          <w:ilvl w:val="0"/>
          <w:numId w:val="1"/>
        </w:numPr>
        <w:shd w:val="clear" w:color="000000" w:fill="auto"/>
      </w:pPr>
      <w:r w:rsidRPr="00250E0B">
        <w:rPr>
          <w:spacing w:val="4"/>
        </w:rPr>
        <w:t>Riksdagen tillkännager för regeringen som sin mening vad som anförs i motionen om diskriminerande bestämmelser för personal inom EU:s olika organ samt andra organisationer på europeisk eller global nivå.</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Sveriges arbete i Europarådet och OSSE.</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HBT-frågor i Sveriges bilaterala bistånd.</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ett tilläggsprotokoll till Genèvekonventionen.</w:t>
      </w:r>
      <w:r w:rsidRPr="00250E0B">
        <w:rPr>
          <w:vertAlign w:val="superscript"/>
        </w:rPr>
        <w:t>8</w:t>
      </w:r>
    </w:p>
    <w:p w:rsidR="00B7124A" w:rsidRPr="00250E0B" w:rsidRDefault="00B7124A">
      <w:pPr>
        <w:pStyle w:val="Hemstlatt"/>
        <w:numPr>
          <w:ilvl w:val="0"/>
          <w:numId w:val="1"/>
        </w:numPr>
        <w:shd w:val="clear" w:color="000000" w:fill="auto"/>
      </w:pPr>
      <w:r w:rsidRPr="00250E0B">
        <w:t>Riksdagen tillkännager för regeringen som sin mening vad som anförs i motionen om den svenska lagstiftningen rörande förföljda homosexuella, bisexuella och transpersoner.</w:t>
      </w:r>
      <w:r w:rsidRPr="00250E0B">
        <w:rPr>
          <w:vertAlign w:val="superscript"/>
        </w:rPr>
        <w:t>8</w:t>
      </w:r>
    </w:p>
    <w:p w:rsidR="00B7124A" w:rsidRPr="00250E0B" w:rsidRDefault="00B7124A">
      <w:pPr>
        <w:pStyle w:val="Hemstlatt"/>
        <w:numPr>
          <w:ilvl w:val="0"/>
          <w:numId w:val="1"/>
        </w:numPr>
        <w:shd w:val="clear" w:color="000000" w:fill="auto"/>
      </w:pPr>
      <w:r w:rsidRPr="00250E0B">
        <w:rPr>
          <w:spacing w:val="2"/>
        </w:rPr>
        <w:t>Riksdagen tillkännager för regeringen som sin mening vad som anförs i motionen om kunskapen om homosexuellas, bisexuellas och transpersoners situation i de länder som människor flyr från.</w:t>
      </w:r>
      <w:r w:rsidRPr="00250E0B">
        <w:rPr>
          <w:vertAlign w:val="superscript"/>
        </w:rPr>
        <w:t>8</w:t>
      </w:r>
    </w:p>
    <w:p w:rsidR="00B7124A" w:rsidRPr="00250E0B" w:rsidRDefault="00B7124A">
      <w:pPr>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pStyle w:val="Normaltindrag"/>
        <w:shd w:val="clear" w:color="000000" w:fill="auto"/>
      </w:pPr>
    </w:p>
    <w:p w:rsidR="00B7124A" w:rsidRPr="00250E0B" w:rsidRDefault="00B7124A">
      <w:pPr>
        <w:shd w:val="clear" w:color="000000" w:fill="auto"/>
      </w:pPr>
      <w:r w:rsidRPr="00250E0B">
        <w:rPr>
          <w:vertAlign w:val="superscript"/>
        </w:rPr>
        <w:t>1</w:t>
      </w:r>
      <w:r w:rsidRPr="00250E0B">
        <w:t xml:space="preserve"> Yrkandena 1, 2 och 11 hänvisade till CU.</w:t>
      </w:r>
    </w:p>
    <w:p w:rsidR="00B7124A" w:rsidRPr="00250E0B" w:rsidRDefault="00B7124A">
      <w:pPr>
        <w:shd w:val="clear" w:color="000000" w:fill="auto"/>
      </w:pPr>
      <w:r w:rsidRPr="00250E0B">
        <w:rPr>
          <w:vertAlign w:val="superscript"/>
        </w:rPr>
        <w:t>2</w:t>
      </w:r>
      <w:r w:rsidRPr="00250E0B">
        <w:t xml:space="preserve"> Yrkandena 3 och 13–15 hänvisade till KU.</w:t>
      </w:r>
    </w:p>
    <w:p w:rsidR="00B7124A" w:rsidRPr="00250E0B" w:rsidRDefault="00B7124A">
      <w:pPr>
        <w:shd w:val="clear" w:color="000000" w:fill="auto"/>
      </w:pPr>
      <w:r w:rsidRPr="00250E0B">
        <w:rPr>
          <w:vertAlign w:val="superscript"/>
        </w:rPr>
        <w:t>3</w:t>
      </w:r>
      <w:r w:rsidRPr="00250E0B">
        <w:t xml:space="preserve"> Yrkande 4 hänvisat till UbU.</w:t>
      </w:r>
    </w:p>
    <w:p w:rsidR="00B7124A" w:rsidRPr="00250E0B" w:rsidRDefault="00B7124A">
      <w:pPr>
        <w:shd w:val="clear" w:color="000000" w:fill="auto"/>
      </w:pPr>
      <w:r w:rsidRPr="00250E0B">
        <w:rPr>
          <w:vertAlign w:val="superscript"/>
        </w:rPr>
        <w:t>4</w:t>
      </w:r>
      <w:r w:rsidRPr="00250E0B">
        <w:t xml:space="preserve"> Yrkandena 5, 7–10 och 12 hänvisade till SoU.</w:t>
      </w:r>
    </w:p>
    <w:p w:rsidR="00B7124A" w:rsidRPr="00250E0B" w:rsidRDefault="00B7124A">
      <w:pPr>
        <w:shd w:val="clear" w:color="000000" w:fill="auto"/>
      </w:pPr>
      <w:r w:rsidRPr="00250E0B">
        <w:rPr>
          <w:vertAlign w:val="superscript"/>
        </w:rPr>
        <w:t>5</w:t>
      </w:r>
      <w:r w:rsidRPr="00250E0B">
        <w:t xml:space="preserve"> Yrkande 6 hänvisat till AU.</w:t>
      </w:r>
    </w:p>
    <w:p w:rsidR="00B7124A" w:rsidRPr="00250E0B" w:rsidRDefault="00B7124A">
      <w:pPr>
        <w:shd w:val="clear" w:color="000000" w:fill="auto"/>
      </w:pPr>
      <w:r w:rsidRPr="00250E0B">
        <w:rPr>
          <w:vertAlign w:val="superscript"/>
        </w:rPr>
        <w:t>6</w:t>
      </w:r>
      <w:r w:rsidRPr="00250E0B">
        <w:t xml:space="preserve"> Yrkandena 16–20 hänvisade till JuU.</w:t>
      </w:r>
    </w:p>
    <w:p w:rsidR="00B7124A" w:rsidRPr="00250E0B" w:rsidRDefault="00B7124A">
      <w:pPr>
        <w:shd w:val="clear" w:color="000000" w:fill="auto"/>
      </w:pPr>
      <w:r w:rsidRPr="00250E0B">
        <w:rPr>
          <w:vertAlign w:val="superscript"/>
        </w:rPr>
        <w:t>7</w:t>
      </w:r>
      <w:r w:rsidRPr="00250E0B">
        <w:t xml:space="preserve"> Yrkande 21 hänvisat till KrU.</w:t>
      </w:r>
    </w:p>
    <w:p w:rsidR="00B7124A" w:rsidRPr="00250E0B" w:rsidRDefault="00B7124A">
      <w:pPr>
        <w:shd w:val="clear" w:color="000000" w:fill="auto"/>
      </w:pPr>
      <w:r w:rsidRPr="00250E0B">
        <w:rPr>
          <w:vertAlign w:val="superscript"/>
        </w:rPr>
        <w:t>8</w:t>
      </w:r>
      <w:r w:rsidRPr="00250E0B">
        <w:t xml:space="preserve"> Yrkandena 26 och 32–34 hänvisade till SfU.</w:t>
      </w:r>
    </w:p>
    <w:p w:rsidR="00B7124A" w:rsidRPr="00250E0B" w:rsidRDefault="00B7124A">
      <w:pPr>
        <w:pStyle w:val="Rubrik1"/>
        <w:pageBreakBefore/>
        <w:shd w:val="clear" w:color="000000" w:fill="auto"/>
        <w:spacing w:before="0"/>
      </w:pPr>
      <w:bookmarkStart w:id="1" w:name="_Toc185144745"/>
      <w:r w:rsidRPr="00250E0B">
        <w:t>Inledning</w:t>
      </w:r>
      <w:bookmarkEnd w:id="1"/>
    </w:p>
    <w:p w:rsidR="00B7124A" w:rsidRPr="00250E0B" w:rsidRDefault="00B7124A">
      <w:pPr>
        <w:shd w:val="clear" w:color="000000" w:fill="auto"/>
      </w:pPr>
      <w:r w:rsidRPr="00250E0B">
        <w:t>År 1950 briserade Kejneaffären och samhällets diskriminerande, hätska i</w:t>
      </w:r>
      <w:r w:rsidRPr="00250E0B">
        <w:t>n</w:t>
      </w:r>
      <w:r w:rsidRPr="00250E0B">
        <w:t>ställning gentemot homo- och bisexuella kom i dagen. Sedan dess har mycket hänt. Idag kan alltfler homo- och bisexuella leva öppet med varandra. Det finns föreningar och tidningar som riktar sig till dem. Den årligen återko</w:t>
      </w:r>
      <w:r w:rsidRPr="00250E0B">
        <w:t>m</w:t>
      </w:r>
      <w:r w:rsidRPr="00250E0B">
        <w:t>mande Pridefestivalen räknas nu till en av årets stora händelser. Men fortf</w:t>
      </w:r>
      <w:r w:rsidRPr="00250E0B">
        <w:t>a</w:t>
      </w:r>
      <w:r w:rsidRPr="00250E0B">
        <w:t>rande förekommer diskriminering av och våld och övergrepp mot homo- och bisexuella. I en ännu svårare situation befinner sig transpersonerna. Det är om dem denna motion handlar.</w:t>
      </w:r>
    </w:p>
    <w:p w:rsidR="00B7124A" w:rsidRPr="00250E0B" w:rsidRDefault="00B7124A">
      <w:pPr>
        <w:pStyle w:val="Rubrik1"/>
        <w:shd w:val="clear" w:color="000000" w:fill="auto"/>
      </w:pPr>
      <w:bookmarkStart w:id="2" w:name="_Toc185144746"/>
      <w:r w:rsidRPr="00250E0B">
        <w:t>Könsneutral äktenskapsbalk</w:t>
      </w:r>
      <w:bookmarkEnd w:id="2"/>
    </w:p>
    <w:p w:rsidR="00B7124A" w:rsidRPr="00250E0B" w:rsidRDefault="00B7124A">
      <w:pPr>
        <w:shd w:val="clear" w:color="000000" w:fill="auto"/>
      </w:pPr>
      <w:r w:rsidRPr="00250E0B">
        <w:t>Lagen om registrerat partnerskap infördes 1994 med stöd av oss liberaler. Efter reformeringen av reglerna om adoption och assisterad befruktning finns i dag mycket små skillnader inom Sverige mellan de juridiska effekterna av äktenskap och partnerskap. Flera länder har till skillnad från Sverige tagit steget fullt ut och i stället för en särskild partnerskapslag öppnat äktenskap</w:t>
      </w:r>
      <w:r w:rsidRPr="00250E0B">
        <w:t>s</w:t>
      </w:r>
      <w:r w:rsidRPr="00250E0B">
        <w:t>lagstiftningen för samkönade par.</w:t>
      </w:r>
    </w:p>
    <w:p w:rsidR="00B7124A" w:rsidRPr="00250E0B" w:rsidRDefault="00B7124A">
      <w:pPr>
        <w:pStyle w:val="Normaltindrag"/>
        <w:shd w:val="clear" w:color="000000" w:fill="auto"/>
      </w:pPr>
      <w:r w:rsidRPr="00250E0B">
        <w:t>Partnerskapslagen var ett stort steg på sin tid, men den är juridiskt sett en återvändsgränd eftersom den bibehåller en grundläggande uppdelning mellan lagar för heterosexuella och lagar för homosexuella. Vi stöder därför försl</w:t>
      </w:r>
      <w:r w:rsidRPr="00250E0B">
        <w:t>a</w:t>
      </w:r>
      <w:r w:rsidRPr="00250E0B">
        <w:t>gen i SOU 2007:17 Äktenskap för par med samma kön – Vigselfrågor. Vi anser att äktenskapsbalken så snart som möjligt bör breddas till att omfatta alla par, både homo- och heterosexuella. Trossamfunden skall, liksom i dag, ha valfrihet att avgöra vilka vigslar man vill förrätta. I juridisk mening inn</w:t>
      </w:r>
      <w:r w:rsidRPr="00250E0B">
        <w:t>e</w:t>
      </w:r>
      <w:r w:rsidRPr="00250E0B">
        <w:t>bär äktenskapet ett lagpaket om t.ex. arv, försörjningsplikt, namnskick, skatt och socialförsäkringar, dvs. många av de frågor som dyker upp i ett parförhå</w:t>
      </w:r>
      <w:r w:rsidRPr="00250E0B">
        <w:t>l</w:t>
      </w:r>
      <w:r w:rsidRPr="00250E0B">
        <w:t>lande. Att neka samkönade par möjligheten till detta l</w:t>
      </w:r>
      <w:r w:rsidRPr="00250E0B">
        <w:t>agpaket kan bara försv</w:t>
      </w:r>
      <w:r w:rsidRPr="00250E0B">
        <w:t>a</w:t>
      </w:r>
      <w:r w:rsidRPr="00250E0B">
        <w:t>ras om homosexuella och heterosexuella förhållanden såg helt olika ut. Så är det inte. Kärleken är likadan oavsett könet på den person den riktar sig till. Den känslomässiga och ekonomiska sammanflätning som finns i en parrel</w:t>
      </w:r>
      <w:r w:rsidRPr="00250E0B">
        <w:t>a</w:t>
      </w:r>
      <w:r w:rsidRPr="00250E0B">
        <w:t>tion är likadan oavsett om parterna råkar vara homo-, bi- eller heterosexuella. Om äktenskapsbalken blir gemensam för alla par försvinner också behovet av en särskild lag om registrerat partnerskap. I samband med införandet av en gemensam äktenskapsbalk bör därfö</w:t>
      </w:r>
      <w:r w:rsidRPr="00250E0B">
        <w:t>r partnerskapslagen avskaffas, och redan ingångna partnerskap bör genom en övergångsbestämmelse övergå till äkte</w:t>
      </w:r>
      <w:r w:rsidRPr="00250E0B">
        <w:t>n</w:t>
      </w:r>
      <w:r w:rsidRPr="00250E0B">
        <w:t>skap. Detta bör riksdagen som sin mening ge regeringen till känna.</w:t>
      </w:r>
    </w:p>
    <w:p w:rsidR="00B7124A" w:rsidRPr="00250E0B" w:rsidRDefault="00B7124A">
      <w:pPr>
        <w:pStyle w:val="Rubrik1"/>
        <w:shd w:val="clear" w:color="000000" w:fill="auto"/>
      </w:pPr>
      <w:bookmarkStart w:id="3" w:name="_Toc185144747"/>
      <w:r w:rsidRPr="00250E0B">
        <w:t>Lika villkor i samhället</w:t>
      </w:r>
      <w:bookmarkEnd w:id="3"/>
    </w:p>
    <w:p w:rsidR="00B7124A" w:rsidRPr="00250E0B" w:rsidRDefault="00B7124A">
      <w:pPr>
        <w:pStyle w:val="Rubrik2"/>
        <w:shd w:val="clear" w:color="000000" w:fill="auto"/>
        <w:spacing w:before="120"/>
      </w:pPr>
      <w:bookmarkStart w:id="4" w:name="_Toc185144748"/>
      <w:r w:rsidRPr="00250E0B">
        <w:t>Offentlig sektor</w:t>
      </w:r>
      <w:bookmarkEnd w:id="4"/>
    </w:p>
    <w:p w:rsidR="00B7124A" w:rsidRPr="00250E0B" w:rsidRDefault="00B7124A">
      <w:pPr>
        <w:shd w:val="clear" w:color="000000" w:fill="auto"/>
      </w:pPr>
      <w:r w:rsidRPr="00250E0B">
        <w:t>Arbetet inom den offentliga sektorn skall genomsyras av jämställdhet, jä</w:t>
      </w:r>
      <w:r w:rsidRPr="00250E0B">
        <w:t>m</w:t>
      </w:r>
      <w:r w:rsidRPr="00250E0B">
        <w:t>likhet och respekt för den enskildes integritet. Stat, landsting och kommuner eller deras uppdragstagare skall inte särbehandla människor negativt utifrån kön, ålder, social ställning, etnisk eller religiös tillhörighet, funktionshinder, sexuell läggning, könsidentitet eller liknande. I dag känner exempelvis många homosexuella, bisexuella och transpersoner tvekan inför att ta kontakt med rättsväsendet när de utsatts för brott eftersom de är rädda för ett negativt b</w:t>
      </w:r>
      <w:r w:rsidRPr="00250E0B">
        <w:t>e</w:t>
      </w:r>
      <w:r w:rsidRPr="00250E0B">
        <w:t>mötande. En ökad kompetens i rättsväsende</w:t>
      </w:r>
      <w:r w:rsidRPr="00250E0B">
        <w:t>ts myndigheter kan öka homose</w:t>
      </w:r>
      <w:r w:rsidRPr="00250E0B">
        <w:t>x</w:t>
      </w:r>
      <w:r w:rsidRPr="00250E0B">
        <w:t>uellas, bisexuellas och transpersoners benägenhet att anmäla brott. Speciellt sårbara är människor i psykisk kris eller brytningsskeden i tillvaron. Yrke</w:t>
      </w:r>
      <w:r w:rsidRPr="00250E0B">
        <w:t>s</w:t>
      </w:r>
      <w:r w:rsidRPr="00250E0B">
        <w:t>grupper som kuratorer, psykologer, psykiatrer och psykoterapeuter bör därför vara särskilt måna om att ha kompetens på området. Om deras bedömningar grundas på fördomar kan de annars mer eller mindre medvetet skada en pat</w:t>
      </w:r>
      <w:r w:rsidRPr="00250E0B">
        <w:t>i</w:t>
      </w:r>
      <w:r w:rsidRPr="00250E0B">
        <w:t>ent eller klient som t.ex. är homosexuell. Att öka insikterna om homosexue</w:t>
      </w:r>
      <w:r w:rsidRPr="00250E0B">
        <w:t>l</w:t>
      </w:r>
      <w:r w:rsidRPr="00250E0B">
        <w:t>las, bisexuellas och transperso</w:t>
      </w:r>
      <w:r w:rsidRPr="00250E0B">
        <w:t>ners livsvillkor är således extra viktigt inom vissa nyckelsektorer inom den offentliga sektorn, bl.a. rättsväsendet, utbil</w:t>
      </w:r>
      <w:r w:rsidRPr="00250E0B">
        <w:t>d</w:t>
      </w:r>
      <w:r w:rsidRPr="00250E0B">
        <w:t>ningen, hälso- och sjukvården samt socialtjänsten. Trots att dessa brister har varit kända under flera års tid finns det fortfarande stora brister när det gäller samordnade insatser från samhällets sida. Det är därför viktigt att en samlad översyn görs av behovet av förändringar för att åstadkomma lika rättigheter även för homo- och bisexuella samt transpersoner i det offentliga. Detta</w:t>
      </w:r>
      <w:r w:rsidRPr="00250E0B">
        <w:t xml:space="preserve"> bör riksdagen som sin mening ge regeringen till känna.</w:t>
      </w:r>
    </w:p>
    <w:p w:rsidR="00B7124A" w:rsidRPr="00250E0B" w:rsidRDefault="00B7124A">
      <w:pPr>
        <w:pStyle w:val="Rubrik2"/>
        <w:shd w:val="clear" w:color="000000" w:fill="auto"/>
      </w:pPr>
      <w:bookmarkStart w:id="5" w:name="_Toc185144749"/>
      <w:r w:rsidRPr="00250E0B">
        <w:t>Skolan och högskolan</w:t>
      </w:r>
      <w:bookmarkEnd w:id="5"/>
    </w:p>
    <w:p w:rsidR="00B7124A" w:rsidRPr="00250E0B" w:rsidRDefault="00B7124A">
      <w:pPr>
        <w:shd w:val="clear" w:color="000000" w:fill="auto"/>
      </w:pPr>
      <w:r w:rsidRPr="00250E0B">
        <w:t>Alla elever har rätt till undervisning med en ordentlig belysning av frågor om sexualitet, samlevnad, relationer och respekt inklusive kunskaper om homo-, bi- och heterosexualitet samt frågor om könsidentitet och könsidentitetsu</w:t>
      </w:r>
      <w:r w:rsidRPr="00250E0B">
        <w:t>t</w:t>
      </w:r>
      <w:r w:rsidRPr="00250E0B">
        <w:t>tryck. Det var ett stort felsteg av dåvarande regeringen när den för några år sedan strök alla skrivningar om homosexualitet ur skolans kursplaner. Tydliga skrivningar om homosexuellas, bisexuellas och transpersoners situation bör återinföras i kursplanerna, och skolans undervisning om sexualitet, identitet och relationer måste utgå från att alla sexuella läggningar och könsidentitet</w:t>
      </w:r>
      <w:r w:rsidRPr="00250E0B">
        <w:t>s</w:t>
      </w:r>
      <w:r w:rsidRPr="00250E0B">
        <w:t>uttryck finns också hos eleverna själva.</w:t>
      </w:r>
    </w:p>
    <w:p w:rsidR="00B7124A" w:rsidRPr="00250E0B" w:rsidRDefault="00B7124A">
      <w:pPr>
        <w:pStyle w:val="Normaltindrag"/>
        <w:shd w:val="clear" w:color="000000" w:fill="auto"/>
      </w:pPr>
      <w:r w:rsidRPr="00250E0B">
        <w:t>Unga homosexuellas, bisexuellas och transpersoners situation är inte e</w:t>
      </w:r>
      <w:r w:rsidRPr="00250E0B">
        <w:t>n</w:t>
      </w:r>
      <w:r w:rsidRPr="00250E0B">
        <w:t>bart en angelägenhet för skolväsendet. Många ungdomar lever på grund av omvärldens fördomar i en mycket utsatt situation, präglad av otrygghet och rädsla. Det förekommer att ungdomar misshandlas av sina familjemedlemmar eller kastas ut från föräldrahemmet på grund av sin sexuella läggning eller könsidentitet. Undersökningar tyder också på att frekvensen av självmord</w:t>
      </w:r>
      <w:r w:rsidRPr="00250E0B">
        <w:t>s</w:t>
      </w:r>
      <w:r w:rsidRPr="00250E0B">
        <w:t>försök är väsentligt högre bland unga homosexuella än bland deras heterose</w:t>
      </w:r>
      <w:r w:rsidRPr="00250E0B">
        <w:t>x</w:t>
      </w:r>
      <w:r w:rsidRPr="00250E0B">
        <w:t>uella jämnåriga. Det är angeläget att de yrkesgrupper som möter ung</w:t>
      </w:r>
      <w:r w:rsidRPr="00250E0B">
        <w:t>a hom</w:t>
      </w:r>
      <w:r w:rsidRPr="00250E0B">
        <w:t>o</w:t>
      </w:r>
      <w:r w:rsidRPr="00250E0B">
        <w:t>sexuella, bisexuella och transpersoner själva har tillräcklig kompetens för att ge adekvat hjälp, men tyvärr är detta inte alltid fallet. Inom ramen för det allmänna tillsynsarbetet bör det göras en översikt av bemötandet av unga homo- och bisexuella samt transpersoner som söker hjälp hos olika sa</w:t>
      </w:r>
      <w:r w:rsidRPr="00250E0B">
        <w:t>m</w:t>
      </w:r>
      <w:r w:rsidRPr="00250E0B">
        <w:t>hällsinstanser, t.ex. ungdomsmottagningar eller den psykiska barn- och un</w:t>
      </w:r>
      <w:r w:rsidRPr="00250E0B">
        <w:t>g</w:t>
      </w:r>
      <w:r w:rsidRPr="00250E0B">
        <w:t>domsvården. Detta bör riksdagen som sin mening ge regeringen till känna.</w:t>
      </w:r>
    </w:p>
    <w:p w:rsidR="00B7124A" w:rsidRPr="00250E0B" w:rsidRDefault="00B7124A">
      <w:pPr>
        <w:pStyle w:val="Normaltindrag"/>
        <w:shd w:val="clear" w:color="000000" w:fill="auto"/>
      </w:pPr>
      <w:r w:rsidRPr="00250E0B">
        <w:t>Lagen (2001:1286) om likabehandling av studenter i högskolan</w:t>
      </w:r>
      <w:r w:rsidRPr="00250E0B">
        <w:t xml:space="preserve"> syftar till att motverka diskriminering på grund av bl.a. könstillhörighet och sexuell läggning. Lagens utformning gör dock att den inte omfattar de studerande vid t.ex. de olika polishögskolorna och utbildningsinstitutionerna inom Försvar</w:t>
      </w:r>
      <w:r w:rsidRPr="00250E0B">
        <w:t>s</w:t>
      </w:r>
      <w:r w:rsidRPr="00250E0B">
        <w:t>makten. En kartläggning som gjorts av Sveriges Förenade Studentkårer, li</w:t>
      </w:r>
      <w:r w:rsidRPr="00250E0B">
        <w:t>k</w:t>
      </w:r>
      <w:r w:rsidRPr="00250E0B">
        <w:t>som Sveriges Förenade Gaystudenter, visar att flera lärosäten negligerar l</w:t>
      </w:r>
      <w:r w:rsidRPr="00250E0B">
        <w:t>a</w:t>
      </w:r>
      <w:r w:rsidRPr="00250E0B">
        <w:t>gens krav på utarbetande av planer för att motverka diskriminering. Detta är inte acceptabelt. En översyn av lagen och dess</w:t>
      </w:r>
      <w:r w:rsidRPr="00250E0B">
        <w:t xml:space="preserve"> tillämpning bör göras så att detta ändras. Detta bör riksdagen som sin mening ge regeringen till känna.</w:t>
      </w:r>
    </w:p>
    <w:p w:rsidR="00B7124A" w:rsidRPr="00250E0B" w:rsidRDefault="00B7124A">
      <w:pPr>
        <w:pStyle w:val="Rubrik2"/>
        <w:shd w:val="clear" w:color="000000" w:fill="auto"/>
      </w:pPr>
      <w:bookmarkStart w:id="6" w:name="_Toc185144750"/>
      <w:r w:rsidRPr="00250E0B">
        <w:t>Stöd till frivilligorganisationer</w:t>
      </w:r>
      <w:bookmarkEnd w:id="6"/>
    </w:p>
    <w:p w:rsidR="00B7124A" w:rsidRPr="00250E0B" w:rsidRDefault="00B7124A">
      <w:pPr>
        <w:shd w:val="clear" w:color="000000" w:fill="auto"/>
      </w:pPr>
      <w:r w:rsidRPr="00250E0B">
        <w:t>Statens bidragsgivning till homo- och bisexuellas samt transpersoners ver</w:t>
      </w:r>
      <w:r w:rsidRPr="00250E0B">
        <w:t>k</w:t>
      </w:r>
      <w:r w:rsidRPr="00250E0B">
        <w:t>samhet har ökat på senare år, vilket vi välkomnar. Ett problem är dock att medlen är knutna till insatser mot hiv/aids. Detta är inte godtagbart vare sig från hivsynpunkt eller från de homo- och bisexuellas och transpersonernas synpunkt. En översyn måste göras som ur ett långsiktigt perspektiv säkerstä</w:t>
      </w:r>
      <w:r w:rsidRPr="00250E0B">
        <w:t>l</w:t>
      </w:r>
      <w:r w:rsidRPr="00250E0B">
        <w:t>ler dessa organisationers verksamhet samt att statsstödet till deras  allmänna verksamhet inte har ekonomisk koppling till statsanslagen avsedda för insa</w:t>
      </w:r>
      <w:r w:rsidRPr="00250E0B">
        <w:t>t</w:t>
      </w:r>
      <w:r w:rsidRPr="00250E0B">
        <w:t xml:space="preserve">ser mot hiv/aids. Detta bör riksdagen som sin mening </w:t>
      </w:r>
      <w:r w:rsidRPr="00250E0B">
        <w:t>ge regeringen till känna.</w:t>
      </w:r>
    </w:p>
    <w:p w:rsidR="00B7124A" w:rsidRPr="00250E0B" w:rsidRDefault="00B7124A">
      <w:pPr>
        <w:pStyle w:val="Rubrik2"/>
        <w:shd w:val="clear" w:color="000000" w:fill="auto"/>
      </w:pPr>
      <w:bookmarkStart w:id="7" w:name="_Toc185144751"/>
      <w:r w:rsidRPr="00250E0B">
        <w:t>Lesbiska och bisexuella kvinnor i vården</w:t>
      </w:r>
      <w:bookmarkEnd w:id="7"/>
    </w:p>
    <w:p w:rsidR="00B7124A" w:rsidRPr="00250E0B" w:rsidRDefault="00B7124A">
      <w:pPr>
        <w:shd w:val="clear" w:color="000000" w:fill="auto"/>
      </w:pPr>
      <w:r w:rsidRPr="00250E0B">
        <w:t>Hälso- och sjukvården har ofta mycket dålig kunskap om lesbiska och bise</w:t>
      </w:r>
      <w:r w:rsidRPr="00250E0B">
        <w:t>x</w:t>
      </w:r>
      <w:r w:rsidRPr="00250E0B">
        <w:t>uella kvinnors situation. Det är också vanligt att lesbiska och bisexuella kvi</w:t>
      </w:r>
      <w:r w:rsidRPr="00250E0B">
        <w:t>n</w:t>
      </w:r>
      <w:r w:rsidRPr="00250E0B">
        <w:t>nor har små kunskaper om sexuell överföring av sjukdomar. Enligt undersö</w:t>
      </w:r>
      <w:r w:rsidRPr="00250E0B">
        <w:t>k</w:t>
      </w:r>
      <w:r w:rsidRPr="00250E0B">
        <w:t>ningar är det endast hälften av lesbiska och bisexuella kvinnor som berättar för gynekologen om sin sexuella läggning. De kommer också i mindre u</w:t>
      </w:r>
      <w:r w:rsidRPr="00250E0B">
        <w:t>t</w:t>
      </w:r>
      <w:r w:rsidRPr="00250E0B">
        <w:t>sträckning till mammografi och cellprovstagningar än andra kvinnor. I Stoc</w:t>
      </w:r>
      <w:r w:rsidRPr="00250E0B">
        <w:t>k</w:t>
      </w:r>
      <w:r w:rsidRPr="00250E0B">
        <w:t>holm har tidigare borgerliga majoriteter i landstinget säkerställt att det finns en särskild mottagning som vänder sig bl.a. till lesbiska</w:t>
      </w:r>
      <w:r w:rsidRPr="00250E0B">
        <w:t xml:space="preserve"> och bisexuella kvi</w:t>
      </w:r>
      <w:r w:rsidRPr="00250E0B">
        <w:t>n</w:t>
      </w:r>
      <w:r w:rsidRPr="00250E0B">
        <w:t>nor, ett initiativ som bör få efterföljare på fler håll i landet. Det behövs mer fakta om lesbiska och bisexuella kvinnors hälsa och behov av information. Socialstyrelsen eller annan myndighet bör på lämpligt sätt agera för att fö</w:t>
      </w:r>
      <w:r w:rsidRPr="00250E0B">
        <w:t>r</w:t>
      </w:r>
      <w:r w:rsidRPr="00250E0B">
        <w:t>bättra kunskapen om hur lesbiska och bisexuella kvinnor bemöts inom hälso- och sjukvården.</w:t>
      </w:r>
    </w:p>
    <w:p w:rsidR="00B7124A" w:rsidRPr="00250E0B" w:rsidRDefault="00B7124A">
      <w:pPr>
        <w:pStyle w:val="Normaltindrag"/>
        <w:shd w:val="clear" w:color="000000" w:fill="auto"/>
      </w:pPr>
      <w:r w:rsidRPr="00250E0B">
        <w:t>Detta bör riksdagen som sin mening ge regeringen till känna.</w:t>
      </w:r>
    </w:p>
    <w:p w:rsidR="00B7124A" w:rsidRPr="00250E0B" w:rsidRDefault="00B7124A">
      <w:pPr>
        <w:pStyle w:val="Rubrik2"/>
        <w:shd w:val="clear" w:color="000000" w:fill="auto"/>
      </w:pPr>
      <w:bookmarkStart w:id="8" w:name="_Toc185144752"/>
      <w:r w:rsidRPr="00250E0B">
        <w:t>Äldre homo- och bisexuella samt transpersoner</w:t>
      </w:r>
      <w:bookmarkEnd w:id="8"/>
    </w:p>
    <w:p w:rsidR="00B7124A" w:rsidRPr="00250E0B" w:rsidRDefault="00B7124A">
      <w:pPr>
        <w:shd w:val="clear" w:color="000000" w:fill="auto"/>
      </w:pPr>
      <w:r w:rsidRPr="00250E0B">
        <w:t>Många äldre homo-, bi- och transsexuella är präglade av en uppväxttid då omvärlden var extremt homofob. Det påverkar deras liv än idag. Samtidigt präglas hela samhället av en ungdomskult och ungdomsdyrkan vilket gör det än svårare för äldre homo-, bisexuella och transpersoner att öppet våga leva det liv de skulle vilja leva. Det finns dessutom en allmänt fördomsfull syn på äldres sexualitet vilket inte gör saken bättre. Det finns vad vi vet idag inte en samlad bild över äldre homo-, bisexuella och transper</w:t>
      </w:r>
      <w:r w:rsidRPr="00250E0B">
        <w:t>soners situation. Vilka är deras behov, hur kan de bäst tillgodoses, finns särskilda problem som må</w:t>
      </w:r>
      <w:r w:rsidRPr="00250E0B">
        <w:t>s</w:t>
      </w:r>
      <w:r w:rsidRPr="00250E0B">
        <w:t>te lösas är frågor som behöver besvaras. Med andra ord, vi behöver forskning som ger oss denna kunskap. Detta bör riksdagen som sin mening ge regerin</w:t>
      </w:r>
      <w:r w:rsidRPr="00250E0B">
        <w:t>g</w:t>
      </w:r>
      <w:r w:rsidRPr="00250E0B">
        <w:t>en till känna.</w:t>
      </w:r>
    </w:p>
    <w:p w:rsidR="00B7124A" w:rsidRPr="00250E0B" w:rsidRDefault="00B7124A">
      <w:pPr>
        <w:pStyle w:val="Rubrik2"/>
        <w:shd w:val="clear" w:color="000000" w:fill="auto"/>
      </w:pPr>
      <w:bookmarkStart w:id="9" w:name="_Toc185144753"/>
      <w:r w:rsidRPr="00250E0B">
        <w:t>Transpersoner</w:t>
      </w:r>
      <w:bookmarkEnd w:id="9"/>
    </w:p>
    <w:p w:rsidR="00B7124A" w:rsidRPr="00250E0B" w:rsidRDefault="00B7124A">
      <w:pPr>
        <w:shd w:val="clear" w:color="000000" w:fill="auto"/>
      </w:pPr>
      <w:r w:rsidRPr="00250E0B">
        <w:t>Till de mest grundläggande egenskaperna i den mänskliga identiteten hör uppfattningen om könstillhörighet. Att den enskilda människans egen könsidentitet skall respekteras låter som en självklarhet. En grupp människor utsätts dock för osynliggörande, diskriminering och i många fall förakt enbart på grund av sin uppfattning om den egna könstillhörigheten eller på grund av den könsroll de väljer att leva efter. Transsexualism är upplevelsen av en motsättning mellan individens biologiska kön och uppfattning o</w:t>
      </w:r>
      <w:r w:rsidRPr="00250E0B">
        <w:t>m den egna könstillhörigheten. Ofta, men inte alltid, känner transsexuella en stark önskan att genom könskorrigerande behandling (det som i vardagslag kallas könsb</w:t>
      </w:r>
      <w:r w:rsidRPr="00250E0B">
        <w:t>y</w:t>
      </w:r>
      <w:r w:rsidRPr="00250E0B">
        <w:t>te) få den egna kroppens utseende att stämma överens med det psykiska k</w:t>
      </w:r>
      <w:r w:rsidRPr="00250E0B">
        <w:t>ö</w:t>
      </w:r>
      <w:r w:rsidRPr="00250E0B">
        <w:t>net. Transsexualism skall inte förväxlas med transvestism, där individen har ett behov av att uttrycka sin identitet i det motsatta könets könsrollsuttryck men är tillfreds med sitt fysiska kön. Intersexualism är termen för det förhå</w:t>
      </w:r>
      <w:r w:rsidRPr="00250E0B">
        <w:t>l</w:t>
      </w:r>
      <w:r w:rsidRPr="00250E0B">
        <w:t>landet att en persons biologiska kön är sv</w:t>
      </w:r>
      <w:r w:rsidRPr="00250E0B">
        <w:t>årbestämt vid födseln. Transpers</w:t>
      </w:r>
      <w:r w:rsidRPr="00250E0B">
        <w:t>o</w:t>
      </w:r>
      <w:r w:rsidRPr="00250E0B">
        <w:t>ner, slutligen, är en samlingsterm för transsexuella, transvestiter, intersexuella och andra personer vars könsidentitet eller könsuttryck helt eller tidvis skiljer sig från det av omvärlden förväntade. De viktigaste bestämmelserna om könsbyte finns i lagen (1972:119) om fastställelse av könstillhörighet i vissa fall. Transsexuella själva har riktat kritik mot denna lag på flera punkter och menar att den i vissa avseenden försvårar deras situation i stället för att unde</w:t>
      </w:r>
      <w:r w:rsidRPr="00250E0B">
        <w:t>r</w:t>
      </w:r>
      <w:r w:rsidRPr="00250E0B">
        <w:t>lätt</w:t>
      </w:r>
      <w:r w:rsidRPr="00250E0B">
        <w:t>a den. Lagen kräver exempelvis att den som skall genomgå fastställelse av ny könstillhörighet (könsbyte) skall vara ogift, något som tvingar många transsexuella till familjesplittring. Det gifta par som vill fortsätta att leva tillsammans efter det att ena parten bytt kön måste alltså först genomgå äkte</w:t>
      </w:r>
      <w:r w:rsidRPr="00250E0B">
        <w:t>n</w:t>
      </w:r>
      <w:r w:rsidRPr="00250E0B">
        <w:t>skapsskillnad och sedan ingå registrerat partnerskap. Ett annat krav som u</w:t>
      </w:r>
      <w:r w:rsidRPr="00250E0B">
        <w:t>p</w:t>
      </w:r>
      <w:r w:rsidRPr="00250E0B">
        <w:t>penbart saknar saklig grund är att patienten måste vara svensk medborgare. Kravet att den som skall genomgå könskorrigerande behandl</w:t>
      </w:r>
      <w:r w:rsidRPr="00250E0B">
        <w:t>ing måste vara ogift och svensk medborgare måste omedelbart avskaffas. Det är därför glä</w:t>
      </w:r>
      <w:r w:rsidRPr="00250E0B">
        <w:t>d</w:t>
      </w:r>
      <w:r w:rsidRPr="00250E0B">
        <w:t>jande att Könstillhörighetsutredningen kommit med sitt betänkande SOU 2007:16 Ändrad könstillhörighet – förslag till ny lag. Förslagen i betänkandet tillfredsställer många av frågorna ovan, men det är av vikt att problematiken kring detta ämne diskuteras ytterligare. Detta bör riksdagen som sin mening ge regeringen till känna.</w:t>
      </w:r>
    </w:p>
    <w:p w:rsidR="00B7124A" w:rsidRPr="00250E0B" w:rsidRDefault="00B7124A">
      <w:pPr>
        <w:pStyle w:val="Normaltindrag"/>
        <w:shd w:val="clear" w:color="000000" w:fill="auto"/>
      </w:pPr>
      <w:r w:rsidRPr="00250E0B">
        <w:t>Även namnlagen ställer till problem. Enligt praxis tillåts inte personer som juridiskt sett är</w:t>
      </w:r>
      <w:r w:rsidRPr="00250E0B">
        <w:t xml:space="preserve"> män att byta till kvinnliga förnamn och vice versa. Denna regel, som för det stora flertalet i befolkningen inte upplevs som något hinder i den personliga tillvaron, upplevs av många transpersoner som en begrän</w:t>
      </w:r>
      <w:r w:rsidRPr="00250E0B">
        <w:t>s</w:t>
      </w:r>
      <w:r w:rsidRPr="00250E0B">
        <w:t>ning i möjligheterna att kunna leva i enlighet med sin identitet. Vi anser att dagens regel saknar principiell grund.</w:t>
      </w:r>
    </w:p>
    <w:p w:rsidR="00B7124A" w:rsidRPr="00250E0B" w:rsidRDefault="00B7124A">
      <w:pPr>
        <w:pStyle w:val="Normaltindrag"/>
        <w:shd w:val="clear" w:color="000000" w:fill="auto"/>
      </w:pPr>
      <w:r w:rsidRPr="00250E0B">
        <w:t>Utgångspunkten för namnlagstiftningen måste vara att vuxna människor som önskar byta förnamn knappast gör det av okynne utan därför att man har djupt kända skäl. När det däremot gäll</w:t>
      </w:r>
      <w:r w:rsidRPr="00250E0B">
        <w:t>er barn under 18 år kräver hänsynen till barnets bästa att det finns särskilda regler. Föräldrar skall alltså inte ha rätt att ge sina barn vilka namn som helst, utan lagstiftningen måste skydda barnets intresse. I ett tillkännagivande från våren 2001 har riksdagen uttalat att dagens namnlag bör ses över i sin helhet (bet. 2000/01:LU11). Till följd av regerin</w:t>
      </w:r>
      <w:r w:rsidRPr="00250E0B">
        <w:t>g</w:t>
      </w:r>
      <w:r w:rsidRPr="00250E0B">
        <w:t>ens passivitet återkom riksdagen med ett nytt tillkännagivande våren 2005 om att regeringen snarast bör ta initiativ till en bred översyn av namnlagen</w:t>
      </w:r>
      <w:r w:rsidRPr="00250E0B">
        <w:t xml:space="preserve"> (bet. 2004/05:LU13). Vi kommer att följa denna fråga och förutsätter att de pr</w:t>
      </w:r>
      <w:r w:rsidRPr="00250E0B">
        <w:t>o</w:t>
      </w:r>
      <w:r w:rsidRPr="00250E0B">
        <w:t>blem som transpersoner upplever med dagens lagstiftning inom kort kommer att uppmärksammas och åtgärdas. Detta bör riksdagen som sin mening ge regeringen till känna.</w:t>
      </w:r>
    </w:p>
    <w:p w:rsidR="00B7124A" w:rsidRPr="00250E0B" w:rsidRDefault="00B7124A">
      <w:pPr>
        <w:pStyle w:val="Normaltindrag"/>
        <w:shd w:val="clear" w:color="000000" w:fill="auto"/>
      </w:pPr>
      <w:r w:rsidRPr="00250E0B">
        <w:t>En särskilt viktig punkt är att hälso- och sjukvården har tillfredsställande resurser för den transsexuelle som söker hjälp. I dag finns öronmärkta utre</w:t>
      </w:r>
      <w:r w:rsidRPr="00250E0B">
        <w:t>d</w:t>
      </w:r>
      <w:r w:rsidRPr="00250E0B">
        <w:t xml:space="preserve">ningsresurser för transsexuella bara på enstaka ställen i landet, och signaler kommer om att det i vissa sjukvårdsregioner finns små möjligheter att ta emot nya patienter. Detta är en mycket utsatt patientgrupp som för sin behandling inte kan vara beroende av eldsjälar på olika mottagningar. Socialstyrelsen bör få i uppdrag att göra en samlad översyn av vilka vårdresurser för transsexuella som finns och lämna de förslag som behövs för att säkerställa en tillräcklig och likvärdig tillgång till vård i olika </w:t>
      </w:r>
      <w:r w:rsidRPr="00250E0B">
        <w:t>delar av landet. Detta bör riksdagen som sin mening ge regeringen till känna.</w:t>
      </w:r>
    </w:p>
    <w:p w:rsidR="00B7124A" w:rsidRPr="00250E0B" w:rsidRDefault="00B7124A">
      <w:pPr>
        <w:pStyle w:val="Normaltindrag"/>
        <w:shd w:val="clear" w:color="000000" w:fill="auto"/>
      </w:pPr>
      <w:r w:rsidRPr="00250E0B">
        <w:t>Den nya lagen om förbud mot diskriminering samt lagen om förbud mot diskriminering i arbetslivet på grund av sexuell läggning ger inget skydd mot diskriminering på grund av transsexualism eller transvestism. Inte heller brottsbalkens förbud mot olaga diskriminering skyddar transpersoner. Vi hälsar därför med tillfredsställelse att den parlamentariska kommitté som gjort en samlad översyn av den svenska diskrimineringslagstiftningen</w:t>
      </w:r>
      <w:r w:rsidRPr="00250E0B">
        <w:t xml:space="preserve"> föreslår att könsidentitet skall göras till diskrimineringsgrund. Transpersoners situ</w:t>
      </w:r>
      <w:r w:rsidRPr="00250E0B">
        <w:t>a</w:t>
      </w:r>
      <w:r w:rsidRPr="00250E0B">
        <w:t>tion i samhället är dock en bredare fråga som inte kan reduceras till diskrim</w:t>
      </w:r>
      <w:r w:rsidRPr="00250E0B">
        <w:t>i</w:t>
      </w:r>
      <w:r w:rsidRPr="00250E0B">
        <w:t>neringsperspektivet. Det handlar, som synes, bl.a. om utformningen av annan lagstiftning men också om kunskaps- och bemötandefrågor m.m. Det behövs en utredning som ur ett helhetsperspektiv skall belysa transpersoners situation i det svenska samhället. Detta bör riksdagen som sin mening ge regeringen till känna.</w:t>
      </w:r>
    </w:p>
    <w:p w:rsidR="00B7124A" w:rsidRPr="00250E0B" w:rsidRDefault="00B7124A">
      <w:pPr>
        <w:pStyle w:val="Rubrik1"/>
        <w:shd w:val="clear" w:color="000000" w:fill="auto"/>
      </w:pPr>
      <w:bookmarkStart w:id="10" w:name="_Toc185144754"/>
      <w:r w:rsidRPr="00250E0B">
        <w:t>Rättstrygghet</w:t>
      </w:r>
      <w:bookmarkEnd w:id="10"/>
    </w:p>
    <w:p w:rsidR="00B7124A" w:rsidRPr="00250E0B" w:rsidRDefault="00B7124A">
      <w:pPr>
        <w:shd w:val="clear" w:color="000000" w:fill="auto"/>
      </w:pPr>
      <w:r w:rsidRPr="00250E0B">
        <w:t>Det är oacceptabelt att våld, hot och diskriminering mot homosexuella, bise</w:t>
      </w:r>
      <w:r w:rsidRPr="00250E0B">
        <w:t>x</w:t>
      </w:r>
      <w:r w:rsidRPr="00250E0B">
        <w:t>uella och transpersoner är vardagliga företeelser. Förtrycket tar sig många uttryck, alltifrån nedsättande omdömen till hot, misshandel och till och med mord. Tidigare studier har pekat på att ungefär var fjärde homo- eller bisex</w:t>
      </w:r>
      <w:r w:rsidRPr="00250E0B">
        <w:t>u</w:t>
      </w:r>
      <w:r w:rsidRPr="00250E0B">
        <w:t>ell person vid minst ett tillfälle har utsatts för brott på grund av sin sexuella läggning, men en undersökning från 2004 av kriminologen Eva Tiby tyder på att andelen snarast är ännu högre. Många föreningar för homosexuella, bise</w:t>
      </w:r>
      <w:r w:rsidRPr="00250E0B">
        <w:t>x</w:t>
      </w:r>
      <w:r w:rsidRPr="00250E0B">
        <w:t>uella och transpersoner är också måltavlor för rik</w:t>
      </w:r>
      <w:r w:rsidRPr="00250E0B">
        <w:t>tad brottslighet. Att männ</w:t>
      </w:r>
      <w:r w:rsidRPr="00250E0B">
        <w:t>i</w:t>
      </w:r>
      <w:r w:rsidRPr="00250E0B">
        <w:t>skor utsätts för brott på grund av sin kärlek eller könsidentitet kan aldrig a</w:t>
      </w:r>
      <w:r w:rsidRPr="00250E0B">
        <w:t>c</w:t>
      </w:r>
      <w:r w:rsidRPr="00250E0B">
        <w:t>cepteras.</w:t>
      </w:r>
    </w:p>
    <w:p w:rsidR="00B7124A" w:rsidRPr="00250E0B" w:rsidRDefault="00B7124A">
      <w:pPr>
        <w:pStyle w:val="Rubrik2"/>
        <w:shd w:val="clear" w:color="000000" w:fill="auto"/>
      </w:pPr>
      <w:bookmarkStart w:id="11" w:name="_Toc185144755"/>
      <w:r w:rsidRPr="00250E0B">
        <w:t>Grundlagsskydd mot diskriminering och hets</w:t>
      </w:r>
      <w:bookmarkEnd w:id="11"/>
    </w:p>
    <w:p w:rsidR="00B7124A" w:rsidRPr="00250E0B" w:rsidRDefault="00B7124A">
      <w:pPr>
        <w:shd w:val="clear" w:color="000000" w:fill="auto"/>
      </w:pPr>
      <w:r w:rsidRPr="00250E0B">
        <w:t>Principen om likhet inför lagen oavsett sexuell läggning eller könsidentitet måste komma till fullt uttryck i landets grundlagar.</w:t>
      </w:r>
    </w:p>
    <w:p w:rsidR="00B7124A" w:rsidRPr="00250E0B" w:rsidRDefault="00B7124A">
      <w:pPr>
        <w:pStyle w:val="Normaltindrag"/>
        <w:shd w:val="clear" w:color="000000" w:fill="auto"/>
      </w:pPr>
      <w:r w:rsidRPr="00250E0B">
        <w:t>Regeringsformens målsättningsparagraf (1 kap. 2 §) fastslår sedan en la</w:t>
      </w:r>
      <w:r w:rsidRPr="00250E0B">
        <w:t>g</w:t>
      </w:r>
      <w:r w:rsidRPr="00250E0B">
        <w:t>ändring 2003 att det allmänna skall motverka diskriminering på grund av bl.a. sexuell läggning, men nämner inte könsidentitet. En sådan åtskillnad signal</w:t>
      </w:r>
      <w:r w:rsidRPr="00250E0B">
        <w:t>e</w:t>
      </w:r>
      <w:r w:rsidRPr="00250E0B">
        <w:t>rar att diskriminering av transpersoner skulle vara mer i sin ordning än diskriminering av homo- och bisexuella, och målsättningsparagrafen behöver därför ses över på denna punkt. Detta bör riksdagen som sin mening ge rege</w:t>
      </w:r>
      <w:r w:rsidRPr="00250E0B">
        <w:t>r</w:t>
      </w:r>
      <w:r w:rsidRPr="00250E0B">
        <w:t>ingen till känna.</w:t>
      </w:r>
    </w:p>
    <w:p w:rsidR="00B7124A" w:rsidRPr="00250E0B" w:rsidRDefault="00B7124A">
      <w:pPr>
        <w:pStyle w:val="Normaltindrag"/>
        <w:shd w:val="clear" w:color="000000" w:fill="auto"/>
      </w:pPr>
      <w:r w:rsidRPr="00250E0B">
        <w:t>Ändringen av målsättningsparagrafen i 1 kap. regeringsformen innebär dock inte något förpliktigande åtagande i lagst</w:t>
      </w:r>
      <w:r w:rsidRPr="00250E0B">
        <w:t>iftningsarbetet. Därför bör homosexuella, bisexuella och transpersoner även omfattas av regeringsfo</w:t>
      </w:r>
      <w:r w:rsidRPr="00250E0B">
        <w:t>r</w:t>
      </w:r>
      <w:r w:rsidRPr="00250E0B">
        <w:t>mens förbud i 2 kap. 15 § mot diskriminerande lagstiftning. Detta bör riksd</w:t>
      </w:r>
      <w:r w:rsidRPr="00250E0B">
        <w:t>a</w:t>
      </w:r>
      <w:r w:rsidRPr="00250E0B">
        <w:t>gen som sin mening ge regeringen till känna.</w:t>
      </w:r>
    </w:p>
    <w:p w:rsidR="00B7124A" w:rsidRPr="00250E0B" w:rsidRDefault="00B7124A">
      <w:pPr>
        <w:pStyle w:val="Normaltindrag"/>
        <w:shd w:val="clear" w:color="000000" w:fill="auto"/>
      </w:pPr>
      <w:r w:rsidRPr="00250E0B">
        <w:t>Grundlagsbestämmelsen om hets mot folkgrupp har utvidgats till att o</w:t>
      </w:r>
      <w:r w:rsidRPr="00250E0B">
        <w:t>m</w:t>
      </w:r>
      <w:r w:rsidRPr="00250E0B">
        <w:t>fatta hets med anspelning på sexuell läggning. Vi hälsar detta med tillfred</w:t>
      </w:r>
      <w:r w:rsidRPr="00250E0B">
        <w:t>s</w:t>
      </w:r>
      <w:r w:rsidRPr="00250E0B">
        <w:t>ställelse, men det är dock bekymmersamt att den lagtekniska utformningen innebär att transpersoner utestängs från skydd mot hets. Den nazistiska hetsen gör inte skillnad på å ena sidan homo- och bisexuella och å andra sidan tran</w:t>
      </w:r>
      <w:r w:rsidRPr="00250E0B">
        <w:t>s</w:t>
      </w:r>
      <w:r w:rsidRPr="00250E0B">
        <w:t>personer. Hets mot grupp med anspelning på könsidentitet bör inkluderas i bestämmelsen om hets mot folkgrupp. Detta bör riksdagen som sin mening ge regeringen till känna.</w:t>
      </w:r>
    </w:p>
    <w:p w:rsidR="00B7124A" w:rsidRPr="00250E0B" w:rsidRDefault="00B7124A">
      <w:pPr>
        <w:pStyle w:val="Rubrik2"/>
        <w:shd w:val="clear" w:color="000000" w:fill="auto"/>
      </w:pPr>
      <w:bookmarkStart w:id="12" w:name="_Toc185144756"/>
      <w:r w:rsidRPr="00250E0B">
        <w:t>Bekämpa hatbrotten</w:t>
      </w:r>
      <w:bookmarkEnd w:id="12"/>
    </w:p>
    <w:p w:rsidR="00B7124A" w:rsidRPr="00250E0B" w:rsidRDefault="00B7124A">
      <w:pPr>
        <w:shd w:val="clear" w:color="000000" w:fill="auto"/>
      </w:pPr>
      <w:r w:rsidRPr="00250E0B">
        <w:t>Som hatbrott räknas brottslighet som helt eller delvis begås för att kränka offret för att han eller hon har en viss hudfärg, religion, sexuell läggning osv. Hatbrott mot homosexuella, bisexuella och transpersoner måste beivras med samma kraft som andra hatbrott. Ändå visar gjorda utredningar från Brottsf</w:t>
      </w:r>
      <w:r w:rsidRPr="00250E0B">
        <w:t>ö</w:t>
      </w:r>
      <w:r w:rsidRPr="00250E0B">
        <w:t>rebyggande rådet på stora brister i rättsväsendets insatser mot hatbrotten.</w:t>
      </w:r>
    </w:p>
    <w:p w:rsidR="00B7124A" w:rsidRPr="00250E0B" w:rsidRDefault="00B7124A">
      <w:pPr>
        <w:pStyle w:val="Normaltindrag"/>
        <w:shd w:val="clear" w:color="000000" w:fill="auto"/>
      </w:pPr>
      <w:r w:rsidRPr="00250E0B">
        <w:t>Det som främst behövs är inte ändrade lagar utan ökade kunskaper och bättre rutiner inom rättsväsendet. Mycket tyder på att vissa utredningar skulle bli effektivare med speciella utredare som har kännedom om homo- och b</w:t>
      </w:r>
      <w:r w:rsidRPr="00250E0B">
        <w:t>i</w:t>
      </w:r>
      <w:r w:rsidRPr="00250E0B">
        <w:t>sexuellas situation. I dag finns inom polismyndigheterna särskilda kontak</w:t>
      </w:r>
      <w:r w:rsidRPr="00250E0B">
        <w:t>t</w:t>
      </w:r>
      <w:r w:rsidRPr="00250E0B">
        <w:t>personer för hatbrott, men inga särskilda utredare. Polisen och övrig personal inom rättsväsendet bör även få ökade kunskaper om homosexuellas, bisexue</w:t>
      </w:r>
      <w:r w:rsidRPr="00250E0B">
        <w:t>l</w:t>
      </w:r>
      <w:r w:rsidRPr="00250E0B">
        <w:t>las och transpersoners situation. Detta bör riksdagen som sin mening ge rege</w:t>
      </w:r>
      <w:r w:rsidRPr="00250E0B">
        <w:t>r</w:t>
      </w:r>
      <w:r w:rsidRPr="00250E0B">
        <w:t>ingen till känna.</w:t>
      </w:r>
    </w:p>
    <w:p w:rsidR="00B7124A" w:rsidRPr="00250E0B" w:rsidRDefault="00B7124A">
      <w:pPr>
        <w:pStyle w:val="Normaltindrag"/>
        <w:shd w:val="clear" w:color="000000" w:fill="auto"/>
      </w:pPr>
      <w:r w:rsidRPr="00250E0B">
        <w:t>Sedan 1994 är det en försvårande omständighet om syftet med brottet är att kränka en person grundat på tillhörighet till folkgrupp m.m. (brottsbalken 29 kap. 2 § första stycket 7). År 2002 f</w:t>
      </w:r>
      <w:r w:rsidRPr="00250E0B">
        <w:t>örtydligades också att bestämmelsen även gäller hatbrott med anspelning på offrets sexuella läggning. Däremot ingår könsidentitet inte i den explicita uppräkningen. Brottsförebyggande rådets studie visar dock att denna s.k. straffskärpningsbestämmelse bara a</w:t>
      </w:r>
      <w:r w:rsidRPr="00250E0B">
        <w:t>n</w:t>
      </w:r>
      <w:r w:rsidRPr="00250E0B">
        <w:t xml:space="preserve">vänts i vart sjunde rättsfall där den kunnat användas. Det är helt oacceptabelt att så är fallet. Dessa brister innebär samtidigt att samhället sänder ut signaler om att hot och våld mot HBT-personer, trots gällande lag, inte är så farligt. Vi vill att </w:t>
      </w:r>
      <w:r w:rsidRPr="00250E0B">
        <w:t>det görs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w:t>
      </w:r>
    </w:p>
    <w:p w:rsidR="00B7124A" w:rsidRPr="00250E0B" w:rsidRDefault="00B7124A">
      <w:pPr>
        <w:pStyle w:val="Normaltindrag"/>
        <w:shd w:val="clear" w:color="000000" w:fill="auto"/>
      </w:pPr>
      <w:r w:rsidRPr="00250E0B">
        <w:t>Rutinerna vid brottsanmälningar måste också bli bättre och en särskild kod för hatbrott bör införas i polisens datoriserade anmälningssystem. Polisen är skyldig att informera brottsoffer om att de, om de så önskar, kan erbju</w:t>
      </w:r>
      <w:r w:rsidRPr="00250E0B">
        <w:t>das hjälp av brottsofferjourer eller andra instanser. I praktiken fungerar denna informationsgivning ojämnt, och det finns också skäl att anta att informati</w:t>
      </w:r>
      <w:r w:rsidRPr="00250E0B">
        <w:t>o</w:t>
      </w:r>
      <w:r w:rsidRPr="00250E0B">
        <w:t>nen, när den ges, normalt endast handlar om jourer i den egna kommunen eller trakten. Samtidigt finns det en särskild brottsofferjour i Stockholm med inriktning på homosexuella, bisexuella och transpersoner och som kan erbj</w:t>
      </w:r>
      <w:r w:rsidRPr="00250E0B">
        <w:t>u</w:t>
      </w:r>
      <w:r w:rsidRPr="00250E0B">
        <w:t>da unik hjälp till personer som utsätts för hatbrott på grund av sin sexuella läggning. På samma sätt finns det ju också brottsoffe</w:t>
      </w:r>
      <w:r w:rsidRPr="00250E0B">
        <w:t>rjourer med särskild etnisk eller språklig profil. Regeringen bör på lämpligt sätt agera för att fö</w:t>
      </w:r>
      <w:r w:rsidRPr="00250E0B">
        <w:t>r</w:t>
      </w:r>
      <w:r w:rsidRPr="00250E0B">
        <w:t>bättra polisens information till brottsoffer som utsätts för hatbrott på grund av sin sexuella läggning eller könsidentitet. Detta bör riksdagen som sin mening ge regeringen till känna.</w:t>
      </w:r>
    </w:p>
    <w:p w:rsidR="00B7124A" w:rsidRPr="00250E0B" w:rsidRDefault="00B7124A">
      <w:pPr>
        <w:pStyle w:val="Normaltindrag"/>
        <w:shd w:val="clear" w:color="000000" w:fill="auto"/>
      </w:pPr>
      <w:r w:rsidRPr="00250E0B">
        <w:t>Vi vill också öka kontakterna mellan polisen och frivilligorganisationer. I dag är det bara i vart femte närpolisområde som det förekommer sådana ko</w:t>
      </w:r>
      <w:r w:rsidRPr="00250E0B">
        <w:t>n</w:t>
      </w:r>
      <w:r w:rsidRPr="00250E0B">
        <w:t>takter, och det sker då främst med invandrarföreningar, muslimska försa</w:t>
      </w:r>
      <w:r w:rsidRPr="00250E0B">
        <w:t>m</w:t>
      </w:r>
      <w:r w:rsidRPr="00250E0B">
        <w:t>lingar m.m. Föreningar för homosexuella, bisexuella och transpersoner tappas ofta bort. Ett rimligt mål är att det inom de närmaste fyra åren etableras for</w:t>
      </w:r>
      <w:r w:rsidRPr="00250E0B">
        <w:t>t</w:t>
      </w:r>
      <w:r w:rsidRPr="00250E0B">
        <w:t>löpande kontakter mellan polisen och frivilligorganisationer i alla närpoliso</w:t>
      </w:r>
      <w:r w:rsidRPr="00250E0B">
        <w:t>m</w:t>
      </w:r>
      <w:r w:rsidRPr="00250E0B">
        <w:t>råden i hela landet, inklusive föreningar för homosexuella, bisexuella och transpersoner där så är relevant. Huvudregeln vid ärekränkningsbrott (dvs. förtal och förolämpning) är att det endast är den målsä</w:t>
      </w:r>
      <w:r w:rsidRPr="00250E0B">
        <w:t>gande själv som kan väcka åtal. När det gäller brott där ärekränkningen anspelar på personens homosexuella läggning (eller ras, hudfärg, nationella eller etniska ursprung eller trosbekännelse) har dock åklagare möjlighet att åtala om det av särskilda skäl anses påkallat från allmän synpunkt. Denna möjlighet finns för att stat</w:t>
      </w:r>
      <w:r w:rsidRPr="00250E0B">
        <w:t>s</w:t>
      </w:r>
      <w:r w:rsidRPr="00250E0B">
        <w:t>makten skall kunna ingripa även mot denna typ av hatbrott, men i praktiken är det mycket tveksamt om möjligheten utnyttjas. Regeringen bör ta initiativ till en översyn av rättsväsendet</w:t>
      </w:r>
      <w:r w:rsidRPr="00250E0B">
        <w:t>s tillämpning av åtalsbestämmelsen i brottsbalken 5 kap. 5 § vad gäller hatbrott. I samband med översynen bör paragrafen också breddas till att omfatta förolämpning med anspelning på sexuell läggning (alltså homo-, bi- eller heterosexualitet) samt könsidentitet och könsident</w:t>
      </w:r>
      <w:r w:rsidRPr="00250E0B">
        <w:t>i</w:t>
      </w:r>
      <w:r w:rsidRPr="00250E0B">
        <w:t>tetsuttryck (t.ex. transvestism eller transsexualism). Detta bör riksdagen som sin mening ge regeringen till känna.</w:t>
      </w:r>
    </w:p>
    <w:p w:rsidR="00B7124A" w:rsidRPr="00250E0B" w:rsidRDefault="00B7124A">
      <w:pPr>
        <w:pStyle w:val="Rubrik2"/>
        <w:shd w:val="clear" w:color="000000" w:fill="auto"/>
      </w:pPr>
      <w:bookmarkStart w:id="13" w:name="_Toc185144757"/>
      <w:r w:rsidRPr="00250E0B">
        <w:t>Bredda insatserna mot hedersrelaterade brott</w:t>
      </w:r>
      <w:bookmarkEnd w:id="13"/>
    </w:p>
    <w:p w:rsidR="00B7124A" w:rsidRPr="00250E0B" w:rsidRDefault="00B7124A">
      <w:pPr>
        <w:shd w:val="clear" w:color="000000" w:fill="auto"/>
      </w:pPr>
      <w:r w:rsidRPr="00250E0B">
        <w:t>Det patriarkalt färgade våldet mot familjemedlemmar som bryter könsroll</w:t>
      </w:r>
      <w:r w:rsidRPr="00250E0B">
        <w:t>s</w:t>
      </w:r>
      <w:r w:rsidRPr="00250E0B">
        <w:t>mönstren drabbar inte bara unga kvinnor som själva vill välja en man att leva tillsammans med. Det förekommer också att s.k. hedersbrott riktar sig mot familjemedlemmar som väljer att öppet stå för sin homosexualitet eller ka</w:t>
      </w:r>
      <w:r w:rsidRPr="00250E0B">
        <w:t>n</w:t>
      </w:r>
      <w:r w:rsidRPr="00250E0B">
        <w:t>ske sin transsexualism. Detta är en lika allvarlig kränkning av individens rättigheter som all annan hedersrelaterad brottslighet. Behovet av stöd och hjälp från myndigheterna, t.ex. i form av adekvata åtgärder från skolans sida eller skyddat boende för ungdomar som hotas av sina fami</w:t>
      </w:r>
      <w:r w:rsidRPr="00250E0B">
        <w:t>ljer, är också de</w:t>
      </w:r>
      <w:r w:rsidRPr="00250E0B">
        <w:t>t</w:t>
      </w:r>
      <w:r w:rsidRPr="00250E0B">
        <w:t>samma. Genomförandet av den fortsatta satsningen mot hedersrelaterade brott måste följas uppmärksamt så att inte frågor kring hedersrelaterade brott på grund av en människas sexuella läggning tappas bort. Vi anser också att arb</w:t>
      </w:r>
      <w:r w:rsidRPr="00250E0B">
        <w:t>e</w:t>
      </w:r>
      <w:r w:rsidRPr="00250E0B">
        <w:t>tet mot hedersrelaterad brottslighet även måste uppmärksamma brott på grund av en familjemedlems könsidentitet. Detta bör riksdagen som sin mening ge regeringen till känna.</w:t>
      </w:r>
    </w:p>
    <w:p w:rsidR="00B7124A" w:rsidRPr="00250E0B" w:rsidRDefault="00B7124A">
      <w:pPr>
        <w:pStyle w:val="Rubrik2"/>
        <w:shd w:val="clear" w:color="000000" w:fill="auto"/>
      </w:pPr>
      <w:bookmarkStart w:id="14" w:name="_Toc185144758"/>
      <w:r w:rsidRPr="00250E0B">
        <w:t>Öka kunskapen om samkönat partnervåld</w:t>
      </w:r>
      <w:bookmarkEnd w:id="14"/>
    </w:p>
    <w:p w:rsidR="00B7124A" w:rsidRPr="00250E0B" w:rsidRDefault="00B7124A">
      <w:pPr>
        <w:shd w:val="clear" w:color="000000" w:fill="auto"/>
      </w:pPr>
      <w:r w:rsidRPr="00250E0B">
        <w:t>Kvinnor eller män som lever i samkönade förhållanden drabbas av allt att döma av partnerrelaterat våld i samma utsträckning som kvinnor som lever i förhållanden med män. Att döma av det utrymme våld inom samkönade pa</w:t>
      </w:r>
      <w:r w:rsidRPr="00250E0B">
        <w:t>r</w:t>
      </w:r>
      <w:r w:rsidRPr="00250E0B">
        <w:t>relationer har fått i t.ex. massmedier förekommer inte något sådant våld alls. Tyvärr överensstämmer inte denna bild med verkligheten, vilket bl.a. up</w:t>
      </w:r>
      <w:r w:rsidRPr="00250E0B">
        <w:t>p</w:t>
      </w:r>
      <w:r w:rsidRPr="00250E0B">
        <w:t xml:space="preserve">märksammas i skriften Kvinna slår kvinna, man slår man från Nationellt råd för kvinnofrid. Det samkönade partnervåldet följer samma mönster som råder inom olikkönade parförhållanden med en blandning av kontroll, hot och terror och förlöjligande utöver det fysiska våldet. Dessutom kan ett antal särskilda faktorer förstärka den drabbades motstånd mot att söka </w:t>
      </w:r>
      <w:r w:rsidRPr="00250E0B">
        <w:t>hjälp eller göra en polisanmälan, t.ex. rädsla för att möta förakt eller oförstående från omgi</w:t>
      </w:r>
      <w:r w:rsidRPr="00250E0B">
        <w:t>v</w:t>
      </w:r>
      <w:r w:rsidRPr="00250E0B">
        <w:t>ningen på grund av den sexuella läggningen. Eller delvis på grund av att våld inom samkönade parförhållanden sällan nämns en tro att sådant våld inte existerar, som bidrar till en ökad skuldbeläggning av offret självt. Samhällets insatser mot våld inom samkönade relationer brister ibland därför att det sa</w:t>
      </w:r>
      <w:r w:rsidRPr="00250E0B">
        <w:t>k</w:t>
      </w:r>
      <w:r w:rsidRPr="00250E0B">
        <w:t>nas kunskap och förmåga att förstå att det rör sig om partnerrelaterat våld. För att motverka detta krävs fram</w:t>
      </w:r>
      <w:r w:rsidRPr="00250E0B">
        <w:t>för allt utbildningsinsatser inom sjukvården, socialtjänsten samt inom polisen och rättsvårdande myndigheter. Detta bör riksdagen som sin mening ge regeringen till känna.</w:t>
      </w:r>
    </w:p>
    <w:p w:rsidR="00B7124A" w:rsidRPr="00250E0B" w:rsidRDefault="00B7124A">
      <w:pPr>
        <w:pStyle w:val="Rubrik1"/>
        <w:shd w:val="clear" w:color="000000" w:fill="auto"/>
      </w:pPr>
      <w:bookmarkStart w:id="15" w:name="_Toc185144759"/>
      <w:r w:rsidRPr="00250E0B">
        <w:t>Idrott</w:t>
      </w:r>
      <w:bookmarkEnd w:id="15"/>
    </w:p>
    <w:p w:rsidR="00B7124A" w:rsidRPr="00250E0B" w:rsidRDefault="00B7124A">
      <w:pPr>
        <w:shd w:val="clear" w:color="000000" w:fill="auto"/>
      </w:pPr>
      <w:r w:rsidRPr="00250E0B">
        <w:t>Homosexualitet och idrott har blivit uppmärksammat den senaste tiden. Många homosexuella har mött rädsla, fördomar och även våld i sitt idrottsu</w:t>
      </w:r>
      <w:r w:rsidRPr="00250E0B">
        <w:t>t</w:t>
      </w:r>
      <w:r w:rsidRPr="00250E0B">
        <w:t>övande. I en rapport från Ungdomsstyrelsen redovisar mer än var tionde pojke på elitnivå att deras tränare ”inte verkar gilla homosexuella”. Sådana attityder är givetvis inte acceptabla och strider mot samhällets strävan att motverka diskriminering av HBT-personer. Då idrottsrörelsen får betydande bidrag från staten är det viktigt att man också aktivt arbetar för att bekämpa homofobi och diskriminering. Ett sådant arbete bör vara en utgångspunkt för bidrag</w:t>
      </w:r>
      <w:r w:rsidRPr="00250E0B">
        <w:t>s</w:t>
      </w:r>
      <w:r w:rsidRPr="00250E0B">
        <w:t>givningen och reglerna anpassas härtill. Detta bör</w:t>
      </w:r>
      <w:r w:rsidRPr="00250E0B">
        <w:t xml:space="preserve"> ges regeringen till känna.</w:t>
      </w:r>
    </w:p>
    <w:p w:rsidR="00B7124A" w:rsidRPr="00250E0B" w:rsidRDefault="00B7124A">
      <w:pPr>
        <w:pStyle w:val="Rubrik1"/>
        <w:shd w:val="clear" w:color="000000" w:fill="auto"/>
      </w:pPr>
      <w:bookmarkStart w:id="16" w:name="_Toc185144760"/>
      <w:r w:rsidRPr="00250E0B">
        <w:t>Global solidaritet</w:t>
      </w:r>
      <w:bookmarkEnd w:id="16"/>
    </w:p>
    <w:p w:rsidR="00B7124A" w:rsidRPr="00250E0B" w:rsidRDefault="00B7124A">
      <w:pPr>
        <w:shd w:val="clear" w:color="000000" w:fill="auto"/>
      </w:pPr>
      <w:r w:rsidRPr="00250E0B">
        <w:t>Algeriet, Brunei, Cooköarna, Djibouti, Etiopien, Fiji, Gambia, Ghana, Iran, Jamaica, Kenya, Libyen, Malaysia, Nepal, Oman, Pakistan, Saudiarabien, Tanzania, Uzbekistan, Västra Samoa och Zimbabwe är några av de länder där det fortfarande är ett brott att älska med någon av samma kön. Det finns också länder, bl.a. Iran, där det förekommer dödsstraff för homosexuella handlingar. Förtrycket mot transpersoner är utbrett i många länder. Trots många kva</w:t>
      </w:r>
      <w:r w:rsidRPr="00250E0B">
        <w:t>r</w:t>
      </w:r>
      <w:r w:rsidRPr="00250E0B">
        <w:t>dröjande fördomar och juridiska tillkortakommanden kan Sverige ändå räkna sig till de länder där situationen för homosexuella, bisexuella och transpers</w:t>
      </w:r>
      <w:r w:rsidRPr="00250E0B">
        <w:t>o</w:t>
      </w:r>
      <w:r w:rsidRPr="00250E0B">
        <w:t>ner är relativt god. Vårt ansvar för att uppmärksamma förtrycket i andra lä</w:t>
      </w:r>
      <w:r w:rsidRPr="00250E0B">
        <w:t>n</w:t>
      </w:r>
      <w:r w:rsidRPr="00250E0B">
        <w:t>der blir därför desto större. Arbetet för de mänskliga rättigheterna är en hör</w:t>
      </w:r>
      <w:r w:rsidRPr="00250E0B">
        <w:t>n</w:t>
      </w:r>
      <w:r w:rsidRPr="00250E0B">
        <w:t>sten i utrikespolitiken och inkluderar arbetet för homosexuellas, bisexuellas och transpersoners rättigheter. De länder som hunnit längst på vägen mot sexuellt likaberättigande är samtliga demokratiska ma</w:t>
      </w:r>
      <w:r w:rsidRPr="00250E0B">
        <w:t>rknadsekonomier. Det är ingen slump. För att kunna ifrågasätta fördomar och samhälleligt förtryck krävs yttrande- och organisationsfrihet men också äganderätt och näringsfr</w:t>
      </w:r>
      <w:r w:rsidRPr="00250E0B">
        <w:t>i</w:t>
      </w:r>
      <w:r w:rsidRPr="00250E0B">
        <w:t>het, så att individer kan starta föreningar, grunda tidningar och starta nöje</w:t>
      </w:r>
      <w:r w:rsidRPr="00250E0B">
        <w:t>s</w:t>
      </w:r>
      <w:r w:rsidRPr="00250E0B">
        <w:t>ställen även när statsmakterna betraktar förehavandena som omoraliska. A</w:t>
      </w:r>
      <w:r w:rsidRPr="00250E0B">
        <w:t>r</w:t>
      </w:r>
      <w:r w:rsidRPr="00250E0B">
        <w:t>betet för respekt och lika rättigheter oavsett sexuell läggning eller könsident</w:t>
      </w:r>
      <w:r w:rsidRPr="00250E0B">
        <w:t>i</w:t>
      </w:r>
      <w:r w:rsidRPr="00250E0B">
        <w:t>tet måste alltså förenas med arbetet för mänskliga rättigheter i stort.</w:t>
      </w:r>
    </w:p>
    <w:p w:rsidR="00B7124A" w:rsidRPr="00250E0B" w:rsidRDefault="00B7124A">
      <w:pPr>
        <w:pStyle w:val="Rubrik2"/>
        <w:shd w:val="clear" w:color="000000" w:fill="auto"/>
      </w:pPr>
      <w:bookmarkStart w:id="17" w:name="_Toc185144761"/>
      <w:r w:rsidRPr="00250E0B">
        <w:t>Förenta nationerna</w:t>
      </w:r>
      <w:bookmarkEnd w:id="17"/>
    </w:p>
    <w:p w:rsidR="00B7124A" w:rsidRPr="00250E0B" w:rsidRDefault="00B7124A">
      <w:pPr>
        <w:shd w:val="clear" w:color="000000" w:fill="auto"/>
      </w:pPr>
      <w:r w:rsidRPr="00250E0B">
        <w:t>En diskussion om lämpligaste metoderna att verka globalt mot förtryck av homosexuella, bisexuella och transpersoner måste ta sin utgångspunkt i de mänskliga rättigheterna och de konventioner som skall skydda och garantera dessa rättigheter. I dag är arbetet splittrat och fokuseras ofta på incidenter i enskilda länder snarare än på de övergripande mönster och värdesystem som upprätthåller diskriminering och förtryck. Det finns inte heller något intern</w:t>
      </w:r>
      <w:r w:rsidRPr="00250E0B">
        <w:t>a</w:t>
      </w:r>
      <w:r w:rsidRPr="00250E0B">
        <w:t>tionellt människorättsorgan som har som särskild uppgift att bevaka förtryck på grund av sexuell läggning eller könsidentitet.</w:t>
      </w:r>
    </w:p>
    <w:p w:rsidR="00B7124A" w:rsidRPr="00250E0B" w:rsidRDefault="00B7124A">
      <w:pPr>
        <w:pStyle w:val="Normaltindrag"/>
        <w:shd w:val="clear" w:color="000000" w:fill="auto"/>
      </w:pPr>
      <w:r w:rsidRPr="00250E0B">
        <w:t>Det är därför dags att ta ett nytt steg. På samma sätt som det finns intern</w:t>
      </w:r>
      <w:r w:rsidRPr="00250E0B">
        <w:t>a</w:t>
      </w:r>
      <w:r w:rsidRPr="00250E0B">
        <w:t>tionella konventioner för minoriteters rättigheter och för att undanröja all diskriminering av kvinnor bör det finnas en internationell konvention för att undanröja all diskriminering på grund av sexuell läggning eller könsidentitet. En internationell konvention har flera viktiga fördelar. För det första skulle den förstås i sig vara en kraftfull markering av att människorätten är unive</w:t>
      </w:r>
      <w:r w:rsidRPr="00250E0B">
        <w:t>r</w:t>
      </w:r>
      <w:r w:rsidRPr="00250E0B">
        <w:t xml:space="preserve">sell inte bara oavsett t.ex. nationalitet, kön eller religion, utan även oavsett sexuell läggning och könsidentitet. För </w:t>
      </w:r>
      <w:r w:rsidRPr="00250E0B">
        <w:t>det andra skulle den vara en allmänt erkänd internationell standard som kan underlätta reformarbetet i de länder där det finns en politisk vilja att avskaffa diskriminering. För det tredje skulle uppföljningen och tillsynen av konventionens efterlevnad utgöra en värdefull internationell bevakning av området. Konventionen bör ta sin utgångspunkt i FN:s förklaring om de mänskliga rättigheterna och FN:s konventioner om medborgerliga, politiska ekonomiska och sociala rättigheter. Det är därför naturligt att den</w:t>
      </w:r>
      <w:r w:rsidRPr="00250E0B">
        <w:t xml:space="preserve"> ingår i FN:s konventionssystem. Innehållet bör innefatta vissa minimikrav på konventionsstaternas straff-, organisations-, mötes- och tryckfrihetslagstiftning samt vissa minimiåtaganden vad gäller familjerättsligt erkännande av samkönade relationer samt medborgares diskrimineringsskydd gentemot det allmänna. Konventionsstaterna bör också vara förhindrade att införa ny lagstiftning som särbehandlar medborgare med avseende på sexuell läggning eller könsidentitet.</w:t>
      </w:r>
    </w:p>
    <w:p w:rsidR="00B7124A" w:rsidRPr="00250E0B" w:rsidRDefault="00B7124A">
      <w:pPr>
        <w:pStyle w:val="Normaltindrag"/>
        <w:shd w:val="clear" w:color="000000" w:fill="auto"/>
      </w:pPr>
      <w:r w:rsidRPr="00250E0B">
        <w:t>I en samtid när FN-systemet endast med stor s</w:t>
      </w:r>
      <w:r w:rsidRPr="00250E0B">
        <w:t>vårighet förmår diskutera frågor kring sexualitet i allmänhet och homosexualitet i synnerhet kan det tyckas utopiskt att föreslå en sådan FN-konvention. Vi menar dock att det är viktigt att ha en tydlig vision och sätta upp tydliga mål, även när det inte ve</w:t>
      </w:r>
      <w:r w:rsidRPr="00250E0B">
        <w:t>r</w:t>
      </w:r>
      <w:r w:rsidRPr="00250E0B">
        <w:t>kar möjligt att förverkliga målen inom den närmaste tiden. Ett första steg mot en konvention är att tillsammans med andra länder verka för en resolution i FN:s kommission för de mänskliga rättigheterna mot förtryck på grund av sexuell läggning och könsid</w:t>
      </w:r>
      <w:r w:rsidRPr="00250E0B">
        <w:t>entitet. Sverige bör därför snarast ta ett intern</w:t>
      </w:r>
      <w:r w:rsidRPr="00250E0B">
        <w:t>a</w:t>
      </w:r>
      <w:r w:rsidRPr="00250E0B">
        <w:t>tionellt initiativ på lämpligt sätt i denna fråga. Detta bör riksdagen som sin mening ge regeringen till känna.</w:t>
      </w:r>
    </w:p>
    <w:p w:rsidR="00B7124A" w:rsidRPr="00250E0B" w:rsidRDefault="00B7124A">
      <w:pPr>
        <w:pStyle w:val="Normaltindrag"/>
        <w:shd w:val="clear" w:color="000000" w:fill="auto"/>
      </w:pPr>
      <w:r w:rsidRPr="00250E0B">
        <w:t>Sverige bör också agera inom FN-systemet på annat sätt för att föra in h</w:t>
      </w:r>
      <w:r w:rsidRPr="00250E0B">
        <w:t>o</w:t>
      </w:r>
      <w:r w:rsidRPr="00250E0B">
        <w:t>mosexuellas, bisexuellas och transpersoners situation på dagordningen. Bland annat bör Sverige driva på för att frivilligorganisationer som arbetar för h</w:t>
      </w:r>
      <w:r w:rsidRPr="00250E0B">
        <w:t>o</w:t>
      </w:r>
      <w:r w:rsidRPr="00250E0B">
        <w:t>mosexuellas, bisexuellas och transpersoners rättigheter blir delaktiga i FN-systemet på samma sätt som andra organisationer, t.ex. genom konsultativ status vid FN:s ekonomiska och sociala kommitté Ecosoc. Likaså bör Sverige verka för att FN:s utvecklingsprogram UNDP uppmärksammar HBT-frågor i sin årliga kartläggning av utvecklingssituationen i världens lä</w:t>
      </w:r>
      <w:r w:rsidRPr="00250E0B">
        <w:t>nder. Detta bör riksdagen som sin mening ge regeringen till känna.</w:t>
      </w:r>
    </w:p>
    <w:p w:rsidR="00B7124A" w:rsidRPr="00250E0B" w:rsidRDefault="00B7124A">
      <w:pPr>
        <w:pStyle w:val="Rubrik2"/>
        <w:shd w:val="clear" w:color="000000" w:fill="auto"/>
      </w:pPr>
      <w:bookmarkStart w:id="18" w:name="_Toc185144762"/>
      <w:r w:rsidRPr="00250E0B">
        <w:t>Europeiska unionen</w:t>
      </w:r>
      <w:bookmarkEnd w:id="18"/>
    </w:p>
    <w:p w:rsidR="00B7124A" w:rsidRPr="00250E0B" w:rsidRDefault="00B7124A">
      <w:pPr>
        <w:shd w:val="clear" w:color="000000" w:fill="auto"/>
      </w:pPr>
      <w:r w:rsidRPr="00250E0B">
        <w:t>Även om den juridiska särbehandlingen och det sociala förtrycket är utbrett i många av EU:s nya medlemsländer har EU-samarbetet redan medfört en dramatisk förbättring av situationen för homosexuella, bisexuella och tran</w:t>
      </w:r>
      <w:r w:rsidRPr="00250E0B">
        <w:t>s</w:t>
      </w:r>
      <w:r w:rsidRPr="00250E0B">
        <w:t>personer i EU:s nya och blivande medlemsstater. Redan i de s.k. Köpe</w:t>
      </w:r>
      <w:r w:rsidRPr="00250E0B">
        <w:t>n</w:t>
      </w:r>
      <w:r w:rsidRPr="00250E0B">
        <w:t>hamnskriterierna från 1993 slog EU:s medlemsländer fast att nya medlem</w:t>
      </w:r>
      <w:r w:rsidRPr="00250E0B">
        <w:t>s</w:t>
      </w:r>
      <w:r w:rsidRPr="00250E0B">
        <w:t>stater inte bara måste klara den ekonomiska anpassningen till unionen utan också leva upp till mycket höga krav på respekt för mänskliga rättigheter. EU har också understrukit att de mänskliga rättigheterna gäller lika oavsett mä</w:t>
      </w:r>
      <w:r w:rsidRPr="00250E0B">
        <w:t>n</w:t>
      </w:r>
      <w:r w:rsidRPr="00250E0B">
        <w:t>niskors sexuella läggning. Detta ledde till att samtliga länder som knackat på EU:s dörr har avskaffat återstående totalförbud mot homosexual</w:t>
      </w:r>
      <w:r w:rsidRPr="00250E0B">
        <w:t>itet, och man har också rensat upp i annan diskriminerande lagstiftning, såsom förbud mot homosexuellas organisationer eller olika åldersgränser för homosexuella och heterosexuella relationer. I och med Amsterdamfördraget år 1997 har EU också skaffat sig en legal grund för att arbeta mot diskriminering på grund av sexuell läggning. Med stöd av fördragets artikel 13 kan rådet vidta lämpliga åtgärder för ett bekämpa diskriminering på grund av kön, ras, etniskt u</w:t>
      </w:r>
      <w:r w:rsidRPr="00250E0B">
        <w:t>r</w:t>
      </w:r>
      <w:r w:rsidRPr="00250E0B">
        <w:t>sprung, religion eller övertygelse, funktionshi</w:t>
      </w:r>
      <w:r w:rsidRPr="00250E0B">
        <w:t>nder, ålder eller sexuell läg</w:t>
      </w:r>
      <w:r w:rsidRPr="00250E0B">
        <w:t>g</w:t>
      </w:r>
      <w:r w:rsidRPr="00250E0B">
        <w:t>ning. Ännu en byggsten lades i och med EU-stadgan om de grundläggande rättigheterna, som antogs vid toppmötet i Nice 2000. Av stadgans artikel 21.1 framgår att all diskriminering på grund av bl.a. kön, ras, hudfärg, etniskt eller socialt ursprung, genetiska särdrag, språk, religion eller övertygelse, politisk eller annan åskådning, tillhörighet till nationell minoritet, förmögenhet, börd, funktionshinder, ålder eller sexuell läggning skall vara förbjuden.</w:t>
      </w:r>
    </w:p>
    <w:p w:rsidR="00B7124A" w:rsidRPr="00250E0B" w:rsidRDefault="00B7124A">
      <w:pPr>
        <w:pStyle w:val="Normaltindrag"/>
        <w:shd w:val="clear" w:color="000000" w:fill="auto"/>
      </w:pPr>
      <w:r w:rsidRPr="00250E0B">
        <w:t>Det finns fler steg fö</w:t>
      </w:r>
      <w:r w:rsidRPr="00250E0B">
        <w:t>r EU att ta vad gäller homosexuellas, bisexuellas och transpersoners situation, och Sverige bör här spela en pådrivande roll. Några exempel: Regelverket om fri rörlighet för privatpersoner ger i dag en mer förmånlig behandling åt heterosexuella, eftersom den EU-medborgare som med tryggad försörjning bosätter sig i ett annat EU-land endast har en gen</w:t>
      </w:r>
      <w:r w:rsidRPr="00250E0B">
        <w:t>e</w:t>
      </w:r>
      <w:r w:rsidRPr="00250E0B">
        <w:t>rell rätt att låta livskamraten flytta med om denna är en äkta make eller maka.</w:t>
      </w:r>
    </w:p>
    <w:p w:rsidR="00B7124A" w:rsidRPr="00250E0B" w:rsidRDefault="00B7124A">
      <w:pPr>
        <w:pStyle w:val="Normaltindrag"/>
        <w:shd w:val="clear" w:color="000000" w:fill="auto"/>
      </w:pPr>
      <w:r w:rsidRPr="00250E0B">
        <w:t>Registrerade partner eller sambor har ingen generell rätt att följa med. Den öve</w:t>
      </w:r>
      <w:r w:rsidRPr="00250E0B">
        <w:t>renskommelse som medlemsstaterna nådde 2003 och som godkändes av Europaparlamentet 2004 innebär vissa förbättringar men upphäver inte den grundläggande särbehandlingen. Den svenska regeringen bör därför verka för att regelverket om fri rörlighet i EU blir icke-diskriminerande med avseende på sexuell läggning. Detta bör riksdagen som sin mening ge regeringen till känna.</w:t>
      </w:r>
    </w:p>
    <w:p w:rsidR="00B7124A" w:rsidRPr="00250E0B" w:rsidRDefault="00B7124A">
      <w:pPr>
        <w:pStyle w:val="Normaltindrag"/>
        <w:shd w:val="clear" w:color="000000" w:fill="auto"/>
      </w:pPr>
      <w:r w:rsidRPr="00250E0B">
        <w:t>Det är angeläget att Sverige i detta sammanhang verkar för att Köpe</w:t>
      </w:r>
      <w:r w:rsidRPr="00250E0B">
        <w:t>n</w:t>
      </w:r>
      <w:r w:rsidRPr="00250E0B">
        <w:t>hamnskriterierna efterföljs och att blivande medlemsländer således måste respektera de mänskliga rättigheterna, inklusive homosexuellas, bisexuellas och transpersoners grundläggande rättigheter. Detta bör riksdagen som sin mening ge regeringen till känna. EU:s insatser för att motverka diskrimin</w:t>
      </w:r>
      <w:r w:rsidRPr="00250E0B">
        <w:t>e</w:t>
      </w:r>
      <w:r w:rsidRPr="00250E0B">
        <w:t>ring har hittills i mycket begränsad utsträckning uppmärksammat diskrimin</w:t>
      </w:r>
      <w:r w:rsidRPr="00250E0B">
        <w:t>e</w:t>
      </w:r>
      <w:r w:rsidRPr="00250E0B">
        <w:t xml:space="preserve">ring på grund av sexuell läggning eller könsidentitet. Händelserna den senaste tiden i länder som Polen och Lettland har visat att flera av </w:t>
      </w:r>
      <w:r w:rsidRPr="00250E0B">
        <w:t>de nya medlem</w:t>
      </w:r>
      <w:r w:rsidRPr="00250E0B">
        <w:t>s</w:t>
      </w:r>
      <w:r w:rsidRPr="00250E0B">
        <w:t>länderna inte har accepterat EU:s officiella synsätt att motverka diskrimin</w:t>
      </w:r>
      <w:r w:rsidRPr="00250E0B">
        <w:t>e</w:t>
      </w:r>
      <w:r w:rsidRPr="00250E0B">
        <w:t>ring av HBT-personer. Sverige bör på lämpligt sätt agera inom EU för att framtida satsningar mot diskriminering på ett bättre sätt beaktar sådan diskr</w:t>
      </w:r>
      <w:r w:rsidRPr="00250E0B">
        <w:t>i</w:t>
      </w:r>
      <w:r w:rsidRPr="00250E0B">
        <w:t>minering. Särskilt viktigt är det att beakta de stora behov som finns i EU:s nya medlemsländer. Detta bör riksdagen som sin mening ge regeringen till känna. Europeiska unionens olika organ är också en stor arbetsgivare. Fortf</w:t>
      </w:r>
      <w:r w:rsidRPr="00250E0B">
        <w:t>a</w:t>
      </w:r>
      <w:r w:rsidRPr="00250E0B">
        <w:t>rande förekommer regler som särbehandlar homo</w:t>
      </w:r>
      <w:r w:rsidRPr="00250E0B">
        <w:t>- och bisexuella negativt när det gäller anhörigförmåner och andra familjerelaterade bestämmelser. Här har Sverige ett ansvar att agera för likabehandling oavsett sexuell läggning. Mo</w:t>
      </w:r>
      <w:r w:rsidRPr="00250E0B">
        <w:t>t</w:t>
      </w:r>
      <w:r w:rsidRPr="00250E0B">
        <w:t>svarande gäller givetvis också i andra internationella organ på europeisk eller global nivå. Detta bör riksdagen som sin mening ge regeringen till känna.</w:t>
      </w:r>
    </w:p>
    <w:p w:rsidR="00B7124A" w:rsidRPr="00250E0B" w:rsidRDefault="00B7124A">
      <w:pPr>
        <w:pStyle w:val="Rubrik2"/>
        <w:shd w:val="clear" w:color="000000" w:fill="auto"/>
      </w:pPr>
      <w:bookmarkStart w:id="19" w:name="_Toc185144763"/>
      <w:r w:rsidRPr="00250E0B">
        <w:t>Europarådet och OSSE</w:t>
      </w:r>
      <w:bookmarkEnd w:id="19"/>
    </w:p>
    <w:p w:rsidR="00B7124A" w:rsidRPr="00250E0B" w:rsidRDefault="00B7124A">
      <w:pPr>
        <w:shd w:val="clear" w:color="000000" w:fill="auto"/>
      </w:pPr>
      <w:r w:rsidRPr="00250E0B">
        <w:t>Europarådet och OSSE har en viktig roll att spela för att stärka de mänskliga rättigheterna, inte minst i de delar av Europa som inte ingår i EU eller är ka</w:t>
      </w:r>
      <w:r w:rsidRPr="00250E0B">
        <w:t>n</w:t>
      </w:r>
      <w:r w:rsidRPr="00250E0B">
        <w:t>didatländer till EU. Situationen för HBT-personer i Ryssland är mycket b</w:t>
      </w:r>
      <w:r w:rsidRPr="00250E0B">
        <w:t>e</w:t>
      </w:r>
      <w:r w:rsidRPr="00250E0B">
        <w:t>kymmersam. Det förekommer ett aktivt motarbetande av HBT-personers rättigheter, och i exempelvis Moskva har de lokala myndigheterna förbjudit Pride-firande. Situationen i länderna i södra Kaukasien kännetecknas av bristande förståelse för HBT-personers mänskliga rättigheter. Också i länder som Ukraina och Makedonien finns stora brister. Den svenska regeringen bör aktivt verka för att homosexuellas, bisexuellas och transpersoners rätti</w:t>
      </w:r>
      <w:r w:rsidRPr="00250E0B">
        <w:t>gheter uppmärksammas i detta sammanhang. Detta bör riksdagen som sin mening ge regeringen till känna.</w:t>
      </w:r>
    </w:p>
    <w:p w:rsidR="00B7124A" w:rsidRPr="00250E0B" w:rsidRDefault="00B7124A">
      <w:pPr>
        <w:pStyle w:val="Rubrik2"/>
        <w:shd w:val="clear" w:color="000000" w:fill="auto"/>
      </w:pPr>
      <w:bookmarkStart w:id="20" w:name="_Toc185144764"/>
      <w:r w:rsidRPr="00250E0B">
        <w:t>Sveriges bilaterala bistånd</w:t>
      </w:r>
      <w:bookmarkEnd w:id="20"/>
    </w:p>
    <w:p w:rsidR="00B7124A" w:rsidRPr="00250E0B" w:rsidRDefault="00B7124A">
      <w:pPr>
        <w:shd w:val="clear" w:color="000000" w:fill="auto"/>
      </w:pPr>
      <w:r w:rsidRPr="00250E0B">
        <w:t>Sverige ger bistånd till utvecklingsländer där grundläggande mänskliga rä</w:t>
      </w:r>
      <w:r w:rsidRPr="00250E0B">
        <w:t>t</w:t>
      </w:r>
      <w:r w:rsidRPr="00250E0B">
        <w:t>tigheter för homosexuella, bisexuella och transpersoner kränks systematiskt. Vi anser att Sverige i samband med biståndsgivning skall ta upp en diskussion med berört land kring mänskliga rättigheter, och då även HBT-personers grundläggande rättigheter, i den anda som FN:s konvention om de mänskliga rättigheterna står för. Demokratimålet för det svenska biståndet måste också ta sikte på homosexuellas, bisexuellas och transpersoners mänskliga rättigh</w:t>
      </w:r>
      <w:r w:rsidRPr="00250E0B">
        <w:t>e</w:t>
      </w:r>
      <w:r w:rsidRPr="00250E0B">
        <w:t>ter. I en handlingsplan som upprättats av Sida, när det gä</w:t>
      </w:r>
      <w:r w:rsidRPr="00250E0B">
        <w:t>ller HBT-personer i utvecklingssamarbetet, sägs bl.a. att minst en samarbetsstrategi per år särskilt skall ta upp HBT-personers situation. En sådan målsättning är alltför passiv och måste förbättras. Detta bör riksdagen som sin mening ge regeringen till känna. Genèvekonventionen ger inte flyktingstatus åt personer som känner välgrundad fruktan för förföljelse på grund av kön, könsidentitet eller sexuell läggning. Vi vill att Sverige i internationella forum verkar för ett tilläggspr</w:t>
      </w:r>
      <w:r w:rsidRPr="00250E0B">
        <w:t>o</w:t>
      </w:r>
      <w:r w:rsidRPr="00250E0B">
        <w:t>tokoll till Genèvekonvent</w:t>
      </w:r>
      <w:r w:rsidRPr="00250E0B">
        <w:t>ionen för att ge flyktingstatus även åt personer som förföljs på grund av kön, könsidentitet eller sexuell läggning.</w:t>
      </w:r>
    </w:p>
    <w:p w:rsidR="00B7124A" w:rsidRPr="00250E0B" w:rsidRDefault="00B7124A">
      <w:pPr>
        <w:pStyle w:val="Normaltindrag"/>
        <w:shd w:val="clear" w:color="000000" w:fill="auto"/>
      </w:pPr>
      <w:r w:rsidRPr="00250E0B">
        <w:t>Utlänningslagen har nyligen ändrats så att förföljelse av HBT-personer skall bedömas enligt Genèvekonventionens flyktingdefinition. Detta är glä</w:t>
      </w:r>
      <w:r w:rsidRPr="00250E0B">
        <w:t>d</w:t>
      </w:r>
      <w:r w:rsidRPr="00250E0B">
        <w:t>jande, men denna ändring riskerar dock att bli verkningslös om den inte ko</w:t>
      </w:r>
      <w:r w:rsidRPr="00250E0B">
        <w:t>m</w:t>
      </w:r>
      <w:r w:rsidRPr="00250E0B">
        <w:t>bineras med en förändrad rättspraxis och en förbättrad bevakning av HBT-personers utsatthet för förföljelse i olika länder. Verkligheten är i dag att sådana flyktingärenden ofta bedöms på ett undermåligt kunskapsunderlag, något som visat sig inte minst vad gäller flyktingar från Iran. Kunskapen om homosexuellas, bisexuellas och transpersoners situation i asylsökandes he</w:t>
      </w:r>
      <w:r w:rsidRPr="00250E0B">
        <w:t>m</w:t>
      </w:r>
      <w:r w:rsidRPr="00250E0B">
        <w:t xml:space="preserve">länder måste förbättras. Detta bör riksdagen som sin mening ge </w:t>
      </w:r>
      <w:r w:rsidRPr="00250E0B">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0E0B">
        <w:trPr>
          <w:cantSplit/>
        </w:trPr>
        <w:tc>
          <w:tcPr>
            <w:tcW w:w="3046" w:type="dxa"/>
          </w:tcPr>
          <w:p w:rsidR="00B7124A" w:rsidRPr="00250E0B" w:rsidRDefault="00B7124A">
            <w:pPr>
              <w:pStyle w:val="UnderskriftDatum"/>
              <w:shd w:val="clear" w:color="000000" w:fill="auto"/>
              <w:spacing w:before="240"/>
            </w:pPr>
            <w:r w:rsidRPr="00250E0B">
              <w:t>Stockholm den 4 oktober 2007</w:t>
            </w:r>
          </w:p>
        </w:tc>
        <w:tc>
          <w:tcPr>
            <w:tcW w:w="3047" w:type="dxa"/>
          </w:tcPr>
          <w:p w:rsidR="00B7124A" w:rsidRPr="00250E0B" w:rsidRDefault="00B7124A">
            <w:pPr>
              <w:pStyle w:val="Underskrifter"/>
              <w:shd w:val="clear" w:color="000000" w:fill="auto"/>
              <w:spacing w:before="240"/>
            </w:pPr>
          </w:p>
        </w:tc>
      </w:tr>
      <w:tr w:rsidR="00000000" w:rsidRPr="00250E0B">
        <w:trPr>
          <w:cantSplit/>
        </w:trPr>
        <w:tc>
          <w:tcPr>
            <w:tcW w:w="3046" w:type="dxa"/>
          </w:tcPr>
          <w:p w:rsidR="00B7124A" w:rsidRPr="00250E0B" w:rsidRDefault="00B7124A">
            <w:pPr>
              <w:pStyle w:val="Underskrifter"/>
              <w:shd w:val="clear" w:color="000000" w:fill="auto"/>
            </w:pPr>
            <w:r w:rsidRPr="00250E0B">
              <w:t>Barbro Westerholm (fp)</w:t>
            </w:r>
          </w:p>
        </w:tc>
        <w:tc>
          <w:tcPr>
            <w:tcW w:w="3046" w:type="dxa"/>
          </w:tcPr>
          <w:p w:rsidR="00B7124A" w:rsidRPr="00250E0B" w:rsidRDefault="00B7124A">
            <w:pPr>
              <w:pStyle w:val="Underskrifter"/>
              <w:shd w:val="clear" w:color="000000" w:fill="auto"/>
            </w:pPr>
            <w:r w:rsidRPr="00250E0B">
              <w:t>Birgitta Ohlsson (fp)</w:t>
            </w:r>
          </w:p>
        </w:tc>
      </w:tr>
    </w:tbl>
    <w:p w:rsidR="00B7124A" w:rsidRPr="00250E0B" w:rsidRDefault="00B7124A">
      <w:pPr>
        <w:pStyle w:val="Normaltindrag"/>
        <w:shd w:val="clear" w:color="000000" w:fill="auto"/>
      </w:pPr>
    </w:p>
    <w:sectPr w:rsidR="00B7124A" w:rsidRPr="00250E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24A" w:rsidRPr="00250E0B" w:rsidRDefault="00B7124A">
      <w:r w:rsidRPr="00250E0B">
        <w:separator/>
      </w:r>
    </w:p>
  </w:endnote>
  <w:endnote w:type="continuationSeparator" w:id="0">
    <w:p w:rsidR="00B7124A" w:rsidRPr="00250E0B" w:rsidRDefault="00B7124A">
      <w:r w:rsidRPr="00250E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250E0B">
    <w:pPr>
      <w:pStyle w:val="Sidfot"/>
    </w:pPr>
    <w:r w:rsidRPr="00250E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1206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24A" w:rsidRDefault="00B712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24A" w:rsidRDefault="00B712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250E0B">
    <w:pPr>
      <w:pStyle w:val="Sidfot"/>
    </w:pPr>
    <w:r w:rsidRPr="00250E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506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24A" w:rsidRDefault="00B7124A">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24A" w:rsidRDefault="00B7124A">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250E0B">
    <w:pPr>
      <w:pStyle w:val="Sidfot"/>
    </w:pPr>
    <w:r w:rsidRPr="00250E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914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24A" w:rsidRDefault="00B712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24A" w:rsidRDefault="00B712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24A" w:rsidRPr="00250E0B" w:rsidRDefault="00B7124A">
      <w:r w:rsidRPr="00250E0B">
        <w:separator/>
      </w:r>
    </w:p>
  </w:footnote>
  <w:footnote w:type="continuationSeparator" w:id="0">
    <w:p w:rsidR="00B7124A" w:rsidRPr="00250E0B" w:rsidRDefault="00B7124A">
      <w:r w:rsidRPr="00250E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250E0B">
    <w:pPr>
      <w:pStyle w:val="Sidhuvud"/>
    </w:pPr>
    <w:r w:rsidRPr="00250E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9766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24A" w:rsidRDefault="00B712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24A" w:rsidRDefault="00B712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250E0B">
    <w:pPr>
      <w:pStyle w:val="Sidhuvud"/>
    </w:pPr>
    <w:r w:rsidRPr="00250E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6052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24A" w:rsidRDefault="00B712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24A" w:rsidRDefault="00B712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24A" w:rsidRPr="00250E0B" w:rsidRDefault="00B7124A">
    <w:pPr>
      <w:pStyle w:val="FSHNormal"/>
      <w:tabs>
        <w:tab w:val="right" w:pos="5840"/>
      </w:tabs>
    </w:pPr>
    <w:r w:rsidRPr="00250E0B">
      <w:br/>
    </w:r>
    <w:r w:rsidRPr="00250E0B">
      <w:fldChar w:fldCharType="begin" w:fldLock="1"/>
    </w:r>
    <w:r w:rsidRPr="00250E0B">
      <w:instrText xml:space="preserve"> DOCPROPERTY</w:instrText>
    </w:r>
    <w:r w:rsidRPr="00250E0B">
      <w:rPr>
        <w:sz w:val="18"/>
      </w:rPr>
      <w:instrText xml:space="preserve"> "YearUser" *\charformat </w:instrText>
    </w:r>
    <w:r w:rsidRPr="00250E0B">
      <w:fldChar w:fldCharType="separate"/>
    </w:r>
    <w:r w:rsidRPr="00250E0B">
      <w:t>2007/08</w:t>
    </w:r>
    <w:r w:rsidRPr="00250E0B">
      <w:fldChar w:fldCharType="end"/>
    </w:r>
    <w:r w:rsidRPr="00250E0B">
      <w:t xml:space="preserve"> </w:t>
    </w:r>
    <w:r w:rsidRPr="00250E0B">
      <w:tab/>
      <w:t xml:space="preserve">mnr: </w:t>
    </w:r>
    <w:r w:rsidRPr="00250E0B">
      <w:fldChar w:fldCharType="begin" w:fldLock="1"/>
    </w:r>
    <w:r w:rsidRPr="00250E0B">
      <w:instrText xml:space="preserve"> DOCPROPERTY</w:instrText>
    </w:r>
    <w:r w:rsidRPr="00250E0B">
      <w:rPr>
        <w:sz w:val="18"/>
      </w:rPr>
      <w:instrText xml:space="preserve"> "Motionsnummer" *\charformat </w:instrText>
    </w:r>
    <w:r w:rsidRPr="00250E0B">
      <w:fldChar w:fldCharType="separate"/>
    </w:r>
    <w:r w:rsidRPr="00250E0B">
      <w:t>U304</w:t>
    </w:r>
    <w:r w:rsidRPr="00250E0B">
      <w:fldChar w:fldCharType="end"/>
    </w:r>
    <w:r w:rsidRPr="00250E0B">
      <w:br/>
    </w:r>
    <w:r w:rsidRPr="00250E0B">
      <w:fldChar w:fldCharType="begin" w:fldLock="1"/>
    </w:r>
    <w:r w:rsidRPr="00250E0B">
      <w:instrText xml:space="preserve"> DOCPROPERTY</w:instrText>
    </w:r>
    <w:r w:rsidRPr="00250E0B">
      <w:rPr>
        <w:sz w:val="18"/>
      </w:rPr>
      <w:instrText xml:space="preserve"> "Samling" *\charformat </w:instrText>
    </w:r>
    <w:r w:rsidRPr="00250E0B">
      <w:fldChar w:fldCharType="end"/>
    </w:r>
    <w:r w:rsidRPr="00250E0B">
      <w:tab/>
      <w:t xml:space="preserve">pnr: </w:t>
    </w:r>
    <w:r w:rsidRPr="00250E0B">
      <w:fldChar w:fldCharType="begin" w:fldLock="1"/>
    </w:r>
    <w:r w:rsidRPr="00250E0B">
      <w:instrText xml:space="preserve"> DOCPROPERTY</w:instrText>
    </w:r>
    <w:r w:rsidRPr="00250E0B">
      <w:rPr>
        <w:sz w:val="18"/>
      </w:rPr>
      <w:instrText xml:space="preserve"> "Partinummer" *\charformat </w:instrText>
    </w:r>
    <w:r w:rsidRPr="00250E0B">
      <w:fldChar w:fldCharType="separate"/>
    </w:r>
    <w:r w:rsidRPr="00250E0B">
      <w:t>fp1253</w:t>
    </w:r>
    <w:r w:rsidRPr="00250E0B">
      <w:fldChar w:fldCharType="end"/>
    </w:r>
  </w:p>
  <w:p w:rsidR="00B7124A" w:rsidRPr="00250E0B" w:rsidRDefault="00B7124A">
    <w:pPr>
      <w:pStyle w:val="FSHRub1"/>
    </w:pPr>
    <w:r w:rsidRPr="00250E0B">
      <w:t>Motion till riksdagen</w:t>
    </w:r>
    <w:r w:rsidRPr="00250E0B">
      <w:br/>
    </w:r>
    <w:r w:rsidRPr="00250E0B">
      <w:fldChar w:fldCharType="begin" w:fldLock="1"/>
    </w:r>
    <w:r w:rsidRPr="00250E0B">
      <w:instrText xml:space="preserve"> DOCPROPERTY "YearUser" *\charformat </w:instrText>
    </w:r>
    <w:r w:rsidRPr="00250E0B">
      <w:fldChar w:fldCharType="separate"/>
    </w:r>
    <w:r w:rsidRPr="00250E0B">
      <w:t>2007/08</w:t>
    </w:r>
    <w:r w:rsidRPr="00250E0B">
      <w:fldChar w:fldCharType="end"/>
    </w:r>
    <w:r w:rsidRPr="00250E0B">
      <w:t>:</w:t>
    </w:r>
    <w:r w:rsidRPr="00250E0B">
      <w:fldChar w:fldCharType="begin" w:fldLock="1"/>
    </w:r>
    <w:r w:rsidRPr="00250E0B">
      <w:instrText xml:space="preserve"> DOCPROPERTY "Motionsnummer" *\charformat </w:instrText>
    </w:r>
    <w:r w:rsidRPr="00250E0B">
      <w:fldChar w:fldCharType="separate"/>
    </w:r>
    <w:r w:rsidRPr="00250E0B">
      <w:t>U304</w:t>
    </w:r>
    <w:r w:rsidRPr="00250E0B">
      <w:fldChar w:fldCharType="end"/>
    </w:r>
  </w:p>
  <w:p w:rsidR="00B7124A" w:rsidRPr="00250E0B" w:rsidRDefault="00B7124A">
    <w:pPr>
      <w:pStyle w:val="FSHNormalS5"/>
    </w:pPr>
    <w:r w:rsidRPr="00250E0B">
      <w:fldChar w:fldCharType="begin" w:fldLock="1"/>
    </w:r>
    <w:r w:rsidRPr="00250E0B">
      <w:instrText xml:space="preserve"> DOCPROPERTY "MotionarText" *\charformat </w:instrText>
    </w:r>
    <w:r w:rsidRPr="00250E0B">
      <w:fldChar w:fldCharType="separate"/>
    </w:r>
    <w:r w:rsidRPr="00250E0B">
      <w:t>av Barbro Westerholm och Birgitta Ohlsson (fp)</w:t>
    </w:r>
    <w:r w:rsidRPr="00250E0B">
      <w:fldChar w:fldCharType="end"/>
    </w:r>
    <w:r w:rsidRPr="00250E0B">
      <w:br/>
    </w:r>
    <w:r w:rsidRPr="00250E0B">
      <w:fldChar w:fldCharType="begin" w:fldLock="1"/>
    </w:r>
    <w:r w:rsidRPr="00250E0B">
      <w:instrText xml:space="preserve"> DOCPROPERTY "SvarFrasKort" *\charformat </w:instrText>
    </w:r>
    <w:r w:rsidRPr="00250E0B">
      <w:fldChar w:fldCharType="end"/>
    </w:r>
  </w:p>
  <w:p w:rsidR="00B7124A" w:rsidRPr="00250E0B" w:rsidRDefault="00B7124A">
    <w:pPr>
      <w:pStyle w:val="FSHTitel"/>
    </w:pPr>
    <w:r w:rsidRPr="00250E0B">
      <w:fldChar w:fldCharType="begin" w:fldLock="1"/>
    </w:r>
    <w:r w:rsidRPr="00250E0B">
      <w:instrText xml:space="preserve"> DOCPROPERTY</w:instrText>
    </w:r>
    <w:r w:rsidRPr="00250E0B">
      <w:rPr>
        <w:sz w:val="18"/>
      </w:rPr>
      <w:instrText xml:space="preserve"> "RubrikSvar" *\charformat </w:instrText>
    </w:r>
    <w:r w:rsidRPr="00250E0B">
      <w:fldChar w:fldCharType="separate"/>
    </w:r>
    <w:r w:rsidRPr="00250E0B">
      <w:t>Homosexuellas, bisexuellas och transpersoners situation</w:t>
    </w:r>
    <w:r w:rsidRPr="00250E0B">
      <w:fldChar w:fldCharType="end"/>
    </w:r>
  </w:p>
  <w:p w:rsidR="00B7124A" w:rsidRPr="00250E0B" w:rsidRDefault="00B7124A">
    <w:pPr>
      <w:pStyle w:val="Normal00"/>
    </w:pPr>
  </w:p>
  <w:p w:rsidR="00B7124A" w:rsidRPr="00250E0B" w:rsidRDefault="00B712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403CEC"/>
    <w:multiLevelType w:val="hybridMultilevel"/>
    <w:tmpl w:val="F8603B58"/>
    <w:lvl w:ilvl="0" w:tplc="B074C0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6228368">
    <w:abstractNumId w:val="8"/>
  </w:num>
  <w:num w:numId="2" w16cid:durableId="112478177">
    <w:abstractNumId w:val="9"/>
  </w:num>
  <w:num w:numId="3" w16cid:durableId="1214461245">
    <w:abstractNumId w:val="8"/>
  </w:num>
  <w:num w:numId="4" w16cid:durableId="720518577">
    <w:abstractNumId w:val="9"/>
  </w:num>
  <w:num w:numId="5" w16cid:durableId="21247019">
    <w:abstractNumId w:val="13"/>
  </w:num>
  <w:num w:numId="6" w16cid:durableId="583998404">
    <w:abstractNumId w:val="10"/>
  </w:num>
  <w:num w:numId="7" w16cid:durableId="1872456915">
    <w:abstractNumId w:val="11"/>
  </w:num>
  <w:num w:numId="8" w16cid:durableId="807356757">
    <w:abstractNumId w:val="12"/>
  </w:num>
  <w:num w:numId="9" w16cid:durableId="2027246207">
    <w:abstractNumId w:val="8"/>
  </w:num>
  <w:num w:numId="10" w16cid:durableId="399211240">
    <w:abstractNumId w:val="3"/>
  </w:num>
  <w:num w:numId="11" w16cid:durableId="1665626373">
    <w:abstractNumId w:val="2"/>
  </w:num>
  <w:num w:numId="12" w16cid:durableId="479733433">
    <w:abstractNumId w:val="1"/>
  </w:num>
  <w:num w:numId="13" w16cid:durableId="1317028288">
    <w:abstractNumId w:val="0"/>
  </w:num>
  <w:num w:numId="14" w16cid:durableId="655719335">
    <w:abstractNumId w:val="9"/>
  </w:num>
  <w:num w:numId="15" w16cid:durableId="462046300">
    <w:abstractNumId w:val="7"/>
  </w:num>
  <w:num w:numId="16" w16cid:durableId="1077702059">
    <w:abstractNumId w:val="6"/>
  </w:num>
  <w:num w:numId="17" w16cid:durableId="162280936">
    <w:abstractNumId w:val="5"/>
  </w:num>
  <w:num w:numId="18" w16cid:durableId="1227380614">
    <w:abstractNumId w:val="4"/>
  </w:num>
  <w:num w:numId="19" w16cid:durableId="1767848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8629C65-A2B2-4A9B-8749-B2F77B6C1531},{7ED1DCAA-8C66-4975-A2C2-D827E3750391}"/>
  </w:docVars>
  <w:rsids>
    <w:rsidRoot w:val="00D269F2"/>
    <w:rsid w:val="00250E0B"/>
    <w:rsid w:val="00B7124A"/>
    <w:rsid w:val="00D26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DC4CD-D0B3-4412-B2D8-E79560D3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6194</Words>
  <Characters>37231</Characters>
  <Application>Microsoft Office Word</Application>
  <DocSecurity>4</DocSecurity>
  <Lines>689</Lines>
  <Paragraphs>152</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TKG-ktrl, MSMQ4mb, PersReg-Distribution mm</dc:description>
  <cp:lastModifiedBy>Lars Brink</cp:lastModifiedBy>
  <cp:revision>2</cp:revision>
  <cp:lastPrinted>2007-12-11T12:57:00Z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Homosexuellas, bisexuellas och transpersoners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Westerholm och Birgitta Ohlsson (fp)</vt:lpwstr>
  </property>
  <property fmtid="{D5CDD505-2E9C-101B-9397-08002B2CF9AE}" pid="26" name="MotionarLista">
    <vt:lpwstr>Westerholm, Barbro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U304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20072008000001020112000012530069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20072008000001020112000012530069</vt:lpwstr>
  </property>
  <property fmtid="{D5CDD505-2E9C-101B-9397-08002B2CF9AE}" pid="50" name="nummer">
    <vt:lpwstr>304</vt:lpwstr>
  </property>
  <property fmtid="{D5CDD505-2E9C-101B-9397-08002B2CF9AE}" pid="51" name="utskottsbeteckning">
    <vt:lpwstr>U</vt:lpwstr>
  </property>
  <property fmtid="{D5CDD505-2E9C-101B-9397-08002B2CF9AE}" pid="52" name="GlobalUID">
    <vt:lpwstr>{50D363A5-D560-4E9E-85C1-D0C37407C751}</vt:lpwstr>
  </property>
  <property fmtid="{D5CDD505-2E9C-101B-9397-08002B2CF9AE}" pid="53" name="Överföringar">
    <vt:i4>0</vt:i4>
  </property>
  <property fmtid="{D5CDD505-2E9C-101B-9397-08002B2CF9AE}" pid="54" name="Checksum">
    <vt:lpwstr>*0015220897408*</vt:lpwstr>
  </property>
  <property fmtid="{D5CDD505-2E9C-101B-9397-08002B2CF9AE}" pid="55" name="skuggnummer">
    <vt:lpwstr>2172</vt:lpwstr>
  </property>
  <property fmtid="{D5CDD505-2E9C-101B-9397-08002B2CF9AE}" pid="56" name="urixVersion">
    <vt:lpwstr>3.2.0.8</vt:lpwstr>
  </property>
  <property fmtid="{D5CDD505-2E9C-101B-9397-08002B2CF9AE}" pid="57" name="urixOrigin">
    <vt:lpwstr>071211 13:57:55.012</vt:lpwstr>
  </property>
  <property fmtid="{D5CDD505-2E9C-101B-9397-08002B2CF9AE}" pid="58" name="urixGuid">
    <vt:lpwstr>{44952F0B-64B8-4A52-95A3-74950EEEBFF7}</vt:lpwstr>
  </property>
</Properties>
</file>