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2613C" w14:textId="77777777" w:rsidR="006E04A4" w:rsidRPr="00CD7560" w:rsidRDefault="00D51CA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43</w:t>
      </w:r>
      <w:bookmarkEnd w:id="1"/>
    </w:p>
    <w:p w14:paraId="52D2613D" w14:textId="77777777" w:rsidR="006E04A4" w:rsidRDefault="00D51CA5">
      <w:pPr>
        <w:pStyle w:val="Datum"/>
        <w:outlineLvl w:val="0"/>
      </w:pPr>
      <w:bookmarkStart w:id="2" w:name="DocumentDate"/>
      <w:r>
        <w:t>Måndagen den 12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23957" w14:paraId="52D26142" w14:textId="77777777" w:rsidTr="00E47117">
        <w:trPr>
          <w:cantSplit/>
        </w:trPr>
        <w:tc>
          <w:tcPr>
            <w:tcW w:w="454" w:type="dxa"/>
          </w:tcPr>
          <w:p w14:paraId="52D2613E" w14:textId="77777777" w:rsidR="006E04A4" w:rsidRDefault="00D51C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2D2613F" w14:textId="77777777" w:rsidR="006E04A4" w:rsidRDefault="00D51C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52D26140" w14:textId="77777777" w:rsidR="006E04A4" w:rsidRDefault="00D51CA5"/>
        </w:tc>
        <w:tc>
          <w:tcPr>
            <w:tcW w:w="7512" w:type="dxa"/>
          </w:tcPr>
          <w:p w14:paraId="52D26141" w14:textId="77777777" w:rsidR="006E04A4" w:rsidRDefault="00D51CA5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52D26143" w14:textId="77777777" w:rsidR="006E04A4" w:rsidRDefault="00D51CA5">
      <w:pPr>
        <w:pStyle w:val="StreckLngt"/>
      </w:pPr>
      <w:r>
        <w:tab/>
      </w:r>
    </w:p>
    <w:p w14:paraId="52D26144" w14:textId="77777777" w:rsidR="00121B42" w:rsidRDefault="00D51CA5" w:rsidP="00121B42">
      <w:pPr>
        <w:pStyle w:val="Blankrad"/>
      </w:pPr>
      <w:r>
        <w:t xml:space="preserve">      </w:t>
      </w:r>
    </w:p>
    <w:p w14:paraId="52D26145" w14:textId="77777777" w:rsidR="00CF242C" w:rsidRDefault="00D51C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23957" w14:paraId="52D26149" w14:textId="77777777" w:rsidTr="00055526">
        <w:trPr>
          <w:cantSplit/>
        </w:trPr>
        <w:tc>
          <w:tcPr>
            <w:tcW w:w="567" w:type="dxa"/>
          </w:tcPr>
          <w:p w14:paraId="52D26146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47" w14:textId="77777777" w:rsidR="006E04A4" w:rsidRDefault="00D51CA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D26148" w14:textId="77777777" w:rsidR="006E04A4" w:rsidRDefault="00D51CA5" w:rsidP="00C84F80">
            <w:pPr>
              <w:keepNext/>
            </w:pPr>
          </w:p>
        </w:tc>
      </w:tr>
      <w:tr w:rsidR="00323957" w14:paraId="52D2614D" w14:textId="77777777" w:rsidTr="00055526">
        <w:trPr>
          <w:cantSplit/>
        </w:trPr>
        <w:tc>
          <w:tcPr>
            <w:tcW w:w="567" w:type="dxa"/>
          </w:tcPr>
          <w:p w14:paraId="52D2614A" w14:textId="77777777" w:rsidR="001D7AF0" w:rsidRDefault="00D51C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2D2614B" w14:textId="77777777" w:rsidR="006E04A4" w:rsidRDefault="00D51CA5" w:rsidP="000326E3">
            <w:r>
              <w:t>Protokollen från sammanträdena tisdagen den 2, onsdagen den 3, fredagen den 5, måndagen den 8, onsdagen den 10, torsdagen den 11, fredagen</w:t>
            </w:r>
            <w:r>
              <w:t xml:space="preserve"> den 12, måndagen den 15 och tisdagen den 16 december</w:t>
            </w:r>
          </w:p>
        </w:tc>
        <w:tc>
          <w:tcPr>
            <w:tcW w:w="2055" w:type="dxa"/>
          </w:tcPr>
          <w:p w14:paraId="52D2614C" w14:textId="77777777" w:rsidR="006E04A4" w:rsidRDefault="00D51CA5" w:rsidP="00C84F80"/>
        </w:tc>
      </w:tr>
      <w:tr w:rsidR="00323957" w14:paraId="52D26151" w14:textId="77777777" w:rsidTr="00055526">
        <w:trPr>
          <w:cantSplit/>
        </w:trPr>
        <w:tc>
          <w:tcPr>
            <w:tcW w:w="567" w:type="dxa"/>
          </w:tcPr>
          <w:p w14:paraId="52D2614E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4F" w14:textId="77777777" w:rsidR="006E04A4" w:rsidRDefault="00D51CA5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52D26150" w14:textId="77777777" w:rsidR="006E04A4" w:rsidRDefault="00D51CA5" w:rsidP="00C84F80">
            <w:pPr>
              <w:keepNext/>
            </w:pPr>
          </w:p>
        </w:tc>
      </w:tr>
      <w:tr w:rsidR="00323957" w14:paraId="52D26155" w14:textId="77777777" w:rsidTr="00055526">
        <w:trPr>
          <w:cantSplit/>
        </w:trPr>
        <w:tc>
          <w:tcPr>
            <w:tcW w:w="567" w:type="dxa"/>
          </w:tcPr>
          <w:p w14:paraId="52D26152" w14:textId="77777777" w:rsidR="001D7AF0" w:rsidRDefault="00D51C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90719B" w14:textId="77777777" w:rsidR="00FD416C" w:rsidRDefault="00D51CA5" w:rsidP="000326E3">
            <w:r>
              <w:t xml:space="preserve">Fredrik Eriksson (SD) som ny ledamot i riksdagen </w:t>
            </w:r>
          </w:p>
          <w:p w14:paraId="52D26153" w14:textId="00632EA4" w:rsidR="006E04A4" w:rsidRDefault="00D51CA5" w:rsidP="000326E3">
            <w:r>
              <w:t>fr.o.m. den 22 december 2014</w:t>
            </w:r>
          </w:p>
        </w:tc>
        <w:tc>
          <w:tcPr>
            <w:tcW w:w="2055" w:type="dxa"/>
          </w:tcPr>
          <w:p w14:paraId="52D26154" w14:textId="77777777" w:rsidR="006E04A4" w:rsidRDefault="00D51CA5" w:rsidP="00C84F80"/>
        </w:tc>
      </w:tr>
      <w:tr w:rsidR="00323957" w14:paraId="52D26159" w14:textId="77777777" w:rsidTr="00055526">
        <w:trPr>
          <w:cantSplit/>
        </w:trPr>
        <w:tc>
          <w:tcPr>
            <w:tcW w:w="567" w:type="dxa"/>
          </w:tcPr>
          <w:p w14:paraId="52D26156" w14:textId="77777777" w:rsidR="001D7AF0" w:rsidRDefault="00D51C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FD044D" w14:textId="77777777" w:rsidR="00FD416C" w:rsidRDefault="00D51CA5" w:rsidP="000326E3">
            <w:r>
              <w:t xml:space="preserve">Erik Bengtzboe (M) som ny ledamot i riksdagen </w:t>
            </w:r>
          </w:p>
          <w:p w14:paraId="52D26157" w14:textId="469ADE2E" w:rsidR="006E04A4" w:rsidRDefault="00D51CA5" w:rsidP="000326E3">
            <w:r>
              <w:t>fr.o.m. den 31 december 2014</w:t>
            </w:r>
          </w:p>
        </w:tc>
        <w:tc>
          <w:tcPr>
            <w:tcW w:w="2055" w:type="dxa"/>
          </w:tcPr>
          <w:p w14:paraId="52D26158" w14:textId="77777777" w:rsidR="006E04A4" w:rsidRDefault="00D51CA5" w:rsidP="00C84F80"/>
        </w:tc>
      </w:tr>
      <w:tr w:rsidR="00323957" w14:paraId="52D2615D" w14:textId="77777777" w:rsidTr="00055526">
        <w:trPr>
          <w:cantSplit/>
        </w:trPr>
        <w:tc>
          <w:tcPr>
            <w:tcW w:w="567" w:type="dxa"/>
          </w:tcPr>
          <w:p w14:paraId="52D2615A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5B" w14:textId="77777777" w:rsidR="006E04A4" w:rsidRDefault="00D51CA5" w:rsidP="000326E3">
            <w:pPr>
              <w:pStyle w:val="HuvudrubrikEnsam"/>
              <w:keepNext/>
            </w:pPr>
            <w:r>
              <w:t>Anmälan om vice ordföranden i utskott</w:t>
            </w:r>
          </w:p>
        </w:tc>
        <w:tc>
          <w:tcPr>
            <w:tcW w:w="2055" w:type="dxa"/>
          </w:tcPr>
          <w:p w14:paraId="52D2615C" w14:textId="77777777" w:rsidR="006E04A4" w:rsidRDefault="00D51CA5" w:rsidP="00C84F80">
            <w:pPr>
              <w:keepNext/>
            </w:pPr>
          </w:p>
        </w:tc>
      </w:tr>
      <w:tr w:rsidR="00323957" w14:paraId="52D26161" w14:textId="77777777" w:rsidTr="00055526">
        <w:trPr>
          <w:cantSplit/>
        </w:trPr>
        <w:tc>
          <w:tcPr>
            <w:tcW w:w="567" w:type="dxa"/>
          </w:tcPr>
          <w:p w14:paraId="52D2615E" w14:textId="77777777" w:rsidR="001D7AF0" w:rsidRDefault="00D51C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D2615F" w14:textId="77777777" w:rsidR="006E04A4" w:rsidRDefault="00D51CA5" w:rsidP="000326E3">
            <w:r>
              <w:t>Johan Forssell (M) som vice ordförande i socialförsäkringsutskottet fr.o.m. den 19 december 2014</w:t>
            </w:r>
          </w:p>
        </w:tc>
        <w:tc>
          <w:tcPr>
            <w:tcW w:w="2055" w:type="dxa"/>
          </w:tcPr>
          <w:p w14:paraId="52D26160" w14:textId="77777777" w:rsidR="006E04A4" w:rsidRDefault="00D51CA5" w:rsidP="00C84F80"/>
        </w:tc>
      </w:tr>
      <w:tr w:rsidR="00323957" w14:paraId="52D26165" w14:textId="77777777" w:rsidTr="00055526">
        <w:trPr>
          <w:cantSplit/>
        </w:trPr>
        <w:tc>
          <w:tcPr>
            <w:tcW w:w="567" w:type="dxa"/>
          </w:tcPr>
          <w:p w14:paraId="52D26162" w14:textId="77777777" w:rsidR="001D7AF0" w:rsidRDefault="00D51C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D26163" w14:textId="77777777" w:rsidR="006E04A4" w:rsidRDefault="00D51CA5" w:rsidP="000326E3">
            <w:r>
              <w:t>Jessica Rosencrantz (M) som vice ordförande i trafikutskottet fr.o.m. den 19 december 2014</w:t>
            </w:r>
          </w:p>
        </w:tc>
        <w:tc>
          <w:tcPr>
            <w:tcW w:w="2055" w:type="dxa"/>
          </w:tcPr>
          <w:p w14:paraId="52D26164" w14:textId="77777777" w:rsidR="006E04A4" w:rsidRDefault="00D51CA5" w:rsidP="00C84F80"/>
        </w:tc>
      </w:tr>
      <w:tr w:rsidR="00323957" w14:paraId="52D26169" w14:textId="77777777" w:rsidTr="00055526">
        <w:trPr>
          <w:cantSplit/>
        </w:trPr>
        <w:tc>
          <w:tcPr>
            <w:tcW w:w="567" w:type="dxa"/>
          </w:tcPr>
          <w:p w14:paraId="52D26166" w14:textId="77777777" w:rsidR="001D7AF0" w:rsidRDefault="00D51C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9493E5" w14:textId="77777777" w:rsidR="00FD416C" w:rsidRDefault="00D51CA5" w:rsidP="000326E3">
            <w:r>
              <w:t>Lars Hjälmered (M)</w:t>
            </w:r>
            <w:r>
              <w:t xml:space="preserve"> som vice ordförande i näringsutskottet </w:t>
            </w:r>
          </w:p>
          <w:p w14:paraId="52D26167" w14:textId="26FAB1E0" w:rsidR="006E04A4" w:rsidRDefault="00D51CA5" w:rsidP="000326E3">
            <w:r>
              <w:t>fr.o.m. den 19 december 2014</w:t>
            </w:r>
          </w:p>
        </w:tc>
        <w:tc>
          <w:tcPr>
            <w:tcW w:w="2055" w:type="dxa"/>
          </w:tcPr>
          <w:p w14:paraId="52D26168" w14:textId="77777777" w:rsidR="006E04A4" w:rsidRDefault="00D51CA5" w:rsidP="00C84F80"/>
        </w:tc>
      </w:tr>
      <w:tr w:rsidR="00323957" w14:paraId="52D2616D" w14:textId="77777777" w:rsidTr="00055526">
        <w:trPr>
          <w:cantSplit/>
        </w:trPr>
        <w:tc>
          <w:tcPr>
            <w:tcW w:w="567" w:type="dxa"/>
          </w:tcPr>
          <w:p w14:paraId="52D2616A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6B" w14:textId="77777777" w:rsidR="006E04A4" w:rsidRDefault="00D51CA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2D2616C" w14:textId="77777777" w:rsidR="006E04A4" w:rsidRDefault="00D51CA5" w:rsidP="00C84F80">
            <w:pPr>
              <w:keepNext/>
            </w:pPr>
          </w:p>
        </w:tc>
      </w:tr>
      <w:tr w:rsidR="00323957" w14:paraId="52D26171" w14:textId="77777777" w:rsidTr="00055526">
        <w:trPr>
          <w:cantSplit/>
        </w:trPr>
        <w:tc>
          <w:tcPr>
            <w:tcW w:w="567" w:type="dxa"/>
          </w:tcPr>
          <w:p w14:paraId="52D2616E" w14:textId="77777777" w:rsidR="001D7AF0" w:rsidRDefault="00D51CA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D2616F" w14:textId="77777777" w:rsidR="006E04A4" w:rsidRDefault="00D51CA5" w:rsidP="000326E3">
            <w:r>
              <w:t xml:space="preserve">2014/15:185 av Anti Avsan (M) </w:t>
            </w:r>
            <w:r>
              <w:br/>
              <w:t>Våldtäkt som grovt våldsbrott</w:t>
            </w:r>
          </w:p>
        </w:tc>
        <w:tc>
          <w:tcPr>
            <w:tcW w:w="2055" w:type="dxa"/>
          </w:tcPr>
          <w:p w14:paraId="52D26170" w14:textId="77777777" w:rsidR="006E04A4" w:rsidRDefault="00D51CA5" w:rsidP="00C84F80"/>
        </w:tc>
      </w:tr>
      <w:tr w:rsidR="00323957" w14:paraId="52D26175" w14:textId="77777777" w:rsidTr="00055526">
        <w:trPr>
          <w:cantSplit/>
        </w:trPr>
        <w:tc>
          <w:tcPr>
            <w:tcW w:w="567" w:type="dxa"/>
          </w:tcPr>
          <w:p w14:paraId="52D26172" w14:textId="77777777" w:rsidR="001D7AF0" w:rsidRDefault="00D51C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D26173" w14:textId="77777777" w:rsidR="006E04A4" w:rsidRDefault="00D51CA5" w:rsidP="000326E3">
            <w:r>
              <w:t xml:space="preserve">2014/15:186 av Anders Hansson (M) </w:t>
            </w:r>
            <w:r>
              <w:br/>
              <w:t>Stärkt förmåga att arbeta mot it-r</w:t>
            </w:r>
            <w:r>
              <w:t>elaterade brott</w:t>
            </w:r>
          </w:p>
        </w:tc>
        <w:tc>
          <w:tcPr>
            <w:tcW w:w="2055" w:type="dxa"/>
          </w:tcPr>
          <w:p w14:paraId="52D26174" w14:textId="77777777" w:rsidR="006E04A4" w:rsidRDefault="00D51CA5" w:rsidP="00C84F80"/>
        </w:tc>
      </w:tr>
      <w:tr w:rsidR="00323957" w14:paraId="52D26179" w14:textId="77777777" w:rsidTr="00055526">
        <w:trPr>
          <w:cantSplit/>
        </w:trPr>
        <w:tc>
          <w:tcPr>
            <w:tcW w:w="567" w:type="dxa"/>
          </w:tcPr>
          <w:p w14:paraId="52D26176" w14:textId="77777777" w:rsidR="001D7AF0" w:rsidRDefault="00D51C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D26177" w14:textId="77777777" w:rsidR="006E04A4" w:rsidRDefault="00D51CA5" w:rsidP="000326E3">
            <w:r>
              <w:t xml:space="preserve">2014/15:189 av Beatrice Ask (M) </w:t>
            </w:r>
            <w:r>
              <w:br/>
              <w:t>Skärpta påföljder mot bostadsinbrott</w:t>
            </w:r>
          </w:p>
        </w:tc>
        <w:tc>
          <w:tcPr>
            <w:tcW w:w="2055" w:type="dxa"/>
          </w:tcPr>
          <w:p w14:paraId="52D26178" w14:textId="77777777" w:rsidR="006E04A4" w:rsidRDefault="00D51CA5" w:rsidP="00C84F80"/>
        </w:tc>
      </w:tr>
      <w:tr w:rsidR="00323957" w14:paraId="52D2617D" w14:textId="77777777" w:rsidTr="00055526">
        <w:trPr>
          <w:cantSplit/>
        </w:trPr>
        <w:tc>
          <w:tcPr>
            <w:tcW w:w="567" w:type="dxa"/>
          </w:tcPr>
          <w:p w14:paraId="52D2617A" w14:textId="77777777" w:rsidR="001D7AF0" w:rsidRDefault="00D51C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D2617B" w14:textId="77777777" w:rsidR="006E04A4" w:rsidRDefault="00D51CA5" w:rsidP="000326E3">
            <w:r>
              <w:t xml:space="preserve">2014/15:190 av Beatrice Ask (M) </w:t>
            </w:r>
            <w:r>
              <w:br/>
              <w:t>Lokal polisverksamhet</w:t>
            </w:r>
          </w:p>
        </w:tc>
        <w:tc>
          <w:tcPr>
            <w:tcW w:w="2055" w:type="dxa"/>
          </w:tcPr>
          <w:p w14:paraId="52D2617C" w14:textId="77777777" w:rsidR="006E04A4" w:rsidRDefault="00D51CA5" w:rsidP="00C84F80"/>
        </w:tc>
      </w:tr>
      <w:tr w:rsidR="00323957" w14:paraId="52D26181" w14:textId="77777777" w:rsidTr="00055526">
        <w:trPr>
          <w:cantSplit/>
        </w:trPr>
        <w:tc>
          <w:tcPr>
            <w:tcW w:w="567" w:type="dxa"/>
          </w:tcPr>
          <w:p w14:paraId="52D2617E" w14:textId="77777777" w:rsidR="001D7AF0" w:rsidRDefault="00D51CA5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52D2617F" w14:textId="77777777" w:rsidR="006E04A4" w:rsidRDefault="00D51CA5" w:rsidP="000326E3">
            <w:r>
              <w:t xml:space="preserve">2014/15:193 av Beatrice Ask (M) </w:t>
            </w:r>
            <w:r>
              <w:br/>
              <w:t xml:space="preserve">Modernare lagstiftning för att kunna lagföra brott på och med hjälp </w:t>
            </w:r>
            <w:r>
              <w:t>av internet</w:t>
            </w:r>
          </w:p>
        </w:tc>
        <w:tc>
          <w:tcPr>
            <w:tcW w:w="2055" w:type="dxa"/>
          </w:tcPr>
          <w:p w14:paraId="52D26180" w14:textId="77777777" w:rsidR="006E04A4" w:rsidRDefault="00D51CA5" w:rsidP="00C84F80"/>
        </w:tc>
      </w:tr>
      <w:tr w:rsidR="00323957" w14:paraId="52D26185" w14:textId="77777777" w:rsidTr="00055526">
        <w:trPr>
          <w:cantSplit/>
        </w:trPr>
        <w:tc>
          <w:tcPr>
            <w:tcW w:w="567" w:type="dxa"/>
          </w:tcPr>
          <w:p w14:paraId="52D26182" w14:textId="77777777" w:rsidR="001D7AF0" w:rsidRDefault="00D51CA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D26183" w14:textId="77777777" w:rsidR="006E04A4" w:rsidRDefault="00D51CA5" w:rsidP="000326E3">
            <w:r>
              <w:t xml:space="preserve">2014/15:196 av Karin Enström (M) </w:t>
            </w:r>
            <w:r>
              <w:br/>
              <w:t>Frihandelsavtalet mellan EU och USA</w:t>
            </w:r>
          </w:p>
        </w:tc>
        <w:tc>
          <w:tcPr>
            <w:tcW w:w="2055" w:type="dxa"/>
          </w:tcPr>
          <w:p w14:paraId="52D26184" w14:textId="77777777" w:rsidR="006E04A4" w:rsidRDefault="00D51CA5" w:rsidP="00C84F80"/>
        </w:tc>
      </w:tr>
      <w:tr w:rsidR="00323957" w14:paraId="52D26189" w14:textId="77777777" w:rsidTr="00055526">
        <w:trPr>
          <w:cantSplit/>
        </w:trPr>
        <w:tc>
          <w:tcPr>
            <w:tcW w:w="567" w:type="dxa"/>
          </w:tcPr>
          <w:p w14:paraId="52D26186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87" w14:textId="77777777" w:rsidR="006E04A4" w:rsidRDefault="00D51CA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2D26188" w14:textId="77777777" w:rsidR="006E04A4" w:rsidRDefault="00D51CA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23957" w14:paraId="52D2618D" w14:textId="77777777" w:rsidTr="00055526">
        <w:trPr>
          <w:cantSplit/>
        </w:trPr>
        <w:tc>
          <w:tcPr>
            <w:tcW w:w="567" w:type="dxa"/>
          </w:tcPr>
          <w:p w14:paraId="52D2618A" w14:textId="77777777" w:rsidR="001D7AF0" w:rsidRDefault="00D51CA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D2618B" w14:textId="77777777" w:rsidR="006E04A4" w:rsidRDefault="00D51CA5" w:rsidP="000326E3">
            <w:r>
              <w:t>RiR 2014:27 Arbetsförmedlingens arbete vid varsel – Ett bidrag till effektiva omställningsinsatser?</w:t>
            </w:r>
          </w:p>
        </w:tc>
        <w:tc>
          <w:tcPr>
            <w:tcW w:w="2055" w:type="dxa"/>
          </w:tcPr>
          <w:p w14:paraId="52D2618C" w14:textId="77777777" w:rsidR="006E04A4" w:rsidRDefault="00D51CA5" w:rsidP="00C84F80">
            <w:r>
              <w:t>AU</w:t>
            </w:r>
          </w:p>
        </w:tc>
      </w:tr>
      <w:tr w:rsidR="00323957" w14:paraId="52D26191" w14:textId="77777777" w:rsidTr="00055526">
        <w:trPr>
          <w:cantSplit/>
        </w:trPr>
        <w:tc>
          <w:tcPr>
            <w:tcW w:w="567" w:type="dxa"/>
          </w:tcPr>
          <w:p w14:paraId="52D2618E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8F" w14:textId="77777777" w:rsidR="006E04A4" w:rsidRDefault="00D51CA5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52D26190" w14:textId="77777777" w:rsidR="006E04A4" w:rsidRDefault="00D51C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23957" w14:paraId="52D26195" w14:textId="77777777" w:rsidTr="00055526">
        <w:trPr>
          <w:cantSplit/>
        </w:trPr>
        <w:tc>
          <w:tcPr>
            <w:tcW w:w="567" w:type="dxa"/>
          </w:tcPr>
          <w:p w14:paraId="52D26192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93" w14:textId="77777777" w:rsidR="006E04A4" w:rsidRDefault="00D51CA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2D26194" w14:textId="77777777" w:rsidR="006E04A4" w:rsidRDefault="00D51CA5" w:rsidP="00C84F80">
            <w:pPr>
              <w:keepNext/>
            </w:pPr>
          </w:p>
        </w:tc>
      </w:tr>
      <w:tr w:rsidR="00323957" w14:paraId="52D26199" w14:textId="77777777" w:rsidTr="00055526">
        <w:trPr>
          <w:cantSplit/>
        </w:trPr>
        <w:tc>
          <w:tcPr>
            <w:tcW w:w="567" w:type="dxa"/>
          </w:tcPr>
          <w:p w14:paraId="52D26196" w14:textId="77777777" w:rsidR="001D7AF0" w:rsidRDefault="00D51CA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D26197" w14:textId="77777777" w:rsidR="006E04A4" w:rsidRDefault="00D51CA5" w:rsidP="000326E3">
            <w:r>
              <w:t>2014/15:30 Tillämpning i fråga om Ryssland av lagen (1996:95) om vissa internationella sanktioner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utgår den 14 januari </w:t>
            </w:r>
            <w:r>
              <w:rPr>
                <w:i/>
                <w:iCs/>
              </w:rPr>
              <w:t>2015</w:t>
            </w:r>
          </w:p>
        </w:tc>
        <w:tc>
          <w:tcPr>
            <w:tcW w:w="2055" w:type="dxa"/>
          </w:tcPr>
          <w:p w14:paraId="52D26198" w14:textId="77777777" w:rsidR="006E04A4" w:rsidRDefault="00D51CA5" w:rsidP="00C84F80">
            <w:r>
              <w:t>UU</w:t>
            </w:r>
          </w:p>
        </w:tc>
      </w:tr>
      <w:tr w:rsidR="00323957" w14:paraId="52D2619D" w14:textId="77777777" w:rsidTr="00055526">
        <w:trPr>
          <w:cantSplit/>
        </w:trPr>
        <w:tc>
          <w:tcPr>
            <w:tcW w:w="567" w:type="dxa"/>
          </w:tcPr>
          <w:p w14:paraId="52D2619A" w14:textId="77777777" w:rsidR="001D7AF0" w:rsidRDefault="00D51CA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D2619B" w14:textId="77777777" w:rsidR="006E04A4" w:rsidRDefault="00D51CA5" w:rsidP="000326E3">
            <w:r>
              <w:t>2014/15:39 Vissa frågor om utlandssvenska elevers utbildning i Sverige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 21 januari 2015</w:t>
            </w:r>
          </w:p>
        </w:tc>
        <w:tc>
          <w:tcPr>
            <w:tcW w:w="2055" w:type="dxa"/>
          </w:tcPr>
          <w:p w14:paraId="52D2619C" w14:textId="77777777" w:rsidR="006E04A4" w:rsidRDefault="00D51CA5" w:rsidP="00C84F80">
            <w:r>
              <w:t>UbU</w:t>
            </w:r>
          </w:p>
        </w:tc>
      </w:tr>
      <w:tr w:rsidR="00323957" w14:paraId="52D261A1" w14:textId="77777777" w:rsidTr="00055526">
        <w:trPr>
          <w:cantSplit/>
        </w:trPr>
        <w:tc>
          <w:tcPr>
            <w:tcW w:w="567" w:type="dxa"/>
          </w:tcPr>
          <w:p w14:paraId="52D2619E" w14:textId="77777777" w:rsidR="001D7AF0" w:rsidRDefault="00D51CA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D2619F" w14:textId="77777777" w:rsidR="006E04A4" w:rsidRDefault="00D51CA5" w:rsidP="000326E3">
            <w:r>
              <w:t>2014/15:41 Genomförande av avtal mellan Sveriges regering o</w:t>
            </w:r>
            <w:r>
              <w:t>ch Amerikas förenta staters regering för att förbättra internationell efterlevnad av skatteregler och för att genomföra FATCA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A0" w14:textId="77777777" w:rsidR="006E04A4" w:rsidRDefault="00D51CA5" w:rsidP="00C84F80">
            <w:r>
              <w:t>SkU</w:t>
            </w:r>
          </w:p>
        </w:tc>
      </w:tr>
      <w:tr w:rsidR="00323957" w14:paraId="52D261A5" w14:textId="77777777" w:rsidTr="00055526">
        <w:trPr>
          <w:cantSplit/>
        </w:trPr>
        <w:tc>
          <w:tcPr>
            <w:tcW w:w="567" w:type="dxa"/>
          </w:tcPr>
          <w:p w14:paraId="52D261A2" w14:textId="77777777" w:rsidR="001D7AF0" w:rsidRDefault="00D51CA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D261A3" w14:textId="77777777" w:rsidR="006E04A4" w:rsidRDefault="00D51CA5" w:rsidP="000326E3">
            <w:r>
              <w:t xml:space="preserve">2014/15:43 </w:t>
            </w:r>
            <w:r>
              <w:t>Utbildning för elever i samhällsvård och på sjukhus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A4" w14:textId="77777777" w:rsidR="006E04A4" w:rsidRDefault="00D51CA5" w:rsidP="00C84F80">
            <w:r>
              <w:t>UbU</w:t>
            </w:r>
          </w:p>
        </w:tc>
      </w:tr>
      <w:tr w:rsidR="00323957" w14:paraId="52D261A9" w14:textId="77777777" w:rsidTr="00055526">
        <w:trPr>
          <w:cantSplit/>
        </w:trPr>
        <w:tc>
          <w:tcPr>
            <w:tcW w:w="567" w:type="dxa"/>
          </w:tcPr>
          <w:p w14:paraId="52D261A6" w14:textId="77777777" w:rsidR="001D7AF0" w:rsidRDefault="00D51CA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D261A7" w14:textId="77777777" w:rsidR="006E04A4" w:rsidRDefault="00D51CA5" w:rsidP="000326E3">
            <w:r>
              <w:t>2014/15:44 Möjligheter till fjärrundervisning</w:t>
            </w:r>
            <w:r>
              <w:br/>
            </w:r>
            <w:r>
              <w:rPr>
                <w:i/>
                <w:iCs/>
              </w:rPr>
              <w:t>Kammaren har beslutat om förlängd motionstid</w:t>
            </w:r>
            <w:r>
              <w:rPr>
                <w:i/>
                <w:iCs/>
              </w:rPr>
              <w:t xml:space="preserve"> för denna proposition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A8" w14:textId="77777777" w:rsidR="006E04A4" w:rsidRDefault="00D51CA5" w:rsidP="00C84F80">
            <w:r>
              <w:t>UbU</w:t>
            </w:r>
          </w:p>
        </w:tc>
      </w:tr>
      <w:tr w:rsidR="00323957" w14:paraId="52D261AD" w14:textId="77777777" w:rsidTr="00055526">
        <w:trPr>
          <w:cantSplit/>
        </w:trPr>
        <w:tc>
          <w:tcPr>
            <w:tcW w:w="567" w:type="dxa"/>
          </w:tcPr>
          <w:p w14:paraId="52D261AA" w14:textId="77777777" w:rsidR="001D7AF0" w:rsidRDefault="00D51CA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D261AB" w14:textId="2A2526B7" w:rsidR="006E04A4" w:rsidRDefault="00D51CA5" w:rsidP="000326E3">
            <w:r>
              <w:t xml:space="preserve">2014/15:45 Utbildning för nyanlända elever </w:t>
            </w:r>
            <w:r>
              <w:t xml:space="preserve">– </w:t>
            </w:r>
            <w:bookmarkStart w:id="4" w:name="_GoBack"/>
            <w:bookmarkEnd w:id="4"/>
            <w:r>
              <w:t>mottagande och skolgång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AC" w14:textId="77777777" w:rsidR="006E04A4" w:rsidRDefault="00D51CA5" w:rsidP="00C84F80">
            <w:r>
              <w:t>UbU</w:t>
            </w:r>
          </w:p>
        </w:tc>
      </w:tr>
      <w:tr w:rsidR="00323957" w14:paraId="52D261B1" w14:textId="77777777" w:rsidTr="00055526">
        <w:trPr>
          <w:cantSplit/>
        </w:trPr>
        <w:tc>
          <w:tcPr>
            <w:tcW w:w="567" w:type="dxa"/>
          </w:tcPr>
          <w:p w14:paraId="52D261AE" w14:textId="77777777" w:rsidR="001D7AF0" w:rsidRDefault="00D51CA5" w:rsidP="00C84F80">
            <w:pPr>
              <w:keepNext/>
            </w:pPr>
          </w:p>
        </w:tc>
        <w:tc>
          <w:tcPr>
            <w:tcW w:w="6663" w:type="dxa"/>
          </w:tcPr>
          <w:p w14:paraId="52D261AF" w14:textId="77777777" w:rsidR="006E04A4" w:rsidRDefault="00D51CA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2D261B0" w14:textId="77777777" w:rsidR="006E04A4" w:rsidRDefault="00D51CA5" w:rsidP="00C84F80">
            <w:pPr>
              <w:keepNext/>
            </w:pPr>
          </w:p>
        </w:tc>
      </w:tr>
      <w:tr w:rsidR="00323957" w14:paraId="52D261B5" w14:textId="77777777" w:rsidTr="00055526">
        <w:trPr>
          <w:cantSplit/>
        </w:trPr>
        <w:tc>
          <w:tcPr>
            <w:tcW w:w="567" w:type="dxa"/>
          </w:tcPr>
          <w:p w14:paraId="52D261B2" w14:textId="77777777" w:rsidR="001D7AF0" w:rsidRDefault="00D51CA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D261B3" w14:textId="77777777" w:rsidR="006E04A4" w:rsidRDefault="00D51CA5" w:rsidP="000326E3">
            <w:r>
              <w:t>2014/15:24 Riksrevisionens rapport om Swedfund International AB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B4" w14:textId="77777777" w:rsidR="006E04A4" w:rsidRDefault="00D51CA5" w:rsidP="00C84F80">
            <w:r>
              <w:t>UU</w:t>
            </w:r>
          </w:p>
        </w:tc>
      </w:tr>
      <w:tr w:rsidR="00323957" w14:paraId="52D261B9" w14:textId="77777777" w:rsidTr="00055526">
        <w:trPr>
          <w:cantSplit/>
        </w:trPr>
        <w:tc>
          <w:tcPr>
            <w:tcW w:w="567" w:type="dxa"/>
          </w:tcPr>
          <w:p w14:paraId="52D261B6" w14:textId="77777777" w:rsidR="001D7AF0" w:rsidRDefault="00D51CA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2D261B7" w14:textId="77777777" w:rsidR="006E04A4" w:rsidRDefault="00D51CA5" w:rsidP="000326E3">
            <w:r>
              <w:t xml:space="preserve">2014/15:31 Riksrevisionens rapport om statliga insatser för </w:t>
            </w:r>
            <w:r>
              <w:t>mottagande och bosättning av nyanlända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52D261B8" w14:textId="77777777" w:rsidR="006E04A4" w:rsidRDefault="00D51CA5" w:rsidP="00C84F80">
            <w:r>
              <w:t>AU</w:t>
            </w:r>
          </w:p>
        </w:tc>
      </w:tr>
    </w:tbl>
    <w:p w14:paraId="52D261BA" w14:textId="77777777" w:rsidR="00517888" w:rsidRPr="00F221DA" w:rsidRDefault="00D51CA5" w:rsidP="00137840">
      <w:pPr>
        <w:pStyle w:val="Blankrad"/>
      </w:pPr>
      <w:r>
        <w:t xml:space="preserve">     </w:t>
      </w:r>
    </w:p>
    <w:p w14:paraId="52D261BB" w14:textId="77777777" w:rsidR="00121B42" w:rsidRDefault="00D51CA5" w:rsidP="00121B42">
      <w:pPr>
        <w:pStyle w:val="Blankrad"/>
      </w:pPr>
      <w:r>
        <w:t xml:space="preserve">     </w:t>
      </w:r>
    </w:p>
    <w:p w14:paraId="52D261BC" w14:textId="77777777" w:rsidR="006E04A4" w:rsidRPr="00F221DA" w:rsidRDefault="00D51CA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23957" w14:paraId="52D261BF" w14:textId="77777777" w:rsidTr="00D774A8">
        <w:tc>
          <w:tcPr>
            <w:tcW w:w="567" w:type="dxa"/>
          </w:tcPr>
          <w:p w14:paraId="52D261BD" w14:textId="77777777" w:rsidR="00D774A8" w:rsidRDefault="00D51CA5">
            <w:pPr>
              <w:pStyle w:val="IngenText"/>
            </w:pPr>
          </w:p>
        </w:tc>
        <w:tc>
          <w:tcPr>
            <w:tcW w:w="8718" w:type="dxa"/>
          </w:tcPr>
          <w:p w14:paraId="52D261BE" w14:textId="77777777" w:rsidR="00D774A8" w:rsidRDefault="00D51C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D261C0" w14:textId="77777777" w:rsidR="006E04A4" w:rsidRPr="00852BA1" w:rsidRDefault="00D51CA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261D2" w14:textId="77777777" w:rsidR="00000000" w:rsidRDefault="00D51CA5">
      <w:pPr>
        <w:spacing w:line="240" w:lineRule="auto"/>
      </w:pPr>
      <w:r>
        <w:separator/>
      </w:r>
    </w:p>
  </w:endnote>
  <w:endnote w:type="continuationSeparator" w:id="0">
    <w:p w14:paraId="52D261D4" w14:textId="77777777" w:rsidR="00000000" w:rsidRDefault="00D51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6" w14:textId="77777777" w:rsidR="00BE217A" w:rsidRDefault="00D51CA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7" w14:textId="77777777" w:rsidR="00D73249" w:rsidRDefault="00D51C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2D261C8" w14:textId="77777777" w:rsidR="00D73249" w:rsidRDefault="00D51CA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C" w14:textId="77777777" w:rsidR="00D73249" w:rsidRDefault="00D51C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2D261CD" w14:textId="77777777" w:rsidR="00D73249" w:rsidRDefault="00D51C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61CE" w14:textId="77777777" w:rsidR="00000000" w:rsidRDefault="00D51CA5">
      <w:pPr>
        <w:spacing w:line="240" w:lineRule="auto"/>
      </w:pPr>
      <w:r>
        <w:separator/>
      </w:r>
    </w:p>
  </w:footnote>
  <w:footnote w:type="continuationSeparator" w:id="0">
    <w:p w14:paraId="52D261D0" w14:textId="77777777" w:rsidR="00000000" w:rsidRDefault="00D51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1" w14:textId="77777777" w:rsidR="00BE217A" w:rsidRDefault="00D51CA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2" w14:textId="77777777" w:rsidR="00D73249" w:rsidRDefault="00D51CA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FD416C">
      <w:t>Måndagen den 12 januari 2015</w:t>
    </w:r>
    <w:r>
      <w:fldChar w:fldCharType="end"/>
    </w:r>
  </w:p>
  <w:p w14:paraId="52D261C3" w14:textId="77777777" w:rsidR="00D73249" w:rsidRDefault="00D51C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D261C4" w14:textId="77777777" w:rsidR="00D73249" w:rsidRDefault="00D51CA5"/>
  <w:p w14:paraId="52D261C5" w14:textId="77777777" w:rsidR="00D73249" w:rsidRDefault="00D51C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261C9" w14:textId="77777777" w:rsidR="00D73249" w:rsidRDefault="00D51C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D261CE" wp14:editId="52D261C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261CA" w14:textId="77777777" w:rsidR="00D73249" w:rsidRDefault="00D51CA5" w:rsidP="00BE217A">
    <w:pPr>
      <w:pStyle w:val="Dokumentrubrik"/>
      <w:spacing w:after="360"/>
    </w:pPr>
    <w:r>
      <w:t>Föredragningslista</w:t>
    </w:r>
  </w:p>
  <w:p w14:paraId="52D261CB" w14:textId="77777777" w:rsidR="00D73249" w:rsidRDefault="00D51C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CCD828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D742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A8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0AD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AF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2C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E4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C5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4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3957"/>
    <w:rsid w:val="00323957"/>
    <w:rsid w:val="00D51CA5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13C"/>
  <w15:docId w15:val="{308F8AF0-B91D-4F15-8F71-A18E7494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2015-01-12</SAFIR_Sammantradesdatum_Doc>
    <SAFIR_SammantradeID xmlns="C07A1A6C-0B19-41D9-BDF8-F523BA3921EB">5f568960-3d6a-4330-b1c4-976f8ac04e6e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3BFAC36-2437-423F-9967-AD996ACC2B8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7D85A8A-C6E7-45AD-AE89-8B64657CD02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465</Words>
  <Characters>2757</Characters>
  <Application>Microsoft Office Word</Application>
  <DocSecurity>0</DocSecurity>
  <Lines>153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2015-01-09T12:04:00Z</cp:lastPrinted>
  <dcterms:created xsi:type="dcterms:W3CDTF">2013-03-22T09:28:00Z</dcterms:created>
  <dcterms:modified xsi:type="dcterms:W3CDTF">2015-01-09T12:04:00Z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