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00F" w:rsidRPr="00427DAB" w:rsidRDefault="006F600F">
      <w:pPr>
        <w:pStyle w:val="Rubrik1"/>
        <w:shd w:val="clear" w:color="000000" w:fill="auto"/>
      </w:pPr>
      <w:r w:rsidRPr="00427DAB">
        <w:t>Sammanfattning</w:t>
      </w:r>
    </w:p>
    <w:p w:rsidR="006F600F" w:rsidRPr="00427DAB" w:rsidRDefault="006F600F">
      <w:pPr>
        <w:shd w:val="clear" w:color="000000" w:fill="auto"/>
      </w:pPr>
      <w:r w:rsidRPr="00427DAB">
        <w:t>Vänsterpartiet anser det helt fel att sälja ut statliga företag, folkets egendom. Historiskt skulle vi inte haft en sådan välutvecklad infrastruktur och ett så livskraftigt näringsliv som vi har om inte statliga företag och verk varit tidiga och kvalificerade beställare samt medverkat till riskkapital. Regeringens kompromisslösa tilltro till marknaden riskerar att underminera många sven</w:t>
      </w:r>
      <w:r w:rsidRPr="00427DAB">
        <w:t>s</w:t>
      </w:r>
      <w:r w:rsidRPr="00427DAB">
        <w:t>ka utvecklingsmöjligheter. Därför vill Vänsterpartiet etablera en investerings- och riskkapitalfond som kan ta ett långsiktigt utvecklingsansvar. Små företag kan utvecklas, ge många nya jobb och kanske bli morgondagens storföretag. För att ytterligare stärka de små företagens konkurrenskraft och utveckling</w:t>
      </w:r>
      <w:r w:rsidRPr="00427DAB">
        <w:t>s</w:t>
      </w:r>
      <w:r w:rsidRPr="00427DAB">
        <w:t>kapacitet vill Vänsterpartiet ge mer pengar till Forska och väx samt införa skatteavdrag för mindre företags FoU-arbete. Turismen är under snabb til</w:t>
      </w:r>
      <w:r w:rsidRPr="00427DAB">
        <w:t>l</w:t>
      </w:r>
      <w:r w:rsidRPr="00427DAB">
        <w:t xml:space="preserve">växt, och särskilt i glesbygden finns möjligheter att </w:t>
      </w:r>
      <w:r w:rsidRPr="00427DAB">
        <w:t>stärka näringen. Vänste</w:t>
      </w:r>
      <w:r w:rsidRPr="00427DAB">
        <w:t>r</w:t>
      </w:r>
      <w:r w:rsidRPr="00427DAB">
        <w:t>partiet föreslår att stöd kan ges för att utveckla turistprojekt.</w:t>
      </w:r>
    </w:p>
    <w:p w:rsidR="006F600F" w:rsidRPr="00427DAB" w:rsidRDefault="006F600F">
      <w:pPr>
        <w:pStyle w:val="Hemstlrubrik"/>
        <w:shd w:val="clear" w:color="000000" w:fill="auto"/>
      </w:pPr>
      <w:r w:rsidRPr="00427DAB">
        <w:t>Förslag till riksdagsbeslut</w:t>
      </w:r>
    </w:p>
    <w:p w:rsidR="006F600F" w:rsidRPr="00427DAB" w:rsidRDefault="006F600F">
      <w:pPr>
        <w:pStyle w:val="Hemstlatt"/>
        <w:numPr>
          <w:ilvl w:val="0"/>
          <w:numId w:val="0"/>
        </w:numPr>
        <w:shd w:val="clear" w:color="000000" w:fill="auto"/>
      </w:pPr>
      <w:r w:rsidRPr="00427DAB">
        <w:t>Riksdagen anvisar med följande ändringar i förhålla</w:t>
      </w:r>
      <w:r w:rsidRPr="00427DAB">
        <w:t>n</w:t>
      </w:r>
      <w:r w:rsidRPr="00427DAB">
        <w:t>de till regeringens förslag anslagen under utgiftsområde 24 Näringsliv enligt uppställning:</w:t>
      </w:r>
    </w:p>
    <w:tbl>
      <w:tblPr>
        <w:tblW w:w="6010" w:type="dxa"/>
        <w:tblInd w:w="55" w:type="dxa"/>
        <w:tblLayout w:type="fixed"/>
        <w:tblCellMar>
          <w:left w:w="70" w:type="dxa"/>
          <w:right w:w="70" w:type="dxa"/>
        </w:tblCellMar>
        <w:tblLook w:val="0000" w:firstRow="0" w:lastRow="0" w:firstColumn="0" w:lastColumn="0" w:noHBand="0" w:noVBand="0"/>
      </w:tblPr>
      <w:tblGrid>
        <w:gridCol w:w="706"/>
        <w:gridCol w:w="2119"/>
        <w:gridCol w:w="1759"/>
        <w:gridCol w:w="1426"/>
      </w:tblGrid>
      <w:tr w:rsidR="00000000" w:rsidRPr="00427DAB">
        <w:trPr>
          <w:trHeight w:val="420"/>
        </w:trPr>
        <w:tc>
          <w:tcPr>
            <w:tcW w:w="980" w:type="dxa"/>
            <w:tcBorders>
              <w:top w:val="single" w:sz="4" w:space="0" w:color="auto"/>
              <w:left w:val="nil"/>
              <w:bottom w:val="single" w:sz="8" w:space="0" w:color="000000"/>
              <w:right w:val="nil"/>
            </w:tcBorders>
          </w:tcPr>
          <w:p w:rsidR="006F600F" w:rsidRPr="00427DAB" w:rsidRDefault="006F600F">
            <w:pPr>
              <w:shd w:val="clear" w:color="000000" w:fill="auto"/>
              <w:spacing w:before="60" w:line="200" w:lineRule="exact"/>
              <w:jc w:val="center"/>
              <w:rPr>
                <w:b/>
                <w:bCs/>
                <w:color w:val="000000"/>
                <w:sz w:val="16"/>
                <w:szCs w:val="16"/>
              </w:rPr>
            </w:pPr>
            <w:r w:rsidRPr="00427DAB">
              <w:rPr>
                <w:b/>
                <w:bCs/>
                <w:color w:val="000000"/>
                <w:sz w:val="16"/>
                <w:szCs w:val="16"/>
              </w:rPr>
              <w:t>Anslag</w:t>
            </w:r>
          </w:p>
        </w:tc>
        <w:tc>
          <w:tcPr>
            <w:tcW w:w="3100" w:type="dxa"/>
            <w:tcBorders>
              <w:top w:val="single" w:sz="4" w:space="0" w:color="auto"/>
              <w:left w:val="nil"/>
              <w:bottom w:val="single" w:sz="8" w:space="0" w:color="000000"/>
              <w:right w:val="nil"/>
            </w:tcBorders>
          </w:tcPr>
          <w:p w:rsidR="006F600F" w:rsidRPr="00427DAB" w:rsidRDefault="006F600F">
            <w:pPr>
              <w:shd w:val="clear" w:color="000000" w:fill="auto"/>
              <w:spacing w:before="60" w:line="200" w:lineRule="exact"/>
              <w:jc w:val="center"/>
              <w:rPr>
                <w:b/>
                <w:bCs/>
                <w:color w:val="000000"/>
                <w:sz w:val="16"/>
                <w:szCs w:val="16"/>
              </w:rPr>
            </w:pPr>
          </w:p>
        </w:tc>
        <w:tc>
          <w:tcPr>
            <w:tcW w:w="2560" w:type="dxa"/>
            <w:tcBorders>
              <w:top w:val="single" w:sz="4" w:space="0" w:color="auto"/>
              <w:left w:val="nil"/>
              <w:bottom w:val="single" w:sz="8" w:space="0" w:color="000000"/>
              <w:right w:val="nil"/>
            </w:tcBorders>
          </w:tcPr>
          <w:p w:rsidR="006F600F" w:rsidRPr="00427DAB" w:rsidRDefault="006F600F">
            <w:pPr>
              <w:shd w:val="clear" w:color="000000" w:fill="auto"/>
              <w:spacing w:before="60" w:line="200" w:lineRule="exact"/>
              <w:jc w:val="center"/>
              <w:rPr>
                <w:b/>
                <w:bCs/>
                <w:color w:val="000000"/>
                <w:sz w:val="16"/>
                <w:szCs w:val="16"/>
              </w:rPr>
            </w:pPr>
            <w:r w:rsidRPr="00427DAB">
              <w:rPr>
                <w:b/>
                <w:bCs/>
                <w:color w:val="000000"/>
                <w:sz w:val="16"/>
                <w:szCs w:val="16"/>
              </w:rPr>
              <w:t>Regeringens förslag (tkr)</w:t>
            </w:r>
          </w:p>
        </w:tc>
        <w:tc>
          <w:tcPr>
            <w:tcW w:w="2060" w:type="dxa"/>
            <w:tcBorders>
              <w:top w:val="single" w:sz="4" w:space="0" w:color="auto"/>
              <w:left w:val="nil"/>
              <w:bottom w:val="single" w:sz="8" w:space="0" w:color="000000"/>
              <w:right w:val="nil"/>
            </w:tcBorders>
          </w:tcPr>
          <w:p w:rsidR="006F600F" w:rsidRPr="00427DAB" w:rsidRDefault="006F600F">
            <w:pPr>
              <w:shd w:val="clear" w:color="000000" w:fill="auto"/>
              <w:spacing w:before="60" w:line="200" w:lineRule="exact"/>
              <w:jc w:val="center"/>
              <w:rPr>
                <w:b/>
                <w:bCs/>
                <w:color w:val="000000"/>
                <w:sz w:val="16"/>
                <w:szCs w:val="16"/>
              </w:rPr>
            </w:pPr>
            <w:r w:rsidRPr="00427DAB">
              <w:rPr>
                <w:b/>
                <w:bCs/>
                <w:color w:val="000000"/>
                <w:sz w:val="16"/>
                <w:szCs w:val="16"/>
              </w:rPr>
              <w:t>Förändring (tkr)</w:t>
            </w:r>
          </w:p>
        </w:tc>
      </w:tr>
      <w:tr w:rsidR="00000000" w:rsidRPr="00427DAB">
        <w:trPr>
          <w:trHeight w:val="319"/>
        </w:trPr>
        <w:tc>
          <w:tcPr>
            <w:tcW w:w="980" w:type="dxa"/>
            <w:tcBorders>
              <w:top w:val="nil"/>
              <w:left w:val="nil"/>
              <w:bottom w:val="nil"/>
              <w:right w:val="nil"/>
            </w:tcBorders>
          </w:tcPr>
          <w:p w:rsidR="006F600F" w:rsidRPr="00427DAB" w:rsidRDefault="006F600F">
            <w:pPr>
              <w:shd w:val="clear" w:color="000000" w:fill="auto"/>
              <w:spacing w:before="60" w:line="200" w:lineRule="exact"/>
              <w:rPr>
                <w:color w:val="000000"/>
                <w:sz w:val="16"/>
                <w:szCs w:val="16"/>
              </w:rPr>
            </w:pPr>
            <w:r w:rsidRPr="00427DAB">
              <w:rPr>
                <w:color w:val="000000"/>
                <w:sz w:val="16"/>
                <w:szCs w:val="16"/>
              </w:rPr>
              <w:t>38:1</w:t>
            </w:r>
          </w:p>
        </w:tc>
        <w:tc>
          <w:tcPr>
            <w:tcW w:w="3100" w:type="dxa"/>
            <w:tcBorders>
              <w:top w:val="nil"/>
              <w:left w:val="nil"/>
              <w:bottom w:val="nil"/>
              <w:right w:val="nil"/>
            </w:tcBorders>
            <w:vAlign w:val="bottom"/>
          </w:tcPr>
          <w:p w:rsidR="006F600F" w:rsidRPr="00427DAB" w:rsidRDefault="006F600F">
            <w:pPr>
              <w:shd w:val="clear" w:color="000000" w:fill="auto"/>
              <w:spacing w:before="60" w:line="200" w:lineRule="exact"/>
              <w:rPr>
                <w:sz w:val="16"/>
                <w:szCs w:val="16"/>
              </w:rPr>
            </w:pPr>
            <w:r w:rsidRPr="00427DAB">
              <w:rPr>
                <w:sz w:val="16"/>
                <w:szCs w:val="16"/>
              </w:rPr>
              <w:t>Verket för näringslivsutvec</w:t>
            </w:r>
            <w:r w:rsidRPr="00427DAB">
              <w:rPr>
                <w:sz w:val="16"/>
                <w:szCs w:val="16"/>
              </w:rPr>
              <w:t>k</w:t>
            </w:r>
            <w:r w:rsidRPr="00427DAB">
              <w:rPr>
                <w:sz w:val="16"/>
                <w:szCs w:val="16"/>
              </w:rPr>
              <w:t>ling: Förvaltningskostnader</w:t>
            </w:r>
          </w:p>
        </w:tc>
        <w:tc>
          <w:tcPr>
            <w:tcW w:w="2560" w:type="dxa"/>
            <w:tcBorders>
              <w:top w:val="nil"/>
              <w:left w:val="nil"/>
              <w:bottom w:val="nil"/>
              <w:right w:val="nil"/>
            </w:tcBorders>
            <w:vAlign w:val="bottom"/>
          </w:tcPr>
          <w:p w:rsidR="006F600F" w:rsidRPr="00427DAB" w:rsidRDefault="006F600F">
            <w:pPr>
              <w:shd w:val="clear" w:color="000000" w:fill="auto"/>
              <w:spacing w:before="60" w:line="200" w:lineRule="exact"/>
              <w:ind w:right="419"/>
              <w:jc w:val="right"/>
              <w:rPr>
                <w:color w:val="000000"/>
                <w:sz w:val="16"/>
                <w:szCs w:val="16"/>
              </w:rPr>
            </w:pPr>
            <w:r w:rsidRPr="00427DAB">
              <w:rPr>
                <w:color w:val="000000"/>
                <w:sz w:val="16"/>
                <w:szCs w:val="16"/>
              </w:rPr>
              <w:t>334 323</w:t>
            </w:r>
          </w:p>
        </w:tc>
        <w:tc>
          <w:tcPr>
            <w:tcW w:w="2060" w:type="dxa"/>
            <w:tcBorders>
              <w:top w:val="nil"/>
              <w:left w:val="nil"/>
              <w:bottom w:val="nil"/>
              <w:right w:val="nil"/>
            </w:tcBorders>
            <w:vAlign w:val="bottom"/>
          </w:tcPr>
          <w:p w:rsidR="006F600F" w:rsidRPr="00427DAB" w:rsidRDefault="006F600F">
            <w:pPr>
              <w:shd w:val="clear" w:color="000000" w:fill="auto"/>
              <w:spacing w:before="60" w:line="200" w:lineRule="exact"/>
              <w:ind w:right="419"/>
              <w:jc w:val="right"/>
              <w:rPr>
                <w:color w:val="000000"/>
                <w:sz w:val="16"/>
                <w:szCs w:val="16"/>
              </w:rPr>
            </w:pPr>
            <w:r w:rsidRPr="00427DAB">
              <w:rPr>
                <w:color w:val="000000"/>
                <w:sz w:val="16"/>
                <w:szCs w:val="16"/>
              </w:rPr>
              <w:t>10 000</w:t>
            </w:r>
          </w:p>
        </w:tc>
      </w:tr>
      <w:tr w:rsidR="00000000" w:rsidRPr="00427DAB">
        <w:trPr>
          <w:trHeight w:val="319"/>
        </w:trPr>
        <w:tc>
          <w:tcPr>
            <w:tcW w:w="980" w:type="dxa"/>
            <w:tcBorders>
              <w:top w:val="nil"/>
              <w:left w:val="nil"/>
              <w:bottom w:val="nil"/>
              <w:right w:val="nil"/>
            </w:tcBorders>
            <w:vAlign w:val="bottom"/>
          </w:tcPr>
          <w:p w:rsidR="006F600F" w:rsidRPr="00427DAB" w:rsidRDefault="006F600F">
            <w:pPr>
              <w:shd w:val="clear" w:color="000000" w:fill="auto"/>
              <w:spacing w:before="60" w:line="200" w:lineRule="exact"/>
              <w:rPr>
                <w:color w:val="000000"/>
                <w:sz w:val="16"/>
                <w:szCs w:val="16"/>
              </w:rPr>
            </w:pPr>
            <w:r w:rsidRPr="00427DAB">
              <w:rPr>
                <w:color w:val="000000"/>
                <w:sz w:val="16"/>
                <w:szCs w:val="16"/>
              </w:rPr>
              <w:t>38:4</w:t>
            </w:r>
          </w:p>
        </w:tc>
        <w:tc>
          <w:tcPr>
            <w:tcW w:w="3100" w:type="dxa"/>
            <w:tcBorders>
              <w:top w:val="nil"/>
              <w:left w:val="nil"/>
              <w:bottom w:val="nil"/>
              <w:right w:val="nil"/>
            </w:tcBorders>
            <w:vAlign w:val="bottom"/>
          </w:tcPr>
          <w:p w:rsidR="006F600F" w:rsidRPr="00427DAB" w:rsidRDefault="006F600F">
            <w:pPr>
              <w:shd w:val="clear" w:color="000000" w:fill="auto"/>
              <w:spacing w:before="60" w:line="200" w:lineRule="exact"/>
              <w:rPr>
                <w:sz w:val="16"/>
                <w:szCs w:val="16"/>
              </w:rPr>
            </w:pPr>
            <w:r w:rsidRPr="00427DAB">
              <w:rPr>
                <w:sz w:val="16"/>
                <w:szCs w:val="16"/>
              </w:rPr>
              <w:t>Turistfrämjande</w:t>
            </w:r>
          </w:p>
        </w:tc>
        <w:tc>
          <w:tcPr>
            <w:tcW w:w="2560" w:type="dxa"/>
            <w:tcBorders>
              <w:top w:val="nil"/>
              <w:left w:val="nil"/>
              <w:bottom w:val="nil"/>
              <w:right w:val="nil"/>
            </w:tcBorders>
            <w:vAlign w:val="bottom"/>
          </w:tcPr>
          <w:p w:rsidR="006F600F" w:rsidRPr="00427DAB" w:rsidRDefault="006F600F">
            <w:pPr>
              <w:shd w:val="clear" w:color="000000" w:fill="auto"/>
              <w:spacing w:before="60" w:line="200" w:lineRule="exact"/>
              <w:ind w:right="419"/>
              <w:jc w:val="right"/>
              <w:rPr>
                <w:color w:val="000000"/>
                <w:sz w:val="16"/>
                <w:szCs w:val="16"/>
              </w:rPr>
            </w:pPr>
            <w:r w:rsidRPr="00427DAB">
              <w:rPr>
                <w:color w:val="000000"/>
                <w:sz w:val="16"/>
                <w:szCs w:val="16"/>
              </w:rPr>
              <w:t>99 763</w:t>
            </w:r>
          </w:p>
        </w:tc>
        <w:tc>
          <w:tcPr>
            <w:tcW w:w="2060" w:type="dxa"/>
            <w:tcBorders>
              <w:top w:val="nil"/>
              <w:left w:val="nil"/>
              <w:bottom w:val="nil"/>
              <w:right w:val="nil"/>
            </w:tcBorders>
            <w:vAlign w:val="bottom"/>
          </w:tcPr>
          <w:p w:rsidR="006F600F" w:rsidRPr="00427DAB" w:rsidRDefault="006F600F">
            <w:pPr>
              <w:shd w:val="clear" w:color="000000" w:fill="auto"/>
              <w:spacing w:before="60" w:line="200" w:lineRule="exact"/>
              <w:ind w:right="419"/>
              <w:jc w:val="right"/>
              <w:rPr>
                <w:color w:val="000000"/>
                <w:sz w:val="16"/>
                <w:szCs w:val="16"/>
              </w:rPr>
            </w:pPr>
            <w:r w:rsidRPr="00427DAB">
              <w:rPr>
                <w:color w:val="000000"/>
                <w:sz w:val="16"/>
                <w:szCs w:val="16"/>
              </w:rPr>
              <w:t>10 000</w:t>
            </w:r>
          </w:p>
        </w:tc>
      </w:tr>
      <w:tr w:rsidR="00000000" w:rsidRPr="00427DAB">
        <w:trPr>
          <w:trHeight w:val="319"/>
        </w:trPr>
        <w:tc>
          <w:tcPr>
            <w:tcW w:w="980" w:type="dxa"/>
            <w:tcBorders>
              <w:top w:val="nil"/>
              <w:left w:val="nil"/>
              <w:right w:val="nil"/>
            </w:tcBorders>
          </w:tcPr>
          <w:p w:rsidR="006F600F" w:rsidRPr="00427DAB" w:rsidRDefault="006F600F">
            <w:pPr>
              <w:shd w:val="clear" w:color="000000" w:fill="auto"/>
              <w:spacing w:before="60" w:line="200" w:lineRule="exact"/>
              <w:rPr>
                <w:color w:val="000000"/>
                <w:sz w:val="16"/>
                <w:szCs w:val="16"/>
              </w:rPr>
            </w:pPr>
            <w:r w:rsidRPr="00427DAB">
              <w:rPr>
                <w:color w:val="000000"/>
                <w:sz w:val="16"/>
                <w:szCs w:val="16"/>
              </w:rPr>
              <w:t>38:17</w:t>
            </w:r>
          </w:p>
        </w:tc>
        <w:tc>
          <w:tcPr>
            <w:tcW w:w="3100" w:type="dxa"/>
            <w:tcBorders>
              <w:top w:val="nil"/>
              <w:left w:val="nil"/>
              <w:right w:val="nil"/>
            </w:tcBorders>
            <w:vAlign w:val="bottom"/>
          </w:tcPr>
          <w:p w:rsidR="006F600F" w:rsidRPr="00427DAB" w:rsidRDefault="006F600F">
            <w:pPr>
              <w:shd w:val="clear" w:color="000000" w:fill="auto"/>
              <w:spacing w:before="60" w:line="200" w:lineRule="exact"/>
              <w:rPr>
                <w:sz w:val="16"/>
                <w:szCs w:val="16"/>
              </w:rPr>
            </w:pPr>
            <w:r w:rsidRPr="00427DAB">
              <w:rPr>
                <w:sz w:val="16"/>
                <w:szCs w:val="16"/>
              </w:rPr>
              <w:t>Kostnader för omstrukturering och genomlysning av statligt ägda företag</w:t>
            </w:r>
          </w:p>
        </w:tc>
        <w:tc>
          <w:tcPr>
            <w:tcW w:w="2560" w:type="dxa"/>
            <w:tcBorders>
              <w:top w:val="nil"/>
              <w:left w:val="nil"/>
              <w:right w:val="nil"/>
            </w:tcBorders>
            <w:vAlign w:val="bottom"/>
          </w:tcPr>
          <w:p w:rsidR="006F600F" w:rsidRPr="00427DAB" w:rsidRDefault="006F600F">
            <w:pPr>
              <w:shd w:val="clear" w:color="000000" w:fill="auto"/>
              <w:spacing w:before="60" w:line="200" w:lineRule="exact"/>
              <w:ind w:right="419"/>
              <w:jc w:val="right"/>
              <w:rPr>
                <w:color w:val="000000"/>
                <w:sz w:val="16"/>
                <w:szCs w:val="16"/>
              </w:rPr>
            </w:pPr>
            <w:r w:rsidRPr="00427DAB">
              <w:rPr>
                <w:color w:val="000000"/>
                <w:sz w:val="16"/>
                <w:szCs w:val="16"/>
              </w:rPr>
              <w:t>129 850</w:t>
            </w:r>
          </w:p>
        </w:tc>
        <w:tc>
          <w:tcPr>
            <w:tcW w:w="2060" w:type="dxa"/>
            <w:tcBorders>
              <w:top w:val="nil"/>
              <w:left w:val="nil"/>
              <w:right w:val="nil"/>
            </w:tcBorders>
            <w:vAlign w:val="bottom"/>
          </w:tcPr>
          <w:p w:rsidR="006F600F" w:rsidRPr="00427DAB" w:rsidRDefault="006F600F">
            <w:pPr>
              <w:pStyle w:val="PunktlistaTankstreck"/>
              <w:numPr>
                <w:ilvl w:val="0"/>
                <w:numId w:val="0"/>
              </w:numPr>
              <w:shd w:val="clear" w:color="000000" w:fill="auto"/>
              <w:spacing w:before="60" w:line="200" w:lineRule="exact"/>
              <w:ind w:right="419"/>
              <w:jc w:val="right"/>
              <w:rPr>
                <w:sz w:val="16"/>
                <w:szCs w:val="16"/>
              </w:rPr>
            </w:pPr>
            <w:r w:rsidRPr="00427DAB">
              <w:rPr>
                <w:sz w:val="16"/>
                <w:szCs w:val="16"/>
              </w:rPr>
              <w:t>–100 000</w:t>
            </w:r>
          </w:p>
        </w:tc>
      </w:tr>
      <w:tr w:rsidR="00000000" w:rsidRPr="00427DAB">
        <w:trPr>
          <w:trHeight w:val="319"/>
        </w:trPr>
        <w:tc>
          <w:tcPr>
            <w:tcW w:w="980" w:type="dxa"/>
            <w:tcBorders>
              <w:top w:val="nil"/>
              <w:left w:val="nil"/>
              <w:bottom w:val="single" w:sz="4" w:space="0" w:color="auto"/>
              <w:right w:val="nil"/>
            </w:tcBorders>
          </w:tcPr>
          <w:p w:rsidR="006F600F" w:rsidRPr="00427DAB" w:rsidRDefault="006F600F">
            <w:pPr>
              <w:shd w:val="clear" w:color="000000" w:fill="auto"/>
              <w:spacing w:before="60" w:line="200" w:lineRule="exact"/>
              <w:rPr>
                <w:b/>
                <w:bCs/>
                <w:color w:val="000000"/>
                <w:sz w:val="16"/>
                <w:szCs w:val="16"/>
              </w:rPr>
            </w:pPr>
          </w:p>
        </w:tc>
        <w:tc>
          <w:tcPr>
            <w:tcW w:w="3100" w:type="dxa"/>
            <w:tcBorders>
              <w:top w:val="nil"/>
              <w:left w:val="nil"/>
              <w:bottom w:val="single" w:sz="4" w:space="0" w:color="auto"/>
              <w:right w:val="nil"/>
            </w:tcBorders>
            <w:vAlign w:val="bottom"/>
          </w:tcPr>
          <w:p w:rsidR="006F600F" w:rsidRPr="00427DAB" w:rsidRDefault="006F600F">
            <w:pPr>
              <w:shd w:val="clear" w:color="000000" w:fill="auto"/>
              <w:spacing w:before="60" w:line="200" w:lineRule="exact"/>
              <w:rPr>
                <w:b/>
                <w:bCs/>
                <w:color w:val="000000"/>
                <w:sz w:val="16"/>
                <w:szCs w:val="16"/>
              </w:rPr>
            </w:pPr>
            <w:r w:rsidRPr="00427DAB">
              <w:rPr>
                <w:b/>
                <w:bCs/>
                <w:color w:val="000000"/>
                <w:sz w:val="16"/>
                <w:szCs w:val="16"/>
              </w:rPr>
              <w:t>Summa</w:t>
            </w:r>
          </w:p>
        </w:tc>
        <w:tc>
          <w:tcPr>
            <w:tcW w:w="2560" w:type="dxa"/>
            <w:tcBorders>
              <w:top w:val="nil"/>
              <w:left w:val="nil"/>
              <w:bottom w:val="single" w:sz="4" w:space="0" w:color="auto"/>
              <w:right w:val="nil"/>
            </w:tcBorders>
            <w:vAlign w:val="bottom"/>
          </w:tcPr>
          <w:p w:rsidR="006F600F" w:rsidRPr="00427DAB" w:rsidRDefault="006F600F">
            <w:pPr>
              <w:shd w:val="clear" w:color="000000" w:fill="auto"/>
              <w:spacing w:before="60" w:line="200" w:lineRule="exact"/>
              <w:ind w:right="419"/>
              <w:jc w:val="right"/>
              <w:rPr>
                <w:b/>
                <w:sz w:val="16"/>
                <w:szCs w:val="16"/>
              </w:rPr>
            </w:pPr>
            <w:r w:rsidRPr="00427DAB">
              <w:rPr>
                <w:b/>
                <w:sz w:val="16"/>
                <w:szCs w:val="16"/>
              </w:rPr>
              <w:t>2 509 224</w:t>
            </w:r>
          </w:p>
        </w:tc>
        <w:tc>
          <w:tcPr>
            <w:tcW w:w="2060" w:type="dxa"/>
            <w:tcBorders>
              <w:top w:val="nil"/>
              <w:left w:val="nil"/>
              <w:bottom w:val="single" w:sz="4" w:space="0" w:color="auto"/>
              <w:right w:val="nil"/>
            </w:tcBorders>
            <w:vAlign w:val="bottom"/>
          </w:tcPr>
          <w:p w:rsidR="006F600F" w:rsidRPr="00427DAB" w:rsidRDefault="006F600F">
            <w:pPr>
              <w:shd w:val="clear" w:color="000000" w:fill="auto"/>
              <w:spacing w:before="60" w:line="200" w:lineRule="exact"/>
              <w:ind w:right="419"/>
              <w:jc w:val="right"/>
              <w:rPr>
                <w:b/>
                <w:sz w:val="16"/>
                <w:szCs w:val="16"/>
              </w:rPr>
            </w:pPr>
            <w:r w:rsidRPr="00427DAB">
              <w:rPr>
                <w:b/>
                <w:sz w:val="16"/>
                <w:szCs w:val="16"/>
              </w:rPr>
              <w:t xml:space="preserve"> –80 000 </w:t>
            </w:r>
          </w:p>
        </w:tc>
      </w:tr>
    </w:tbl>
    <w:p w:rsidR="006F600F" w:rsidRPr="00427DAB" w:rsidRDefault="006F600F">
      <w:pPr>
        <w:shd w:val="clear" w:color="000000" w:fill="auto"/>
      </w:pPr>
    </w:p>
    <w:p w:rsidR="006F600F" w:rsidRPr="00427DAB" w:rsidRDefault="006F600F">
      <w:pPr>
        <w:pStyle w:val="Rubrik1"/>
        <w:shd w:val="clear" w:color="000000" w:fill="auto"/>
      </w:pPr>
      <w:r w:rsidRPr="00427DAB">
        <w:lastRenderedPageBreak/>
        <w:t>Ingen utförsäljning av statliga företag</w:t>
      </w:r>
    </w:p>
    <w:p w:rsidR="006F600F" w:rsidRPr="00427DAB" w:rsidRDefault="006F600F">
      <w:pPr>
        <w:shd w:val="clear" w:color="000000" w:fill="auto"/>
      </w:pPr>
      <w:r w:rsidRPr="00427DAB">
        <w:t>Statliga företag har historiskt spelat en avgörande roll som välståndsskapare och motor för utvecklingen av Sveriges näringsliv. Utan en aktiv samverkan mellan stat och näringsliv hade vi inte haft så många internationellt konku</w:t>
      </w:r>
      <w:r w:rsidRPr="00427DAB">
        <w:t>r</w:t>
      </w:r>
      <w:r w:rsidRPr="00427DAB">
        <w:t>renskraftiga företag som står för ett stort exportvärde. För att säkra en fung</w:t>
      </w:r>
      <w:r w:rsidRPr="00427DAB">
        <w:t>e</w:t>
      </w:r>
      <w:r w:rsidRPr="00427DAB">
        <w:t>rande konkurrens på olika marknader och klara långsiktiga uppgifter som uppbyggnad av ett hållbart energisystem, minska utsläppen av växthusgaser och bygga en effektiv infrastruktur för IT behöver vi fortsatt statliga företag och myndigheter. Vänsterpartiet avvisar regeringens planer på utförsäljning av statliga företag och det därmed förbundna stödet på 100 miljoner kronor.</w:t>
      </w:r>
    </w:p>
    <w:p w:rsidR="006F600F" w:rsidRPr="00427DAB" w:rsidRDefault="006F600F">
      <w:pPr>
        <w:pStyle w:val="Rubrik1"/>
        <w:shd w:val="clear" w:color="000000" w:fill="auto"/>
      </w:pPr>
      <w:r w:rsidRPr="00427DAB">
        <w:t>Investerings- och riskkapitalfond</w:t>
      </w:r>
    </w:p>
    <w:p w:rsidR="006F600F" w:rsidRPr="00427DAB" w:rsidRDefault="006F600F">
      <w:pPr>
        <w:shd w:val="clear" w:color="000000" w:fill="auto"/>
      </w:pPr>
      <w:r w:rsidRPr="00427DAB">
        <w:t>Vänsterpartiet tror inte att det är möjligt att återställa den utförsäljning som regeringen har påbörjat. Men vi vill bygga nya stora starka företag. Vi vill säkra en långsiktig välfärd. Vi vill att alla skall ha arbete. Mot denna ba</w:t>
      </w:r>
      <w:r w:rsidRPr="00427DAB">
        <w:t>k</w:t>
      </w:r>
      <w:r w:rsidRPr="00427DAB">
        <w:t>grund föreslår Vänsterpartiet att en investerings- och riskkapitalfond etabl</w:t>
      </w:r>
      <w:r w:rsidRPr="00427DAB">
        <w:t>e</w:t>
      </w:r>
      <w:r w:rsidRPr="00427DAB">
        <w:t>ras, se vår motion om ägardirektiv.</w:t>
      </w:r>
    </w:p>
    <w:p w:rsidR="006F600F" w:rsidRPr="00427DAB" w:rsidRDefault="006F600F">
      <w:pPr>
        <w:pStyle w:val="Rubrik1"/>
        <w:shd w:val="clear" w:color="000000" w:fill="auto"/>
      </w:pPr>
      <w:r w:rsidRPr="00427DAB">
        <w:t>Forska och väx</w:t>
      </w:r>
    </w:p>
    <w:p w:rsidR="006F600F" w:rsidRPr="00427DAB" w:rsidRDefault="006F600F">
      <w:pPr>
        <w:shd w:val="clear" w:color="000000" w:fill="auto"/>
      </w:pPr>
      <w:r w:rsidRPr="00427DAB">
        <w:t>Små företag med utvecklade marknadsrelationer har en stor potential för att identifiera goda utvecklingsidéer – idéer som för kommersialiseringen allt oftare kräver kvalificerade FoU-insatser, exempelvis för att tillämpa nya te</w:t>
      </w:r>
      <w:r w:rsidRPr="00427DAB">
        <w:t>k</w:t>
      </w:r>
      <w:r w:rsidRPr="00427DAB">
        <w:t>niska rön. Programmet Forska och väx på Vinnova erbjuder små och mede</w:t>
      </w:r>
      <w:r w:rsidRPr="00427DAB">
        <w:t>l</w:t>
      </w:r>
      <w:r w:rsidRPr="00427DAB">
        <w:t>stora företag stöd för kvalificerade utvecklingsprojekt. Det stora söktrycket är en tydlig indikation på ett stort behov av ekonomiskt stöd men också att hundratals, kanske tusentals små företag bär på kommersiellt lovande innov</w:t>
      </w:r>
      <w:r w:rsidRPr="00427DAB">
        <w:t>a</w:t>
      </w:r>
      <w:r w:rsidRPr="00427DAB">
        <w:t>tionsidéer. Vänsterpartiet menar att en ökning av medelstilldelningen bör ske och anslår därför 50 miljoner kronor för 2008 och 100 miljoner kronor de följande åren utöver regeringens förslag.</w:t>
      </w:r>
    </w:p>
    <w:p w:rsidR="006F600F" w:rsidRPr="00427DAB" w:rsidRDefault="006F600F">
      <w:pPr>
        <w:pStyle w:val="Rubrik1"/>
        <w:shd w:val="clear" w:color="000000" w:fill="auto"/>
      </w:pPr>
      <w:r w:rsidRPr="00427DAB">
        <w:t>Skatteavdrag för Fo</w:t>
      </w:r>
      <w:r w:rsidRPr="00427DAB">
        <w:t>U i små företag</w:t>
      </w:r>
    </w:p>
    <w:p w:rsidR="006F600F" w:rsidRPr="00427DAB" w:rsidRDefault="006F600F">
      <w:pPr>
        <w:pStyle w:val="PunktlistaTankstreck"/>
        <w:numPr>
          <w:ilvl w:val="0"/>
          <w:numId w:val="0"/>
        </w:numPr>
        <w:shd w:val="clear" w:color="000000" w:fill="auto"/>
      </w:pPr>
      <w:r w:rsidRPr="00427DAB">
        <w:t>Vänsterpartiet vill ytterliggare stärka de små och medelstora företagens inc</w:t>
      </w:r>
      <w:r w:rsidRPr="00427DAB">
        <w:t>i</w:t>
      </w:r>
      <w:r w:rsidRPr="00427DAB">
        <w:t>taments- och utvecklingskapacitet genom satsning på att små företag skall kunna kreditera skattekontot för forskning, utveckling och produktutveckling. Den här typen av FoU-stöd är inte ovanligt i andra länder. Vårt grannland Norge har t.ex. ett sådant sedan 2001.</w:t>
      </w:r>
    </w:p>
    <w:p w:rsidR="006F600F" w:rsidRPr="00427DAB" w:rsidRDefault="006F600F">
      <w:pPr>
        <w:pStyle w:val="Normaltindrag"/>
        <w:shd w:val="clear" w:color="000000" w:fill="auto"/>
      </w:pPr>
      <w:r w:rsidRPr="00427DAB">
        <w:t>Vänsterpartiet har i särskild budgetmotion avsatt 100 miljoner kronor från och med 2008 för ändamålet.</w:t>
      </w:r>
    </w:p>
    <w:p w:rsidR="006F600F" w:rsidRPr="00427DAB" w:rsidRDefault="006F600F">
      <w:pPr>
        <w:pStyle w:val="Rubrik1"/>
        <w:shd w:val="clear" w:color="000000" w:fill="auto"/>
      </w:pPr>
      <w:r w:rsidRPr="00427DAB">
        <w:t>Turistprojekt</w:t>
      </w:r>
    </w:p>
    <w:p w:rsidR="006F600F" w:rsidRPr="00427DAB" w:rsidRDefault="006F600F">
      <w:pPr>
        <w:shd w:val="clear" w:color="000000" w:fill="auto"/>
      </w:pPr>
      <w:r w:rsidRPr="00427DAB">
        <w:t>Turismen är under snabb tillväxt, och särskilt i glesbygden finns möjligheter att stärka näringen. Vänsterpartiet föreslår att 90 miljoner kronor under tre år satsas på att utveckla turistprojekt.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DAB">
        <w:trPr>
          <w:cantSplit/>
        </w:trPr>
        <w:tc>
          <w:tcPr>
            <w:tcW w:w="3046" w:type="dxa"/>
          </w:tcPr>
          <w:p w:rsidR="006F600F" w:rsidRPr="00427DAB" w:rsidRDefault="006F600F">
            <w:pPr>
              <w:pStyle w:val="UnderskriftDatum"/>
              <w:shd w:val="clear" w:color="000000" w:fill="auto"/>
              <w:spacing w:before="240"/>
            </w:pPr>
            <w:r w:rsidRPr="00427DAB">
              <w:t>Stockholm den 4 oktober 2007</w:t>
            </w:r>
          </w:p>
        </w:tc>
        <w:tc>
          <w:tcPr>
            <w:tcW w:w="3047" w:type="dxa"/>
          </w:tcPr>
          <w:p w:rsidR="006F600F" w:rsidRPr="00427DAB" w:rsidRDefault="006F600F">
            <w:pPr>
              <w:pStyle w:val="Underskrifter"/>
              <w:shd w:val="clear" w:color="000000" w:fill="auto"/>
              <w:spacing w:before="240"/>
            </w:pPr>
          </w:p>
        </w:tc>
      </w:tr>
      <w:tr w:rsidR="00000000" w:rsidRPr="00427DAB">
        <w:trPr>
          <w:cantSplit/>
        </w:trPr>
        <w:tc>
          <w:tcPr>
            <w:tcW w:w="3046" w:type="dxa"/>
          </w:tcPr>
          <w:p w:rsidR="006F600F" w:rsidRPr="00427DAB" w:rsidRDefault="006F600F">
            <w:pPr>
              <w:pStyle w:val="Underskrifter"/>
              <w:shd w:val="clear" w:color="000000" w:fill="auto"/>
            </w:pPr>
            <w:r w:rsidRPr="00427DAB">
              <w:t>Lars Ohly (v)</w:t>
            </w:r>
          </w:p>
        </w:tc>
        <w:tc>
          <w:tcPr>
            <w:tcW w:w="3046" w:type="dxa"/>
          </w:tcPr>
          <w:p w:rsidR="006F600F" w:rsidRPr="00427DAB" w:rsidRDefault="006F600F">
            <w:pPr>
              <w:pStyle w:val="Underskrifter"/>
              <w:shd w:val="clear" w:color="000000" w:fill="auto"/>
            </w:pPr>
          </w:p>
        </w:tc>
      </w:tr>
      <w:tr w:rsidR="00000000" w:rsidRPr="00427DAB">
        <w:trPr>
          <w:cantSplit/>
        </w:trPr>
        <w:tc>
          <w:tcPr>
            <w:tcW w:w="3046" w:type="dxa"/>
          </w:tcPr>
          <w:p w:rsidR="006F600F" w:rsidRPr="00427DAB" w:rsidRDefault="006F600F">
            <w:pPr>
              <w:pStyle w:val="Underskrifter"/>
              <w:shd w:val="clear" w:color="000000" w:fill="auto"/>
            </w:pPr>
            <w:r w:rsidRPr="00427DAB">
              <w:t>Marianne Berg (v)</w:t>
            </w:r>
          </w:p>
        </w:tc>
        <w:tc>
          <w:tcPr>
            <w:tcW w:w="3046" w:type="dxa"/>
          </w:tcPr>
          <w:p w:rsidR="006F600F" w:rsidRPr="00427DAB" w:rsidRDefault="006F600F">
            <w:pPr>
              <w:pStyle w:val="Underskrifter"/>
              <w:shd w:val="clear" w:color="000000" w:fill="auto"/>
            </w:pPr>
            <w:r w:rsidRPr="00427DAB">
              <w:t>Wiwi-Anne Johansson (v)</w:t>
            </w:r>
          </w:p>
        </w:tc>
      </w:tr>
      <w:tr w:rsidR="00000000" w:rsidRPr="00427DAB">
        <w:trPr>
          <w:cantSplit/>
        </w:trPr>
        <w:tc>
          <w:tcPr>
            <w:tcW w:w="3046" w:type="dxa"/>
          </w:tcPr>
          <w:p w:rsidR="006F600F" w:rsidRPr="00427DAB" w:rsidRDefault="006F600F">
            <w:pPr>
              <w:pStyle w:val="Underskrifter"/>
              <w:shd w:val="clear" w:color="000000" w:fill="auto"/>
            </w:pPr>
            <w:r w:rsidRPr="00427DAB">
              <w:t>Hans Linde (v)</w:t>
            </w:r>
          </w:p>
        </w:tc>
        <w:tc>
          <w:tcPr>
            <w:tcW w:w="3046" w:type="dxa"/>
          </w:tcPr>
          <w:p w:rsidR="006F600F" w:rsidRPr="00427DAB" w:rsidRDefault="006F600F">
            <w:pPr>
              <w:pStyle w:val="Underskrifter"/>
              <w:shd w:val="clear" w:color="000000" w:fill="auto"/>
            </w:pPr>
            <w:r w:rsidRPr="00427DAB">
              <w:t>Elina Linna (v)</w:t>
            </w:r>
          </w:p>
        </w:tc>
      </w:tr>
      <w:tr w:rsidR="00000000" w:rsidRPr="00427DAB">
        <w:trPr>
          <w:cantSplit/>
        </w:trPr>
        <w:tc>
          <w:tcPr>
            <w:tcW w:w="3046" w:type="dxa"/>
          </w:tcPr>
          <w:p w:rsidR="006F600F" w:rsidRPr="00427DAB" w:rsidRDefault="006F600F">
            <w:pPr>
              <w:pStyle w:val="Underskrifter"/>
              <w:shd w:val="clear" w:color="000000" w:fill="auto"/>
            </w:pPr>
            <w:r w:rsidRPr="00427DAB">
              <w:t>Alice Åström (v)</w:t>
            </w:r>
          </w:p>
        </w:tc>
        <w:tc>
          <w:tcPr>
            <w:tcW w:w="3046" w:type="dxa"/>
          </w:tcPr>
          <w:p w:rsidR="006F600F" w:rsidRPr="00427DAB" w:rsidRDefault="006F600F">
            <w:pPr>
              <w:pStyle w:val="Underskrifter"/>
              <w:shd w:val="clear" w:color="000000" w:fill="auto"/>
            </w:pPr>
            <w:r w:rsidRPr="00427DAB">
              <w:t>Kent Persson (v)</w:t>
            </w:r>
          </w:p>
        </w:tc>
      </w:tr>
    </w:tbl>
    <w:p w:rsidR="006F600F" w:rsidRPr="00427DAB" w:rsidRDefault="006F600F">
      <w:pPr>
        <w:pStyle w:val="Normaltindrag"/>
        <w:shd w:val="clear" w:color="000000" w:fill="auto"/>
      </w:pPr>
    </w:p>
    <w:sectPr w:rsidR="006F600F" w:rsidRPr="00427D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00F" w:rsidRPr="00427DAB" w:rsidRDefault="006F600F">
      <w:r w:rsidRPr="00427DAB">
        <w:separator/>
      </w:r>
    </w:p>
  </w:endnote>
  <w:endnote w:type="continuationSeparator" w:id="0">
    <w:p w:rsidR="006F600F" w:rsidRPr="00427DAB" w:rsidRDefault="006F600F">
      <w:r w:rsidRPr="00427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427DAB">
    <w:pPr>
      <w:pStyle w:val="Sidfot"/>
    </w:pPr>
    <w:r w:rsidRPr="00427D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191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0F" w:rsidRDefault="006F6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00F" w:rsidRDefault="006F6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427DAB">
    <w:pPr>
      <w:pStyle w:val="Sidfot"/>
    </w:pPr>
    <w:r w:rsidRPr="00427D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511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0F" w:rsidRDefault="006F60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00F" w:rsidRDefault="006F60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427DAB">
    <w:pPr>
      <w:pStyle w:val="Sidfot"/>
    </w:pPr>
    <w:r w:rsidRPr="00427D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764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0F" w:rsidRDefault="006F6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00F" w:rsidRDefault="006F6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00F" w:rsidRPr="00427DAB" w:rsidRDefault="006F600F">
      <w:r w:rsidRPr="00427DAB">
        <w:separator/>
      </w:r>
    </w:p>
  </w:footnote>
  <w:footnote w:type="continuationSeparator" w:id="0">
    <w:p w:rsidR="006F600F" w:rsidRPr="00427DAB" w:rsidRDefault="006F600F">
      <w:r w:rsidRPr="00427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427DAB">
    <w:pPr>
      <w:pStyle w:val="Sidhuvud"/>
    </w:pPr>
    <w:r w:rsidRPr="00427D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836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0F" w:rsidRDefault="006F60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00F" w:rsidRDefault="006F60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427DAB">
    <w:pPr>
      <w:pStyle w:val="Sidhuvud"/>
    </w:pPr>
    <w:r w:rsidRPr="00427D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704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0F" w:rsidRDefault="006F60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00F" w:rsidRDefault="006F60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00F" w:rsidRPr="00427DAB" w:rsidRDefault="006F600F">
    <w:pPr>
      <w:pStyle w:val="FSHNormal"/>
      <w:tabs>
        <w:tab w:val="right" w:pos="5840"/>
      </w:tabs>
    </w:pPr>
    <w:r w:rsidRPr="00427DAB">
      <w:br/>
    </w:r>
    <w:r w:rsidRPr="00427DAB">
      <w:fldChar w:fldCharType="begin" w:fldLock="1"/>
    </w:r>
    <w:r w:rsidRPr="00427DAB">
      <w:instrText xml:space="preserve"> DOCPROPERTY</w:instrText>
    </w:r>
    <w:r w:rsidRPr="00427DAB">
      <w:rPr>
        <w:sz w:val="18"/>
      </w:rPr>
      <w:instrText xml:space="preserve"> "YearUser" *\charformat </w:instrText>
    </w:r>
    <w:r w:rsidRPr="00427DAB">
      <w:fldChar w:fldCharType="separate"/>
    </w:r>
    <w:r w:rsidRPr="00427DAB">
      <w:t>2007/08</w:t>
    </w:r>
    <w:r w:rsidRPr="00427DAB">
      <w:fldChar w:fldCharType="end"/>
    </w:r>
    <w:r w:rsidRPr="00427DAB">
      <w:t xml:space="preserve"> </w:t>
    </w:r>
    <w:r w:rsidRPr="00427DAB">
      <w:tab/>
      <w:t xml:space="preserve">mnr: </w:t>
    </w:r>
    <w:r w:rsidRPr="00427DAB">
      <w:fldChar w:fldCharType="begin" w:fldLock="1"/>
    </w:r>
    <w:r w:rsidRPr="00427DAB">
      <w:instrText xml:space="preserve"> DOCPROPERTY</w:instrText>
    </w:r>
    <w:r w:rsidRPr="00427DAB">
      <w:rPr>
        <w:sz w:val="18"/>
      </w:rPr>
      <w:instrText xml:space="preserve"> "Motionsnummer" *\charformat </w:instrText>
    </w:r>
    <w:r w:rsidRPr="00427DAB">
      <w:fldChar w:fldCharType="separate"/>
    </w:r>
    <w:r w:rsidRPr="00427DAB">
      <w:t>N285</w:t>
    </w:r>
    <w:r w:rsidRPr="00427DAB">
      <w:fldChar w:fldCharType="end"/>
    </w:r>
    <w:r w:rsidRPr="00427DAB">
      <w:br/>
    </w:r>
    <w:r w:rsidRPr="00427DAB">
      <w:fldChar w:fldCharType="begin" w:fldLock="1"/>
    </w:r>
    <w:r w:rsidRPr="00427DAB">
      <w:instrText xml:space="preserve"> DOCPROPERTY</w:instrText>
    </w:r>
    <w:r w:rsidRPr="00427DAB">
      <w:rPr>
        <w:sz w:val="18"/>
      </w:rPr>
      <w:instrText xml:space="preserve"> "Samling" *\charformat </w:instrText>
    </w:r>
    <w:r w:rsidRPr="00427DAB">
      <w:fldChar w:fldCharType="end"/>
    </w:r>
    <w:r w:rsidRPr="00427DAB">
      <w:tab/>
      <w:t xml:space="preserve">pnr: </w:t>
    </w:r>
    <w:r w:rsidRPr="00427DAB">
      <w:fldChar w:fldCharType="begin" w:fldLock="1"/>
    </w:r>
    <w:r w:rsidRPr="00427DAB">
      <w:instrText xml:space="preserve"> DOCPROPERTY</w:instrText>
    </w:r>
    <w:r w:rsidRPr="00427DAB">
      <w:rPr>
        <w:sz w:val="18"/>
      </w:rPr>
      <w:instrText xml:space="preserve"> "Partinummer" *\charformat </w:instrText>
    </w:r>
    <w:r w:rsidRPr="00427DAB">
      <w:fldChar w:fldCharType="separate"/>
    </w:r>
    <w:r w:rsidRPr="00427DAB">
      <w:t>v950</w:t>
    </w:r>
    <w:r w:rsidRPr="00427DAB">
      <w:fldChar w:fldCharType="end"/>
    </w:r>
  </w:p>
  <w:p w:rsidR="006F600F" w:rsidRPr="00427DAB" w:rsidRDefault="006F600F">
    <w:pPr>
      <w:pStyle w:val="FSHRub1"/>
    </w:pPr>
    <w:r w:rsidRPr="00427DAB">
      <w:t>Motion till riksdagen</w:t>
    </w:r>
    <w:r w:rsidRPr="00427DAB">
      <w:br/>
    </w:r>
    <w:r w:rsidRPr="00427DAB">
      <w:fldChar w:fldCharType="begin" w:fldLock="1"/>
    </w:r>
    <w:r w:rsidRPr="00427DAB">
      <w:instrText xml:space="preserve"> DOCPROPERTY "YearUser" *\charformat </w:instrText>
    </w:r>
    <w:r w:rsidRPr="00427DAB">
      <w:fldChar w:fldCharType="separate"/>
    </w:r>
    <w:r w:rsidRPr="00427DAB">
      <w:t>2007/08</w:t>
    </w:r>
    <w:r w:rsidRPr="00427DAB">
      <w:fldChar w:fldCharType="end"/>
    </w:r>
    <w:r w:rsidRPr="00427DAB">
      <w:t>:</w:t>
    </w:r>
    <w:r w:rsidRPr="00427DAB">
      <w:fldChar w:fldCharType="begin" w:fldLock="1"/>
    </w:r>
    <w:r w:rsidRPr="00427DAB">
      <w:instrText xml:space="preserve"> DOCPROPERTY "Motionsnummer" *\charformat </w:instrText>
    </w:r>
    <w:r w:rsidRPr="00427DAB">
      <w:fldChar w:fldCharType="separate"/>
    </w:r>
    <w:r w:rsidRPr="00427DAB">
      <w:t>N285</w:t>
    </w:r>
    <w:r w:rsidRPr="00427DAB">
      <w:fldChar w:fldCharType="end"/>
    </w:r>
  </w:p>
  <w:p w:rsidR="006F600F" w:rsidRPr="00427DAB" w:rsidRDefault="006F600F">
    <w:pPr>
      <w:pStyle w:val="FSHNormalS5"/>
    </w:pPr>
    <w:r w:rsidRPr="00427DAB">
      <w:fldChar w:fldCharType="begin" w:fldLock="1"/>
    </w:r>
    <w:r w:rsidRPr="00427DAB">
      <w:instrText xml:space="preserve"> DOCPROPERTY "MotionarText" *\charformat </w:instrText>
    </w:r>
    <w:r w:rsidRPr="00427DAB">
      <w:fldChar w:fldCharType="separate"/>
    </w:r>
    <w:r w:rsidRPr="00427DAB">
      <w:t>av Lars Ohly m.fl. (v)</w:t>
    </w:r>
    <w:r w:rsidRPr="00427DAB">
      <w:fldChar w:fldCharType="end"/>
    </w:r>
    <w:r w:rsidRPr="00427DAB">
      <w:br/>
    </w:r>
    <w:r w:rsidRPr="00427DAB">
      <w:fldChar w:fldCharType="begin" w:fldLock="1"/>
    </w:r>
    <w:r w:rsidRPr="00427DAB">
      <w:instrText xml:space="preserve"> DOCPROPERTY "SvarFrasKort" *\charformat </w:instrText>
    </w:r>
    <w:r w:rsidRPr="00427DAB">
      <w:fldChar w:fldCharType="end"/>
    </w:r>
  </w:p>
  <w:p w:rsidR="006F600F" w:rsidRPr="00427DAB" w:rsidRDefault="006F600F">
    <w:pPr>
      <w:pStyle w:val="FSHTitel"/>
    </w:pPr>
    <w:r w:rsidRPr="00427DAB">
      <w:fldChar w:fldCharType="begin" w:fldLock="1"/>
    </w:r>
    <w:r w:rsidRPr="00427DAB">
      <w:instrText xml:space="preserve"> DOCPROPERTY</w:instrText>
    </w:r>
    <w:r w:rsidRPr="00427DAB">
      <w:rPr>
        <w:sz w:val="18"/>
      </w:rPr>
      <w:instrText xml:space="preserve"> "RubrikSvar" *\charformat </w:instrText>
    </w:r>
    <w:r w:rsidRPr="00427DAB">
      <w:fldChar w:fldCharType="separate"/>
    </w:r>
    <w:r w:rsidRPr="00427DAB">
      <w:t>Utgiftsområde 24 Näringsliv</w:t>
    </w:r>
    <w:r w:rsidRPr="00427DAB">
      <w:fldChar w:fldCharType="end"/>
    </w:r>
  </w:p>
  <w:p w:rsidR="006F600F" w:rsidRPr="00427DAB" w:rsidRDefault="006F600F">
    <w:pPr>
      <w:pStyle w:val="Normal00"/>
    </w:pPr>
  </w:p>
  <w:p w:rsidR="006F600F" w:rsidRPr="00427DAB" w:rsidRDefault="006F6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294C2F"/>
    <w:multiLevelType w:val="hybridMultilevel"/>
    <w:tmpl w:val="D256AED0"/>
    <w:lvl w:ilvl="0" w:tplc="A530B58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BBEE2336">
      <w:start w:val="1"/>
      <w:numFmt w:val="decimal"/>
      <w:lvlText w:val="%1."/>
      <w:lvlJc w:val="left"/>
      <w:pPr>
        <w:tabs>
          <w:tab w:val="num" w:pos="340"/>
        </w:tabs>
        <w:ind w:left="340" w:hanging="340"/>
      </w:pPr>
    </w:lvl>
    <w:lvl w:ilvl="1" w:tplc="4BE60BB6" w:tentative="1">
      <w:start w:val="1"/>
      <w:numFmt w:val="lowerLetter"/>
      <w:lvlText w:val="%2."/>
      <w:lvlJc w:val="left"/>
      <w:pPr>
        <w:tabs>
          <w:tab w:val="num" w:pos="1440"/>
        </w:tabs>
        <w:ind w:left="1440" w:hanging="360"/>
      </w:pPr>
    </w:lvl>
    <w:lvl w:ilvl="2" w:tplc="847E5496" w:tentative="1">
      <w:start w:val="1"/>
      <w:numFmt w:val="lowerRoman"/>
      <w:lvlText w:val="%3."/>
      <w:lvlJc w:val="right"/>
      <w:pPr>
        <w:tabs>
          <w:tab w:val="num" w:pos="2160"/>
        </w:tabs>
        <w:ind w:left="2160" w:hanging="180"/>
      </w:pPr>
    </w:lvl>
    <w:lvl w:ilvl="3" w:tplc="6BE22580" w:tentative="1">
      <w:start w:val="1"/>
      <w:numFmt w:val="decimal"/>
      <w:lvlText w:val="%4."/>
      <w:lvlJc w:val="left"/>
      <w:pPr>
        <w:tabs>
          <w:tab w:val="num" w:pos="2880"/>
        </w:tabs>
        <w:ind w:left="2880" w:hanging="360"/>
      </w:pPr>
    </w:lvl>
    <w:lvl w:ilvl="4" w:tplc="17C44036" w:tentative="1">
      <w:start w:val="1"/>
      <w:numFmt w:val="lowerLetter"/>
      <w:lvlText w:val="%5."/>
      <w:lvlJc w:val="left"/>
      <w:pPr>
        <w:tabs>
          <w:tab w:val="num" w:pos="3600"/>
        </w:tabs>
        <w:ind w:left="3600" w:hanging="360"/>
      </w:pPr>
    </w:lvl>
    <w:lvl w:ilvl="5" w:tplc="A96887F0" w:tentative="1">
      <w:start w:val="1"/>
      <w:numFmt w:val="lowerRoman"/>
      <w:lvlText w:val="%6."/>
      <w:lvlJc w:val="right"/>
      <w:pPr>
        <w:tabs>
          <w:tab w:val="num" w:pos="4320"/>
        </w:tabs>
        <w:ind w:left="4320" w:hanging="180"/>
      </w:pPr>
    </w:lvl>
    <w:lvl w:ilvl="6" w:tplc="A99AE2AC" w:tentative="1">
      <w:start w:val="1"/>
      <w:numFmt w:val="decimal"/>
      <w:lvlText w:val="%7."/>
      <w:lvlJc w:val="left"/>
      <w:pPr>
        <w:tabs>
          <w:tab w:val="num" w:pos="5040"/>
        </w:tabs>
        <w:ind w:left="5040" w:hanging="360"/>
      </w:pPr>
    </w:lvl>
    <w:lvl w:ilvl="7" w:tplc="6C289210" w:tentative="1">
      <w:start w:val="1"/>
      <w:numFmt w:val="lowerLetter"/>
      <w:lvlText w:val="%8."/>
      <w:lvlJc w:val="left"/>
      <w:pPr>
        <w:tabs>
          <w:tab w:val="num" w:pos="5760"/>
        </w:tabs>
        <w:ind w:left="5760" w:hanging="360"/>
      </w:pPr>
    </w:lvl>
    <w:lvl w:ilvl="8" w:tplc="0872627E" w:tentative="1">
      <w:start w:val="1"/>
      <w:numFmt w:val="lowerRoman"/>
      <w:lvlText w:val="%9."/>
      <w:lvlJc w:val="right"/>
      <w:pPr>
        <w:tabs>
          <w:tab w:val="num" w:pos="6480"/>
        </w:tabs>
        <w:ind w:left="6480" w:hanging="180"/>
      </w:pPr>
    </w:lvl>
  </w:abstractNum>
  <w:abstractNum w:abstractNumId="16" w15:restartNumberingAfterBreak="0">
    <w:nsid w:val="696E727C"/>
    <w:multiLevelType w:val="multilevel"/>
    <w:tmpl w:val="C54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32760589">
    <w:abstractNumId w:val="15"/>
  </w:num>
  <w:num w:numId="2" w16cid:durableId="1051466375">
    <w:abstractNumId w:val="10"/>
  </w:num>
  <w:num w:numId="3" w16cid:durableId="1602759721">
    <w:abstractNumId w:val="13"/>
  </w:num>
  <w:num w:numId="4" w16cid:durableId="1652247934">
    <w:abstractNumId w:val="14"/>
  </w:num>
  <w:num w:numId="5" w16cid:durableId="418329334">
    <w:abstractNumId w:val="8"/>
  </w:num>
  <w:num w:numId="6" w16cid:durableId="939873115">
    <w:abstractNumId w:val="3"/>
  </w:num>
  <w:num w:numId="7" w16cid:durableId="206571299">
    <w:abstractNumId w:val="2"/>
  </w:num>
  <w:num w:numId="8" w16cid:durableId="214243347">
    <w:abstractNumId w:val="1"/>
  </w:num>
  <w:num w:numId="9" w16cid:durableId="1113551236">
    <w:abstractNumId w:val="0"/>
  </w:num>
  <w:num w:numId="10" w16cid:durableId="737485290">
    <w:abstractNumId w:val="9"/>
  </w:num>
  <w:num w:numId="11" w16cid:durableId="987511436">
    <w:abstractNumId w:val="7"/>
  </w:num>
  <w:num w:numId="12" w16cid:durableId="1574730049">
    <w:abstractNumId w:val="6"/>
  </w:num>
  <w:num w:numId="13" w16cid:durableId="88081731">
    <w:abstractNumId w:val="5"/>
  </w:num>
  <w:num w:numId="14" w16cid:durableId="2138640417">
    <w:abstractNumId w:val="4"/>
  </w:num>
  <w:num w:numId="15" w16cid:durableId="1968733011">
    <w:abstractNumId w:val="12"/>
  </w:num>
  <w:num w:numId="16" w16cid:durableId="1678997975">
    <w:abstractNumId w:val="17"/>
  </w:num>
  <w:num w:numId="17" w16cid:durableId="301812009">
    <w:abstractNumId w:val="11"/>
  </w:num>
  <w:num w:numId="18" w16cid:durableId="1901360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7E0BF71E-CD03-4DBF-9F51-3B5B798F2741},{CBCE2632-605E-484A-97AC-47C334EA7100}"/>
  </w:docVars>
  <w:rsids>
    <w:rsidRoot w:val="00D17291"/>
    <w:rsid w:val="00427DAB"/>
    <w:rsid w:val="006F600F"/>
    <w:rsid w:val="00D172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1F98C3-0310-4EA9-B1CB-55A9108C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Rubrik1Char">
    <w:name w:val="Rubrik 1 Char"/>
    <w:basedOn w:val="Standardstycketeckensnitt"/>
    <w:link w:val="Rubrik1"/>
    <w:locked/>
    <w:rPr>
      <w:sz w:val="32"/>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2963">
      <w:bodyDiv w:val="1"/>
      <w:marLeft w:val="0"/>
      <w:marRight w:val="0"/>
      <w:marTop w:val="0"/>
      <w:marBottom w:val="0"/>
      <w:divBdr>
        <w:top w:val="none" w:sz="0" w:space="0" w:color="auto"/>
        <w:left w:val="none" w:sz="0" w:space="0" w:color="auto"/>
        <w:bottom w:val="none" w:sz="0" w:space="0" w:color="auto"/>
        <w:right w:val="none" w:sz="0" w:space="0" w:color="auto"/>
      </w:divBdr>
    </w:div>
    <w:div w:id="373313148">
      <w:bodyDiv w:val="1"/>
      <w:marLeft w:val="0"/>
      <w:marRight w:val="0"/>
      <w:marTop w:val="0"/>
      <w:marBottom w:val="0"/>
      <w:divBdr>
        <w:top w:val="none" w:sz="0" w:space="0" w:color="auto"/>
        <w:left w:val="none" w:sz="0" w:space="0" w:color="auto"/>
        <w:bottom w:val="none" w:sz="0" w:space="0" w:color="auto"/>
        <w:right w:val="none" w:sz="0" w:space="0" w:color="auto"/>
      </w:divBdr>
    </w:div>
    <w:div w:id="788012743">
      <w:bodyDiv w:val="1"/>
      <w:marLeft w:val="0"/>
      <w:marRight w:val="0"/>
      <w:marTop w:val="0"/>
      <w:marBottom w:val="0"/>
      <w:divBdr>
        <w:top w:val="none" w:sz="0" w:space="0" w:color="auto"/>
        <w:left w:val="none" w:sz="0" w:space="0" w:color="auto"/>
        <w:bottom w:val="none" w:sz="0" w:space="0" w:color="auto"/>
        <w:right w:val="none" w:sz="0" w:space="0" w:color="auto"/>
      </w:divBdr>
    </w:div>
    <w:div w:id="885920481">
      <w:bodyDiv w:val="1"/>
      <w:marLeft w:val="0"/>
      <w:marRight w:val="0"/>
      <w:marTop w:val="0"/>
      <w:marBottom w:val="0"/>
      <w:divBdr>
        <w:top w:val="none" w:sz="0" w:space="0" w:color="auto"/>
        <w:left w:val="none" w:sz="0" w:space="0" w:color="auto"/>
        <w:bottom w:val="none" w:sz="0" w:space="0" w:color="auto"/>
        <w:right w:val="none" w:sz="0" w:space="0" w:color="auto"/>
      </w:divBdr>
    </w:div>
    <w:div w:id="936910275">
      <w:bodyDiv w:val="1"/>
      <w:marLeft w:val="0"/>
      <w:marRight w:val="0"/>
      <w:marTop w:val="0"/>
      <w:marBottom w:val="0"/>
      <w:divBdr>
        <w:top w:val="none" w:sz="0" w:space="0" w:color="auto"/>
        <w:left w:val="none" w:sz="0" w:space="0" w:color="auto"/>
        <w:bottom w:val="none" w:sz="0" w:space="0" w:color="auto"/>
        <w:right w:val="none" w:sz="0" w:space="0" w:color="auto"/>
      </w:divBdr>
    </w:div>
    <w:div w:id="1098797871">
      <w:bodyDiv w:val="1"/>
      <w:marLeft w:val="0"/>
      <w:marRight w:val="0"/>
      <w:marTop w:val="0"/>
      <w:marBottom w:val="0"/>
      <w:divBdr>
        <w:top w:val="none" w:sz="0" w:space="0" w:color="auto"/>
        <w:left w:val="none" w:sz="0" w:space="0" w:color="auto"/>
        <w:bottom w:val="none" w:sz="0" w:space="0" w:color="auto"/>
        <w:right w:val="none" w:sz="0" w:space="0" w:color="auto"/>
      </w:divBdr>
      <w:divsChild>
        <w:div w:id="58790151">
          <w:marLeft w:val="-15"/>
          <w:marRight w:val="-15"/>
          <w:marTop w:val="0"/>
          <w:marBottom w:val="0"/>
          <w:divBdr>
            <w:top w:val="none" w:sz="0" w:space="0" w:color="auto"/>
            <w:left w:val="single" w:sz="6" w:space="0" w:color="DADADA"/>
            <w:bottom w:val="none" w:sz="0" w:space="0" w:color="auto"/>
            <w:right w:val="single" w:sz="6" w:space="0" w:color="DADADA"/>
          </w:divBdr>
          <w:divsChild>
            <w:div w:id="2098018802">
              <w:marLeft w:val="0"/>
              <w:marRight w:val="0"/>
              <w:marTop w:val="0"/>
              <w:marBottom w:val="0"/>
              <w:divBdr>
                <w:top w:val="none" w:sz="0" w:space="0" w:color="auto"/>
                <w:left w:val="single" w:sz="48" w:space="0" w:color="FFFFFF"/>
                <w:bottom w:val="none" w:sz="0" w:space="0" w:color="auto"/>
                <w:right w:val="none" w:sz="0" w:space="0" w:color="auto"/>
              </w:divBdr>
              <w:divsChild>
                <w:div w:id="1992367970">
                  <w:marLeft w:val="-15"/>
                  <w:marRight w:val="-15"/>
                  <w:marTop w:val="0"/>
                  <w:marBottom w:val="0"/>
                  <w:divBdr>
                    <w:top w:val="none" w:sz="0" w:space="0" w:color="auto"/>
                    <w:left w:val="single" w:sz="6" w:space="0" w:color="F9C661"/>
                    <w:bottom w:val="none" w:sz="0" w:space="0" w:color="auto"/>
                    <w:right w:val="single" w:sz="6" w:space="0" w:color="DADADA"/>
                  </w:divBdr>
                  <w:divsChild>
                    <w:div w:id="1952977527">
                      <w:marLeft w:val="-30"/>
                      <w:marRight w:val="-45"/>
                      <w:marTop w:val="0"/>
                      <w:marBottom w:val="0"/>
                      <w:divBdr>
                        <w:top w:val="none" w:sz="0" w:space="0" w:color="auto"/>
                        <w:left w:val="none" w:sz="0" w:space="0" w:color="auto"/>
                        <w:bottom w:val="none" w:sz="0" w:space="0" w:color="auto"/>
                        <w:right w:val="none" w:sz="0" w:space="0" w:color="auto"/>
                      </w:divBdr>
                      <w:divsChild>
                        <w:div w:id="4383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71088">
      <w:bodyDiv w:val="1"/>
      <w:marLeft w:val="0"/>
      <w:marRight w:val="0"/>
      <w:marTop w:val="0"/>
      <w:marBottom w:val="0"/>
      <w:divBdr>
        <w:top w:val="none" w:sz="0" w:space="0" w:color="auto"/>
        <w:left w:val="none" w:sz="0" w:space="0" w:color="auto"/>
        <w:bottom w:val="none" w:sz="0" w:space="0" w:color="auto"/>
        <w:right w:val="none" w:sz="0" w:space="0" w:color="auto"/>
      </w:divBdr>
    </w:div>
    <w:div w:id="1311522630">
      <w:bodyDiv w:val="1"/>
      <w:marLeft w:val="0"/>
      <w:marRight w:val="0"/>
      <w:marTop w:val="0"/>
      <w:marBottom w:val="0"/>
      <w:divBdr>
        <w:top w:val="none" w:sz="0" w:space="0" w:color="auto"/>
        <w:left w:val="none" w:sz="0" w:space="0" w:color="auto"/>
        <w:bottom w:val="none" w:sz="0" w:space="0" w:color="auto"/>
        <w:right w:val="none" w:sz="0" w:space="0" w:color="auto"/>
      </w:divBdr>
    </w:div>
    <w:div w:id="1557859903">
      <w:bodyDiv w:val="1"/>
      <w:marLeft w:val="0"/>
      <w:marRight w:val="0"/>
      <w:marTop w:val="0"/>
      <w:marBottom w:val="0"/>
      <w:divBdr>
        <w:top w:val="none" w:sz="0" w:space="0" w:color="auto"/>
        <w:left w:val="none" w:sz="0" w:space="0" w:color="auto"/>
        <w:bottom w:val="none" w:sz="0" w:space="0" w:color="auto"/>
        <w:right w:val="none" w:sz="0" w:space="0" w:color="auto"/>
      </w:divBdr>
    </w:div>
    <w:div w:id="1695688620">
      <w:bodyDiv w:val="1"/>
      <w:marLeft w:val="0"/>
      <w:marRight w:val="0"/>
      <w:marTop w:val="0"/>
      <w:marBottom w:val="0"/>
      <w:divBdr>
        <w:top w:val="none" w:sz="0" w:space="0" w:color="auto"/>
        <w:left w:val="none" w:sz="0" w:space="0" w:color="auto"/>
        <w:bottom w:val="none" w:sz="0" w:space="0" w:color="auto"/>
        <w:right w:val="none" w:sz="0" w:space="0" w:color="auto"/>
      </w:divBdr>
    </w:div>
    <w:div w:id="19892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3583</Characters>
  <Application>Microsoft Office Word</Application>
  <DocSecurity>4</DocSecurity>
  <Lines>91</Lines>
  <Paragraphs>47</Paragraphs>
  <ScaleCrop>false</ScaleCrop>
  <HeadingPairs>
    <vt:vector size="2" baseType="variant">
      <vt:variant>
        <vt:lpstr>Rubrik</vt:lpstr>
      </vt:variant>
      <vt:variant>
        <vt:i4>1</vt:i4>
      </vt:variant>
    </vt:vector>
  </HeadingPairs>
  <TitlesOfParts>
    <vt:vector size="1" baseType="lpstr">
      <vt:lpstr>v950</vt:lpstr>
    </vt:vector>
  </TitlesOfParts>
  <Company>Riksdagen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v950</dc:title>
  <dc:subject>v950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2007-11-06T13:40:00Z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20072008000000000118000009500080</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20072008000000000118000009500080</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{29228DCD-FB61-440A-80DC-308F04BA3AFC}</vt:lpwstr>
  </property>
  <property fmtid="{D5CDD505-2E9C-101B-9397-08002B2CF9AE}" pid="53" name="Överföringar">
    <vt:i4>0</vt:i4>
  </property>
  <property fmtid="{D5CDD505-2E9C-101B-9397-08002B2CF9AE}" pid="54" name="Checksum">
    <vt:lpwstr>*0007526702869*</vt:lpwstr>
  </property>
  <property fmtid="{D5CDD505-2E9C-101B-9397-08002B2CF9AE}" pid="55" name="skuggnummer">
    <vt:lpwstr>1964</vt:lpwstr>
  </property>
  <property fmtid="{D5CDD505-2E9C-101B-9397-08002B2CF9AE}" pid="56" name="urixVersion">
    <vt:lpwstr>3.2.0.8</vt:lpwstr>
  </property>
  <property fmtid="{D5CDD505-2E9C-101B-9397-08002B2CF9AE}" pid="57" name="urixOrigin">
    <vt:lpwstr>071106 14:40:43.669</vt:lpwstr>
  </property>
  <property fmtid="{D5CDD505-2E9C-101B-9397-08002B2CF9AE}" pid="58" name="urixGuid">
    <vt:lpwstr>{F0749C1E-4B99-41A2-A150-54E076FA58A9}</vt:lpwstr>
  </property>
</Properties>
</file>