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34B6">
        <w:tblPrEx>
          <w:tblCellMar>
            <w:top w:w="0" w:type="dxa"/>
            <w:left w:w="0" w:type="dxa"/>
            <w:bottom w:w="0" w:type="dxa"/>
            <w:right w:w="0" w:type="dxa"/>
          </w:tblCellMar>
        </w:tblPrEx>
        <w:trPr>
          <w:gridAfter w:val="2"/>
          <w:wAfter w:w="1758" w:type="dxa"/>
          <w:cantSplit/>
          <w:trHeight w:val="1320"/>
        </w:trPr>
        <w:tc>
          <w:tcPr>
            <w:tcW w:w="5897" w:type="dxa"/>
          </w:tcPr>
          <w:p w:rsidR="0079658E" w:rsidRPr="000D34B6" w:rsidRDefault="0079658E">
            <w:pPr>
              <w:pStyle w:val="HuvudRubrik"/>
            </w:pPr>
            <w:r w:rsidRPr="000D34B6">
              <w:t>Regeringskansliet</w:t>
            </w:r>
          </w:p>
          <w:p w:rsidR="0079658E" w:rsidRPr="000D34B6" w:rsidRDefault="0079658E">
            <w:pPr>
              <w:pStyle w:val="HuvudRubrik"/>
            </w:pPr>
            <w:r w:rsidRPr="000D34B6">
              <w:t>Faktapromemoria  2010/11:FPM115</w:t>
            </w:r>
          </w:p>
        </w:tc>
      </w:tr>
      <w:tr w:rsidR="00000000" w:rsidRPr="000D34B6">
        <w:tblPrEx>
          <w:tblCellMar>
            <w:top w:w="0" w:type="dxa"/>
            <w:left w:w="0" w:type="dxa"/>
            <w:bottom w:w="0" w:type="dxa"/>
            <w:right w:w="0" w:type="dxa"/>
          </w:tblCellMar>
        </w:tblPrEx>
        <w:trPr>
          <w:gridAfter w:val="2"/>
          <w:wAfter w:w="1758" w:type="dxa"/>
          <w:cantSplit/>
          <w:trHeight w:val="240"/>
        </w:trPr>
        <w:tc>
          <w:tcPr>
            <w:tcW w:w="5897" w:type="dxa"/>
          </w:tcPr>
          <w:p w:rsidR="0079658E" w:rsidRPr="000D34B6" w:rsidRDefault="0079658E">
            <w:pPr>
              <w:pStyle w:val="HuvudRubrik"/>
              <w:rPr>
                <w:sz w:val="28"/>
              </w:rPr>
            </w:pPr>
            <w:r w:rsidRPr="000D34B6">
              <w:t>Ett öppet Internet och nätneutraliet i Europa</w:t>
            </w:r>
          </w:p>
        </w:tc>
      </w:tr>
      <w:tr w:rsidR="00000000" w:rsidRPr="000D34B6">
        <w:tblPrEx>
          <w:tblCellMar>
            <w:top w:w="0" w:type="dxa"/>
            <w:left w:w="0" w:type="dxa"/>
            <w:bottom w:w="0" w:type="dxa"/>
            <w:right w:w="0" w:type="dxa"/>
          </w:tblCellMar>
        </w:tblPrEx>
        <w:trPr>
          <w:cantSplit/>
          <w:trHeight w:val="285"/>
        </w:trPr>
        <w:tc>
          <w:tcPr>
            <w:tcW w:w="7655" w:type="dxa"/>
            <w:gridSpan w:val="3"/>
          </w:tcPr>
          <w:p w:rsidR="0079658E" w:rsidRPr="000D34B6" w:rsidRDefault="0079658E">
            <w:pPr>
              <w:pStyle w:val="Departement"/>
              <w:rPr>
                <w:sz w:val="28"/>
              </w:rPr>
            </w:pPr>
            <w:r w:rsidRPr="000D34B6">
              <w:t>Näringsdepartementet</w:t>
            </w:r>
          </w:p>
        </w:tc>
      </w:tr>
      <w:tr w:rsidR="00000000" w:rsidRPr="000D34B6">
        <w:tblPrEx>
          <w:tblCellMar>
            <w:top w:w="0" w:type="dxa"/>
            <w:left w:w="0" w:type="dxa"/>
            <w:bottom w:w="0" w:type="dxa"/>
            <w:right w:w="0" w:type="dxa"/>
          </w:tblCellMar>
        </w:tblPrEx>
        <w:trPr>
          <w:cantSplit/>
          <w:trHeight w:val="240"/>
        </w:trPr>
        <w:tc>
          <w:tcPr>
            <w:tcW w:w="7655" w:type="dxa"/>
            <w:gridSpan w:val="3"/>
          </w:tcPr>
          <w:p w:rsidR="0079658E" w:rsidRPr="000D34B6" w:rsidRDefault="0079658E">
            <w:pPr>
              <w:pStyle w:val="Dokumentdatum"/>
            </w:pPr>
            <w:r w:rsidRPr="000D34B6">
              <w:t>2011-05-23</w:t>
            </w:r>
          </w:p>
        </w:tc>
      </w:tr>
      <w:tr w:rsidR="00000000" w:rsidRPr="000D34B6">
        <w:tblPrEx>
          <w:tblCellMar>
            <w:top w:w="0" w:type="dxa"/>
            <w:left w:w="0" w:type="dxa"/>
            <w:bottom w:w="0" w:type="dxa"/>
            <w:right w:w="0" w:type="dxa"/>
          </w:tblCellMar>
        </w:tblPrEx>
        <w:trPr>
          <w:cantSplit/>
          <w:trHeight w:val="726"/>
        </w:trPr>
        <w:tc>
          <w:tcPr>
            <w:tcW w:w="7655" w:type="dxa"/>
            <w:gridSpan w:val="3"/>
            <w:vAlign w:val="bottom"/>
          </w:tcPr>
          <w:p w:rsidR="0079658E" w:rsidRPr="000D34B6" w:rsidRDefault="0079658E">
            <w:pPr>
              <w:pStyle w:val="Dokumentbeteckning"/>
            </w:pPr>
            <w:r w:rsidRPr="000D34B6">
              <w:t>Dokumentbeteckning</w:t>
            </w:r>
          </w:p>
        </w:tc>
      </w:tr>
      <w:tr w:rsidR="00000000" w:rsidRPr="000D34B6">
        <w:tblPrEx>
          <w:tblCellMar>
            <w:top w:w="0" w:type="dxa"/>
            <w:left w:w="0" w:type="dxa"/>
            <w:bottom w:w="0" w:type="dxa"/>
            <w:right w:w="0" w:type="dxa"/>
          </w:tblCellMar>
        </w:tblPrEx>
        <w:trPr>
          <w:gridAfter w:val="1"/>
          <w:wAfter w:w="1560" w:type="dxa"/>
          <w:trHeight w:val="120"/>
        </w:trPr>
        <w:tc>
          <w:tcPr>
            <w:tcW w:w="6095" w:type="dxa"/>
            <w:gridSpan w:val="2"/>
          </w:tcPr>
          <w:p w:rsidR="0079658E" w:rsidRPr="000D34B6" w:rsidRDefault="0079658E">
            <w:bookmarkStart w:id="0" w:name="KomNr"/>
            <w:bookmarkEnd w:id="0"/>
            <w:r w:rsidRPr="000D34B6">
              <w:t>KOM(2011) 222</w:t>
            </w:r>
          </w:p>
        </w:tc>
      </w:tr>
      <w:tr w:rsidR="00000000" w:rsidRPr="000D34B6">
        <w:tblPrEx>
          <w:tblCellMar>
            <w:top w:w="0" w:type="dxa"/>
            <w:left w:w="0" w:type="dxa"/>
            <w:bottom w:w="0" w:type="dxa"/>
            <w:right w:w="0" w:type="dxa"/>
          </w:tblCellMar>
        </w:tblPrEx>
        <w:trPr>
          <w:gridAfter w:val="1"/>
          <w:wAfter w:w="1560" w:type="dxa"/>
          <w:trHeight w:val="120"/>
        </w:trPr>
        <w:tc>
          <w:tcPr>
            <w:tcW w:w="6095" w:type="dxa"/>
            <w:gridSpan w:val="2"/>
          </w:tcPr>
          <w:p w:rsidR="0079658E" w:rsidRPr="000D34B6" w:rsidRDefault="0079658E">
            <w:pPr>
              <w:pStyle w:val="Dokumentbeteckning-titel"/>
            </w:pPr>
            <w:r w:rsidRPr="000D34B6">
              <w:t>Meddelande från kommission till Europaparlamentet, rådet, Europeiska och sociala kommittén och Regionkommittén - Ett öppet Internet och nätneutralitet i Europa</w:t>
            </w:r>
          </w:p>
        </w:tc>
      </w:tr>
    </w:tbl>
    <w:p w:rsidR="0079658E" w:rsidRPr="000D34B6" w:rsidRDefault="0079658E"/>
    <w:p w:rsidR="0079658E" w:rsidRPr="000D34B6" w:rsidRDefault="0079658E">
      <w:pPr>
        <w:pStyle w:val="Rubrik1"/>
        <w:numPr>
          <w:ilvl w:val="0"/>
          <w:numId w:val="0"/>
        </w:numPr>
      </w:pPr>
      <w:r w:rsidRPr="000D34B6">
        <w:t>Sammanfattning</w:t>
      </w:r>
    </w:p>
    <w:p w:rsidR="0079658E" w:rsidRPr="000D34B6" w:rsidRDefault="0079658E">
      <w:r w:rsidRPr="000D34B6">
        <w:t>Kommissionen ägnar sig i detta meddelande åt att värna nätneutraliteten, bevara ett öppet Internet, säkerställa nättjänster av hög kvalitet och ge innovationen fritt spelrum samtidigt som Internet ska kunna bidra till att grundläggande rättigheter som yttrande- och näringsfrihet utnyttjas och respekteras. Regeringens ståndpunkt är att det i grunden är viktigt att värna om öppenhet på Internet och nätneutralitet. Eventuella ytterligare åtgärder bör utgå ifrån en uppföljning och analys av de regler om nätneu</w:t>
      </w:r>
      <w:r w:rsidRPr="000D34B6">
        <w:t>tralitet i det s.k. Telekompaketet</w:t>
      </w:r>
      <w:r w:rsidRPr="000D34B6">
        <w:rPr>
          <w:rStyle w:val="Fotnotsreferens"/>
        </w:rPr>
        <w:footnoteReference w:id="1"/>
      </w:r>
      <w:r w:rsidRPr="000D34B6">
        <w:t xml:space="preserve">, som håller på att genomföras i nationell lagstiftning. Det är också viktigt att värna principen om ansvarsfrihet för Internetleverantörer vad gäller det innehåll som transporteras på Internet, i enlighet med </w:t>
      </w:r>
      <w:r w:rsidRPr="000D34B6">
        <w:rPr>
          <w:i/>
        </w:rPr>
        <w:t>mere conduit</w:t>
      </w:r>
      <w:r w:rsidRPr="000D34B6">
        <w:t>-principen.</w:t>
      </w:r>
    </w:p>
    <w:p w:rsidR="0079658E" w:rsidRPr="000D34B6" w:rsidRDefault="0079658E"/>
    <w:p w:rsidR="0079658E" w:rsidRPr="000D34B6" w:rsidRDefault="0079658E"/>
    <w:p w:rsidR="0079658E" w:rsidRPr="000D34B6" w:rsidRDefault="0079658E">
      <w:pPr>
        <w:pStyle w:val="Rubrik1"/>
      </w:pPr>
      <w:r w:rsidRPr="000D34B6">
        <w:t>Förslaget</w:t>
      </w:r>
    </w:p>
    <w:p w:rsidR="0079658E" w:rsidRPr="000D34B6" w:rsidRDefault="0079658E">
      <w:pPr>
        <w:pStyle w:val="Rubrik2"/>
      </w:pPr>
      <w:r w:rsidRPr="000D34B6">
        <w:t>Ärendets bakgrund</w:t>
      </w:r>
    </w:p>
    <w:p w:rsidR="0079658E" w:rsidRPr="000D34B6" w:rsidRDefault="0079658E">
      <w:r w:rsidRPr="000D34B6">
        <w:t>Kommissionen har åtagit sig</w:t>
      </w:r>
      <w:r w:rsidRPr="000D34B6">
        <w:rPr>
          <w:rStyle w:val="Fotnotsreferens"/>
        </w:rPr>
        <w:footnoteReference w:id="2"/>
      </w:r>
      <w:r w:rsidRPr="000D34B6">
        <w:t xml:space="preserve"> att övervaka effekterna sig att övervaka effekterna av marknadens och teknikens utveckling för ”frihet på nätet” och före 2010 års utgång till Europaparlamentet och rådet rapportera om huruvida det behövs ytterligare vägledning för att Internet ska förbli öppet och neutralt. Detta åtaganden formulerades i samband med  att reformpaketet för telekommunikationer i EU slutfördes 2009 (Telekompaketet) samt i meddelandet om en digital agenda för Europa</w:t>
      </w:r>
      <w:r w:rsidRPr="000D34B6">
        <w:rPr>
          <w:rStyle w:val="Fotnotsreferens"/>
        </w:rPr>
        <w:footnoteReference w:id="3"/>
      </w:r>
      <w:r w:rsidRPr="000D34B6">
        <w:t>. De nationella regleringsmyndigheterna, har enligt artikel 8.4 g i ramdirektivet</w:t>
      </w:r>
      <w:r w:rsidRPr="000D34B6">
        <w:rPr>
          <w:rStyle w:val="Fotnotsreferens"/>
        </w:rPr>
        <w:footnoteReference w:id="4"/>
      </w:r>
      <w:r w:rsidRPr="000D34B6">
        <w:t>, skyldighet att främja Europeiska unionens medborgares intressen genom att främja slutanvändares tillgång till fri information och tjänster på nätet. Inför meddelandet genomförde kommissionen ett offentligt samråd om ett öppet Internet och nätneutralitet i Europa. Samrådet  avslutades i september 2009.</w:t>
      </w:r>
    </w:p>
    <w:p w:rsidR="0079658E" w:rsidRPr="000D34B6" w:rsidRDefault="0079658E"/>
    <w:p w:rsidR="0079658E" w:rsidRPr="000D34B6" w:rsidRDefault="0079658E">
      <w:pPr>
        <w:pStyle w:val="Rubrik2"/>
      </w:pPr>
      <w:r w:rsidRPr="000D34B6">
        <w:t>Förslagets innehåll</w:t>
      </w:r>
    </w:p>
    <w:p w:rsidR="0079658E" w:rsidRPr="000D34B6" w:rsidRDefault="0079658E">
      <w:r w:rsidRPr="000D34B6">
        <w:t xml:space="preserve">Europeiska kommissionen konstaterar att det inte finns några betydande problem avseende ett öppet Internet och nätneutralitet i Europa.  Kommissionen uttalar att det är viktigt att ge tillräckligt med tid för att genomföra nya bestämmelserna i Telekompaketet och för att se hur de kommer att fungera i praktiken. </w:t>
      </w:r>
    </w:p>
    <w:p w:rsidR="0079658E" w:rsidRPr="000D34B6" w:rsidRDefault="0079658E">
      <w:r w:rsidRPr="000D34B6">
        <w:t xml:space="preserve">På grundval av resultaten och genomförandet av bestämmelserna i regelverket för elektronisk kommunikation kommer kommissionen, som en prioriterad fråga, att fatta beslut om eventuella ytterligare riktlinjer avseende nätneutralitet. Om betydande problem kvarstår och det inte går att se att konsumenterna lätt kan få tillgång till och distribuera innehåll, tjänster och tillämpningar efter eget val via ett enda Internetabonnemang, kommer kommissionen att överväga åtgärder. </w:t>
      </w:r>
    </w:p>
    <w:p w:rsidR="0079658E" w:rsidRPr="000D34B6" w:rsidRDefault="0079658E">
      <w:r w:rsidRPr="000D34B6">
        <w:t>Sådana åtgärder skulle kunna utgöras av riktlinjer eller generella rättsliga åtgärder för att öka konkurrensen och konsumenternas valmöjligheter. Det som nämns är att ytterligare förbättra möjligheterna att byta leverantör eller, om detta skulle visa sig vara otillräckligt, genom att införa särskilda generella skyldigheter beträffande omotiverad trafikdifferentiering på Internet. Detta skulle kunna inbegripa ett förbud mot blockering av legala tjänster.</w:t>
      </w:r>
    </w:p>
    <w:p w:rsidR="0079658E" w:rsidRPr="000D34B6" w:rsidRDefault="0079658E">
      <w:r w:rsidRPr="000D34B6">
        <w:t>Nätneutralitet tangerar ett antal rättigheter och principer som finns i EU:s stadga om de grundläggande rättigheterna, i synnerhet med avseende på skyddet för privat- och familjeliv, skyddet av personuppgifter och yttrande- och informationsfriheten. Därför kommer lagförslag på detta område att utredas noggrant av kommissionen.</w:t>
      </w:r>
    </w:p>
    <w:p w:rsidR="0079658E" w:rsidRPr="000D34B6" w:rsidRDefault="0079658E">
      <w:r w:rsidRPr="000D34B6">
        <w:t>Kommissionen påtalar dessutom vikten att eventuell ytterligare reglering inte hindrar investeringar eller innovativa affärsmodeller och leder till effektivare användning av näten och till nya affärsmöjligheter på Internet, samtidigt som fördelarna ur ett konsumentperspektiv bevaras.</w:t>
      </w:r>
    </w:p>
    <w:p w:rsidR="0079658E" w:rsidRPr="000D34B6" w:rsidRDefault="0079658E">
      <w:r w:rsidRPr="000D34B6">
        <w:t>Kommissionen betonar i meddelandet vikten av fortsatt dialog med medlemsstaterna och övriga aktörer kring att säkerställa en snabb bredbandsutveckling, vilket skulle minska trycket på datatrafiken.</w:t>
      </w:r>
    </w:p>
    <w:p w:rsidR="0079658E" w:rsidRPr="000D34B6" w:rsidRDefault="0079658E"/>
    <w:p w:rsidR="0079658E" w:rsidRPr="000D34B6" w:rsidRDefault="0079658E">
      <w:pPr>
        <w:pStyle w:val="Rubrik2"/>
      </w:pPr>
      <w:r w:rsidRPr="000D34B6">
        <w:t>Gällande svenska regler och förslagets effekt på dessa</w:t>
      </w:r>
    </w:p>
    <w:p w:rsidR="0079658E" w:rsidRPr="000D34B6" w:rsidRDefault="0079658E">
      <w:r w:rsidRPr="000D34B6">
        <w:t>Meddelandet innehåller i sig inga konkreta förslag som kan förväntas påkalla förändringar av svensk lagstiftning.</w:t>
      </w:r>
    </w:p>
    <w:p w:rsidR="0079658E" w:rsidRPr="000D34B6" w:rsidRDefault="0079658E"/>
    <w:p w:rsidR="0079658E" w:rsidRPr="000D34B6" w:rsidRDefault="0079658E">
      <w:pPr>
        <w:pStyle w:val="Rubrik2"/>
      </w:pPr>
      <w:r w:rsidRPr="000D34B6">
        <w:t>Budgetära konsekvenser / Konsekvensanalys</w:t>
      </w:r>
    </w:p>
    <w:p w:rsidR="0079658E" w:rsidRPr="000D34B6" w:rsidRDefault="0079658E">
      <w:r w:rsidRPr="000D34B6">
        <w:t xml:space="preserve">Meddelandet bedöms inte ha några budgetära konsekvenser. </w:t>
      </w:r>
    </w:p>
    <w:p w:rsidR="0079658E" w:rsidRPr="000D34B6" w:rsidRDefault="0079658E"/>
    <w:p w:rsidR="0079658E" w:rsidRPr="000D34B6" w:rsidRDefault="0079658E"/>
    <w:p w:rsidR="0079658E" w:rsidRPr="000D34B6" w:rsidRDefault="0079658E">
      <w:pPr>
        <w:pStyle w:val="Rubrik1"/>
      </w:pPr>
      <w:r w:rsidRPr="000D34B6">
        <w:t>Ståndpunkter</w:t>
      </w:r>
    </w:p>
    <w:p w:rsidR="0079658E" w:rsidRPr="000D34B6" w:rsidRDefault="0079658E">
      <w:pPr>
        <w:pStyle w:val="Rubrik2"/>
      </w:pPr>
      <w:r w:rsidRPr="000D34B6">
        <w:t>Preliminär svensk ståndpunkt</w:t>
      </w:r>
    </w:p>
    <w:p w:rsidR="0079658E" w:rsidRPr="000D34B6" w:rsidRDefault="0079658E">
      <w:r w:rsidRPr="000D34B6">
        <w:t>Meddelandet utgår ifrån principen att upprätthålla ett öppet Internet, vilket är en strävan som regeringen delar. De verktyg som  det så kallade Telekompaketet innehåller om nätneutralitet håller på att genomföras i nationell lagstiftning, och det bör ges tillräckligt med tid för att genomföra och utvärdera den praktiska betydelsen av dessa bestämmelser. Regeringen välkomnar att frågorna bevakas noggrant av kommissionen. Det är viktigt att värna principen om ansvarsfrihet för Internetleverantörer vad gälle</w:t>
      </w:r>
      <w:r w:rsidRPr="000D34B6">
        <w:t xml:space="preserve">r det innehåll som transporteras på Internet, i enlighet med </w:t>
      </w:r>
      <w:r w:rsidRPr="000D34B6">
        <w:rPr>
          <w:i/>
        </w:rPr>
        <w:t>mere conduit</w:t>
      </w:r>
      <w:r w:rsidRPr="000D34B6">
        <w:t xml:space="preserve">-principen som har sin grund i e-handelsdirektivet. Regeringen instämmer i att eventuell ytterligare reglering eller vägledning inte bör hindra investeringar eller innovativa affärsmodeller. </w:t>
      </w:r>
    </w:p>
    <w:p w:rsidR="0079658E" w:rsidRPr="000D34B6" w:rsidRDefault="0079658E"/>
    <w:p w:rsidR="0079658E" w:rsidRPr="000D34B6" w:rsidRDefault="0079658E">
      <w:pPr>
        <w:pStyle w:val="Rubrik2"/>
      </w:pPr>
      <w:r w:rsidRPr="000D34B6">
        <w:t>Medlemsstaternas ståndpunkter</w:t>
      </w:r>
    </w:p>
    <w:p w:rsidR="0079658E" w:rsidRPr="000D34B6" w:rsidRDefault="0079658E">
      <w:r w:rsidRPr="000D34B6">
        <w:t>Ej kända.</w:t>
      </w:r>
    </w:p>
    <w:p w:rsidR="0079658E" w:rsidRPr="000D34B6" w:rsidRDefault="0079658E"/>
    <w:p w:rsidR="0079658E" w:rsidRPr="000D34B6" w:rsidRDefault="0079658E">
      <w:pPr>
        <w:pStyle w:val="Rubrik2"/>
      </w:pPr>
      <w:r w:rsidRPr="000D34B6">
        <w:t>Institutionernas ståndpunkter</w:t>
      </w:r>
    </w:p>
    <w:p w:rsidR="0079658E" w:rsidRPr="000D34B6" w:rsidRDefault="0079658E">
      <w:r w:rsidRPr="000D34B6">
        <w:t>Ej kända.</w:t>
      </w:r>
    </w:p>
    <w:p w:rsidR="0079658E" w:rsidRPr="000D34B6" w:rsidRDefault="0079658E"/>
    <w:p w:rsidR="0079658E" w:rsidRPr="000D34B6" w:rsidRDefault="0079658E">
      <w:pPr>
        <w:pStyle w:val="Rubrik2"/>
      </w:pPr>
      <w:r w:rsidRPr="000D34B6">
        <w:t>Remissinstansernas ståndpunkter</w:t>
      </w:r>
    </w:p>
    <w:p w:rsidR="0079658E" w:rsidRPr="000D34B6" w:rsidRDefault="0079658E">
      <w:r w:rsidRPr="000D34B6">
        <w:t>Det rådde bred enighet i kommissionens öppna samråd om att operatörer och Internetleverantörer bör få utforma sina egna affärsmodeller och kommersiella åtgärder, inom ramen för gällande lag. Vissa medverkande uppmanade nationella regleringsmyndigheter och operatörer att samarbeta för att se till att konsumenternas insyn är meningsfull och effektiv vad beträffar metoderna för trafikstyrning. Även de medverkande i det offentliga samrådet som hänvisade till blockering av tjänster hävdade att trafikstyrning va</w:t>
      </w:r>
      <w:r w:rsidRPr="000D34B6">
        <w:t>r en nödvändig och väsentlig del av driften av ett effektivt Internet. De var eniga om att användningen av den i syfte att hantera överbelastning och säkerhet var helt legitimt och inte i strid med principerna om nätneutralitet.</w:t>
      </w:r>
    </w:p>
    <w:p w:rsidR="0079658E" w:rsidRPr="000D34B6" w:rsidRDefault="0079658E"/>
    <w:p w:rsidR="0079658E" w:rsidRPr="000D34B6" w:rsidRDefault="0079658E">
      <w:pPr>
        <w:pStyle w:val="Rubrik1"/>
      </w:pPr>
      <w:r w:rsidRPr="000D34B6">
        <w:t>Förslagets förutsättningar</w:t>
      </w:r>
    </w:p>
    <w:p w:rsidR="0079658E" w:rsidRPr="000D34B6" w:rsidRDefault="0079658E">
      <w:pPr>
        <w:pStyle w:val="Rubrik2"/>
      </w:pPr>
      <w:r w:rsidRPr="000D34B6">
        <w:t>Rättslig grund och beslutsförfarande</w:t>
      </w:r>
    </w:p>
    <w:p w:rsidR="0079658E" w:rsidRPr="000D34B6" w:rsidRDefault="0079658E">
      <w:r w:rsidRPr="000D34B6">
        <w:t xml:space="preserve">Meddelandet beskriver en inriktning på arbetet och  innehållet utgör  inte grund för några förslag. </w:t>
      </w:r>
    </w:p>
    <w:p w:rsidR="0079658E" w:rsidRPr="000D34B6" w:rsidRDefault="0079658E"/>
    <w:p w:rsidR="0079658E" w:rsidRPr="000D34B6" w:rsidRDefault="0079658E">
      <w:pPr>
        <w:pStyle w:val="Rubrik2"/>
      </w:pPr>
      <w:r w:rsidRPr="000D34B6">
        <w:t>Subsidiaritets- och proportionalitetsprincipen</w:t>
      </w:r>
    </w:p>
    <w:p w:rsidR="0079658E" w:rsidRPr="000D34B6" w:rsidRDefault="0079658E">
      <w:r w:rsidRPr="000D34B6">
        <w:t>Inte aktuellt.</w:t>
      </w:r>
    </w:p>
    <w:p w:rsidR="0079658E" w:rsidRPr="000D34B6" w:rsidRDefault="0079658E"/>
    <w:p w:rsidR="0079658E" w:rsidRPr="000D34B6" w:rsidRDefault="0079658E">
      <w:pPr>
        <w:pStyle w:val="Rubrik1"/>
      </w:pPr>
      <w:r w:rsidRPr="000D34B6">
        <w:t>Övrigt</w:t>
      </w:r>
    </w:p>
    <w:p w:rsidR="0079658E" w:rsidRPr="000D34B6" w:rsidRDefault="0079658E">
      <w:pPr>
        <w:pStyle w:val="Rubrik2"/>
      </w:pPr>
      <w:r w:rsidRPr="000D34B6">
        <w:t>Fortsatt behandling av ärendet</w:t>
      </w:r>
    </w:p>
    <w:p w:rsidR="0079658E" w:rsidRPr="000D34B6" w:rsidRDefault="0079658E">
      <w:r w:rsidRPr="000D34B6">
        <w:t>Europeiska kommissionen kommer i slutet av 2011 att offentliggöra resultaten av Berec:s</w:t>
      </w:r>
      <w:r w:rsidRPr="000D34B6">
        <w:rPr>
          <w:rStyle w:val="Fotnotsreferens"/>
        </w:rPr>
        <w:footnoteReference w:id="5"/>
      </w:r>
      <w:r w:rsidRPr="000D34B6">
        <w:t xml:space="preserve"> utredningar, inbegripet eventuella fall av blockering eller strypning av vissa typer av trafik. Beroende på resultaten och genomförandet av bestämmelserna i regelverket för telekommunikationer kommer kommissionen att fatta beslut om eventuella ytterligare riktlinjer avseende nätneutralitet.</w:t>
      </w:r>
    </w:p>
    <w:p w:rsidR="0079658E" w:rsidRPr="000D34B6" w:rsidRDefault="0079658E"/>
    <w:p w:rsidR="0079658E" w:rsidRPr="000D34B6" w:rsidRDefault="0079658E">
      <w:pPr>
        <w:pStyle w:val="Rubrik2"/>
      </w:pPr>
      <w:r w:rsidRPr="000D34B6">
        <w:t>Fackuttryck/termer</w:t>
      </w:r>
    </w:p>
    <w:p w:rsidR="0079658E" w:rsidRPr="000D34B6" w:rsidRDefault="0079658E">
      <w:r w:rsidRPr="000D34B6">
        <w:rPr>
          <w:i/>
        </w:rPr>
        <w:t>Mere conduit</w:t>
      </w:r>
      <w:r w:rsidRPr="000D34B6">
        <w:t xml:space="preserve">- principen är franska och betyder </w:t>
      </w:r>
      <w:r w:rsidRPr="000D34B6">
        <w:rPr>
          <w:i/>
        </w:rPr>
        <w:t>endast för vidarebefordran</w:t>
      </w:r>
      <w:r w:rsidRPr="000D34B6">
        <w:t xml:space="preserve">. </w:t>
      </w:r>
    </w:p>
    <w:p w:rsidR="0079658E" w:rsidRPr="000D34B6" w:rsidRDefault="0079658E"/>
    <w:sectPr w:rsidR="0079658E" w:rsidRPr="000D34B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58E" w:rsidRPr="000D34B6" w:rsidRDefault="0079658E">
      <w:r w:rsidRPr="000D34B6">
        <w:separator/>
      </w:r>
    </w:p>
  </w:endnote>
  <w:endnote w:type="continuationSeparator" w:id="0">
    <w:p w:rsidR="0079658E" w:rsidRPr="000D34B6" w:rsidRDefault="0079658E">
      <w:r w:rsidRPr="000D34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7965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79658E">
    <w:pPr>
      <w:pStyle w:val="SidfotH"/>
      <w:framePr w:wrap="around"/>
    </w:pPr>
    <w:r w:rsidRPr="000D34B6">
      <w:t>5</w:t>
    </w:r>
  </w:p>
  <w:p w:rsidR="0079658E" w:rsidRPr="000D34B6" w:rsidRDefault="007965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79658E">
    <w:pPr>
      <w:pStyle w:val="SidfotH"/>
      <w:framePr w:wrap="around"/>
    </w:pPr>
    <w:r w:rsidRPr="000D34B6">
      <w:t>1</w:t>
    </w:r>
  </w:p>
  <w:p w:rsidR="0079658E" w:rsidRPr="000D34B6" w:rsidRDefault="007965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58E" w:rsidRPr="000D34B6" w:rsidRDefault="0079658E">
      <w:r w:rsidRPr="000D34B6">
        <w:separator/>
      </w:r>
    </w:p>
  </w:footnote>
  <w:footnote w:type="continuationSeparator" w:id="0">
    <w:p w:rsidR="0079658E" w:rsidRPr="000D34B6" w:rsidRDefault="0079658E">
      <w:r w:rsidRPr="000D34B6">
        <w:continuationSeparator/>
      </w:r>
    </w:p>
  </w:footnote>
  <w:footnote w:id="1">
    <w:p w:rsidR="0079658E" w:rsidRPr="000D34B6" w:rsidRDefault="0079658E">
      <w:pPr>
        <w:pStyle w:val="Fotnotstext"/>
      </w:pPr>
      <w:r w:rsidRPr="000D34B6">
        <w:rPr>
          <w:rStyle w:val="Fotnotsreferens"/>
        </w:rPr>
        <w:footnoteRef/>
      </w:r>
      <w:r w:rsidRPr="000D34B6">
        <w:t xml:space="preserve"> Den 25 november 2009 antog Europaparlamentet och rådet dels direktiv 2009/140/EG om ändring av direktiv 2002/21/EG om ett gemensamt re</w:t>
      </w:r>
      <w:r w:rsidRPr="000D34B6">
        <w:softHyphen/>
        <w:t>gelverk för elektroniska kommunikationsnät och kommunikations</w:t>
      </w:r>
      <w:r w:rsidRPr="000D34B6">
        <w:softHyphen/>
        <w:t>tjäns</w:t>
      </w:r>
      <w:r w:rsidRPr="000D34B6">
        <w:softHyphen/>
        <w:t>ter, direktiv 2002/19/EG om tillträde till och samtrafik mellan elek</w:t>
      </w:r>
      <w:r w:rsidRPr="000D34B6">
        <w:softHyphen/>
        <w:t>tro</w:t>
      </w:r>
      <w:r w:rsidRPr="000D34B6">
        <w:softHyphen/>
        <w:t>nis</w:t>
      </w:r>
      <w:r w:rsidRPr="000D34B6">
        <w:softHyphen/>
        <w:t>ka kommunikationsnät och till</w:t>
      </w:r>
      <w:r w:rsidRPr="000D34B6">
        <w:softHyphen/>
        <w:t>hörande facili</w:t>
      </w:r>
      <w:r w:rsidRPr="000D34B6">
        <w:softHyphen/>
        <w:t>teter och direktiv 2002/20/EG om auktorisation för elektroniska kommu</w:t>
      </w:r>
      <w:r w:rsidRPr="000D34B6">
        <w:softHyphen/>
        <w:t>nikationsnät och kommunikationstjänster, dels direktiv 2009/136/EG om ändring av direk</w:t>
      </w:r>
      <w:r w:rsidRPr="000D34B6">
        <w:softHyphen/>
        <w:t>tiv 2002/22/EG om samhälls</w:t>
      </w:r>
      <w:r w:rsidRPr="000D34B6">
        <w:softHyphen/>
        <w:t>om</w:t>
      </w:r>
      <w:r w:rsidRPr="000D34B6">
        <w:t>fattande tjänster och användares rättig</w:t>
      </w:r>
      <w:r w:rsidRPr="000D34B6">
        <w:softHyphen/>
        <w:t>he</w:t>
      </w:r>
      <w:r w:rsidRPr="000D34B6">
        <w:softHyphen/>
        <w:t>ter avseende elektro</w:t>
      </w:r>
      <w:r w:rsidRPr="000D34B6">
        <w:softHyphen/>
        <w:t>niska kommunikationsnät och kommunika</w:t>
      </w:r>
      <w:r w:rsidRPr="000D34B6">
        <w:softHyphen/>
        <w:t>tions</w:t>
      </w:r>
      <w:r w:rsidRPr="000D34B6">
        <w:softHyphen/>
        <w:t>tjäns</w:t>
      </w:r>
      <w:r w:rsidRPr="000D34B6">
        <w:softHyphen/>
        <w:t>ter, direktiv 2002/58/EG om behandling av person</w:t>
      </w:r>
      <w:r w:rsidRPr="000D34B6">
        <w:softHyphen/>
        <w:t>uppgifter och integri</w:t>
      </w:r>
      <w:r w:rsidRPr="000D34B6">
        <w:softHyphen/>
        <w:t>tetsskydd inom sektorn för elektron</w:t>
      </w:r>
      <w:r w:rsidRPr="000D34B6">
        <w:softHyphen/>
        <w:t>isk kommunika</w:t>
      </w:r>
      <w:r w:rsidRPr="000D34B6">
        <w:softHyphen/>
        <w:t>tion och förord</w:t>
      </w:r>
      <w:r w:rsidRPr="000D34B6">
        <w:softHyphen/>
        <w:t>ning (EG) nr 2006/2004 om samarbete mellan de nationella till</w:t>
      </w:r>
      <w:r w:rsidRPr="000D34B6">
        <w:softHyphen/>
        <w:t>synsmyn</w:t>
      </w:r>
      <w:r w:rsidRPr="000D34B6">
        <w:softHyphen/>
        <w:t>dig</w:t>
      </w:r>
      <w:r w:rsidRPr="000D34B6">
        <w:softHyphen/>
        <w:t>heterna som ansvarar för konsumentskyddslag</w:t>
      </w:r>
      <w:r w:rsidRPr="000D34B6">
        <w:softHyphen/>
        <w:t>stiftningen.</w:t>
      </w:r>
    </w:p>
    <w:p w:rsidR="0079658E" w:rsidRPr="000D34B6" w:rsidRDefault="0079658E">
      <w:pPr>
        <w:pStyle w:val="Fotnotstext"/>
      </w:pPr>
    </w:p>
  </w:footnote>
  <w:footnote w:id="2">
    <w:p w:rsidR="0079658E" w:rsidRPr="000D34B6" w:rsidRDefault="0079658E">
      <w:pPr>
        <w:pStyle w:val="Fotnotstext"/>
      </w:pPr>
      <w:r w:rsidRPr="000D34B6">
        <w:rPr>
          <w:rStyle w:val="Fotnotsreferens"/>
        </w:rPr>
        <w:footnoteRef/>
      </w:r>
      <w:r w:rsidRPr="000D34B6">
        <w:t xml:space="preserve"> EUT L 337, 18.12.2009</w:t>
      </w:r>
    </w:p>
  </w:footnote>
  <w:footnote w:id="3">
    <w:p w:rsidR="0079658E" w:rsidRPr="000D34B6" w:rsidRDefault="0079658E">
      <w:pPr>
        <w:pStyle w:val="Fotnotstext"/>
      </w:pPr>
      <w:r w:rsidRPr="000D34B6">
        <w:rPr>
          <w:rStyle w:val="Fotnotsreferens"/>
        </w:rPr>
        <w:footnoteRef/>
      </w:r>
      <w:r w:rsidRPr="000D34B6">
        <w:t xml:space="preserve"> KOM(2010) 245</w:t>
      </w:r>
    </w:p>
  </w:footnote>
  <w:footnote w:id="4">
    <w:p w:rsidR="0079658E" w:rsidRPr="000D34B6" w:rsidRDefault="0079658E">
      <w:pPr>
        <w:pStyle w:val="Fotnotstext"/>
      </w:pPr>
      <w:r w:rsidRPr="000D34B6">
        <w:rPr>
          <w:rStyle w:val="Fotnotsreferens"/>
        </w:rPr>
        <w:footnoteRef/>
      </w:r>
      <w:r w:rsidRPr="000D34B6">
        <w:t xml:space="preserve"> Europaparlamentets och rådets direktiv 2002/21/EG av den 7 mars 2002 (ramdirektiv)</w:t>
      </w:r>
    </w:p>
  </w:footnote>
  <w:footnote w:id="5">
    <w:p w:rsidR="0079658E" w:rsidRPr="000D34B6" w:rsidRDefault="0079658E">
      <w:pPr>
        <w:pStyle w:val="Fotnotstext"/>
      </w:pPr>
      <w:r w:rsidRPr="000D34B6">
        <w:rPr>
          <w:rStyle w:val="Fotnotsreferens"/>
        </w:rPr>
        <w:footnoteRef/>
      </w:r>
      <w:r w:rsidRPr="000D34B6">
        <w:t xml:space="preserve"> Body of European Regulators of Electronic 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7965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79658E">
    <w:pPr>
      <w:pStyle w:val="Kantrubrik"/>
      <w:framePr w:h="1157" w:hRule="exact" w:wrap="around" w:y="738"/>
    </w:pPr>
    <w:r w:rsidRPr="000D34B6">
      <w:t>2010/11:FPM115</w:t>
    </w:r>
  </w:p>
  <w:p w:rsidR="0079658E" w:rsidRPr="000D34B6" w:rsidRDefault="007965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E" w:rsidRPr="000D34B6" w:rsidRDefault="000D34B6">
    <w:pPr>
      <w:pStyle w:val="Sidhuvud"/>
    </w:pPr>
    <w:r w:rsidRPr="000D34B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69268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58E" w:rsidRDefault="007965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9658E" w:rsidRDefault="0079658E">
                    <w:pPr>
                      <w:pStyle w:val="Logo"/>
                    </w:pPr>
                    <w:r>
                      <w:object w:dxaOrig="840" w:dyaOrig="1545">
                        <v:shape id="_x0000_i1025" type="#_x0000_t75" style="width:42pt;height:77.15pt" filled="t">
                          <v:imagedata r:id="rId1" o:title=""/>
                        </v:shape>
                        <o:OLEObject Type="Embed" ProgID="Word.Picture.8" ShapeID="_x0000_i1025" DrawAspect="Content" ObjectID="_18275210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7809046">
    <w:abstractNumId w:val="4"/>
  </w:num>
  <w:num w:numId="2" w16cid:durableId="607661116">
    <w:abstractNumId w:val="1"/>
  </w:num>
  <w:num w:numId="3" w16cid:durableId="889457417">
    <w:abstractNumId w:val="2"/>
  </w:num>
  <w:num w:numId="4" w16cid:durableId="236284110">
    <w:abstractNumId w:val="3"/>
  </w:num>
  <w:num w:numId="5" w16cid:durableId="1992439380">
    <w:abstractNumId w:val="5"/>
  </w:num>
  <w:num w:numId="6" w16cid:durableId="163448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25"/>
    <w:docVar w:name="Ar" w:val="2010/11"/>
    <w:docVar w:name="Dep" w:val="Näringsdepartementet"/>
    <w:docVar w:name="DepWeb" w:val="Näringsdepartementet"/>
    <w:docVar w:name="GDB1" w:val="KOM(2011) 2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 till Europaparlamentet, rådet, Europeiska och sociala kommittén och Regionkommittén - Ett öppet Internet och nätneutralitet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22"/>
    <w:docVar w:name="Nr" w:val="115"/>
    <w:docVar w:name="RD_APPVERSION" w:val="3.00"/>
    <w:docVar w:name="Rub" w:val="Ett öppet Internet och nätneutraliet i Europa"/>
    <w:docVar w:name="UppDat" w:val="2011-05-23"/>
    <w:docVar w:name="Utsk" w:val="Trafikutskottet"/>
  </w:docVars>
  <w:rsids>
    <w:rsidRoot w:val="00A4422D"/>
    <w:rsid w:val="000D34B6"/>
    <w:rsid w:val="0079658E"/>
    <w:rsid w:val="00A442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71FCF7-DF58-41FF-9577-88390184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901</Words>
  <Characters>5891</Characters>
  <Application>Microsoft Office Word</Application>
  <DocSecurity>4</DocSecurity>
  <Lines>133</Lines>
  <Paragraphs>49</Paragraphs>
  <ScaleCrop>false</ScaleCrop>
  <HeadingPairs>
    <vt:vector size="2" baseType="variant">
      <vt:variant>
        <vt:lpstr>Rubrik</vt:lpstr>
      </vt:variant>
      <vt:variant>
        <vt:i4>1</vt:i4>
      </vt:variant>
    </vt:vector>
  </HeadingPairs>
  <TitlesOfParts>
    <vt:vector size="1" baseType="lpstr">
      <vt:lpstr>FPM_201011__115</vt:lpstr>
    </vt:vector>
  </TitlesOfParts>
  <Company>RD-DTSL</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FPM_201011__115</dc:title>
  <dc:subject>FPM_201011__115</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KOM(2011) 222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Ett öppet Internet och nätneutraliet i Europa</vt:lpwstr>
  </property>
  <property fmtid="{D5CDD505-2E9C-101B-9397-08002B2CF9AE}" pid="8" name="UppDat">
    <vt:lpwstr>2011-05-23</vt:lpwstr>
  </property>
  <property fmtid="{D5CDD505-2E9C-101B-9397-08002B2CF9AE}" pid="9" name="AnkDat">
    <vt:lpwstr>2011-05-25</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6.1. Personalfrågor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