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81DE5" w:rsidRDefault="00A81DE5">
            <w:pPr>
              <w:pStyle w:val="HuvudRubrik"/>
            </w:pPr>
            <w:bookmarkStart w:id="0" w:name="BetänkandeRubrik"/>
            <w:bookmarkEnd w:id="0"/>
            <w:r>
              <w:t>Justitieutskottets betänkande</w:t>
            </w:r>
            <w:r w:rsidR="005845B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618172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81DE5" w:rsidRDefault="00A81D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81DE5" w:rsidRDefault="00A81DE5">
                            <w:pPr>
                              <w:pStyle w:val="Logo"/>
                            </w:pPr>
                            <w:r>
                              <w:object w:dxaOrig="840" w:dyaOrig="1545">
                                <v:shape id="_x0000_i1025" type="#_x0000_t75" style="width:41.55pt;height:77.15pt" fillcolor="window">
                                  <v:imagedata r:id="rId6" o:title=""/>
                                </v:shape>
                                <o:OLEObject Type="Embed" ProgID="Word.Picture.8" ShapeID="_x0000_i1025" DrawAspect="Content" ObjectID="_1827335181" r:id="rId8"/>
                              </w:object>
                            </w:r>
                          </w:p>
                        </w:txbxContent>
                      </v:textbox>
                      <w10:wrap anchorx="page" anchory="page"/>
                    </v:shape>
                  </w:pict>
                </mc:Fallback>
              </mc:AlternateContent>
            </w:r>
          </w:p>
          <w:p w:rsidR="00A81DE5" w:rsidRDefault="00A81DE5">
            <w:pPr>
              <w:pStyle w:val="HuvudRubrikRad2"/>
            </w:pPr>
            <w:bookmarkStart w:id="15" w:name="BetänkandeNr"/>
            <w:bookmarkEnd w:id="15"/>
            <w:r>
              <w:t>1998/99:JuU14</w:t>
            </w:r>
          </w:p>
          <w:p w:rsidR="00A81DE5" w:rsidRDefault="00A81DE5">
            <w:pPr>
              <w:pStyle w:val="BetnkandeRubrik"/>
            </w:pPr>
            <w:bookmarkStart w:id="16" w:name="Huvudrubrik"/>
            <w:bookmarkEnd w:id="16"/>
            <w:r>
              <w:t>Vapenregister</w:t>
            </w:r>
          </w:p>
        </w:tc>
        <w:tc>
          <w:tcPr>
            <w:tcW w:w="1559" w:type="dxa"/>
            <w:tcBorders>
              <w:bottom w:val="nil"/>
            </w:tcBorders>
          </w:tcPr>
          <w:p w:rsidR="00A81DE5" w:rsidRDefault="00A81DE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81DE5" w:rsidRDefault="00A81DE5">
            <w:pPr>
              <w:spacing w:before="40" w:after="900" w:line="280" w:lineRule="exact"/>
              <w:jc w:val="left"/>
              <w:rPr>
                <w:sz w:val="28"/>
              </w:rPr>
            </w:pPr>
          </w:p>
        </w:tc>
        <w:tc>
          <w:tcPr>
            <w:tcW w:w="1559" w:type="dxa"/>
          </w:tcPr>
          <w:p w:rsidR="00A81DE5" w:rsidRDefault="00A81DE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81DE5" w:rsidRDefault="00A81DE5">
            <w:pPr>
              <w:spacing w:before="40" w:after="900" w:line="280" w:lineRule="exact"/>
              <w:jc w:val="left"/>
              <w:rPr>
                <w:sz w:val="28"/>
              </w:rPr>
            </w:pPr>
          </w:p>
        </w:tc>
        <w:tc>
          <w:tcPr>
            <w:tcW w:w="1559" w:type="dxa"/>
            <w:tcBorders>
              <w:bottom w:val="single" w:sz="6" w:space="0" w:color="auto"/>
            </w:tcBorders>
          </w:tcPr>
          <w:p w:rsidR="00A81DE5" w:rsidRDefault="00A81DE5">
            <w:pPr>
              <w:pStyle w:val="rtal"/>
            </w:pPr>
            <w:r>
              <w:t>JuU14</w:t>
            </w:r>
          </w:p>
        </w:tc>
      </w:tr>
      <w:tr w:rsidR="00000000">
        <w:tblPrEx>
          <w:tblCellMar>
            <w:top w:w="0" w:type="dxa"/>
            <w:bottom w:w="0" w:type="dxa"/>
          </w:tblCellMar>
        </w:tblPrEx>
        <w:trPr>
          <w:cantSplit/>
          <w:trHeight w:hRule="exact" w:val="660"/>
        </w:trPr>
        <w:tc>
          <w:tcPr>
            <w:tcW w:w="3012" w:type="dxa"/>
          </w:tcPr>
          <w:p w:rsidR="00A81DE5" w:rsidRDefault="00A81DE5">
            <w:pPr>
              <w:pStyle w:val="StatusSida1"/>
            </w:pPr>
          </w:p>
        </w:tc>
        <w:tc>
          <w:tcPr>
            <w:tcW w:w="3012" w:type="dxa"/>
          </w:tcPr>
          <w:p w:rsidR="00A81DE5" w:rsidRDefault="00A81DE5">
            <w:pPr>
              <w:pStyle w:val="UtskriftsdatumSida1"/>
              <w:rPr>
                <w:b/>
                <w:sz w:val="28"/>
              </w:rPr>
            </w:pPr>
          </w:p>
        </w:tc>
        <w:tc>
          <w:tcPr>
            <w:tcW w:w="1559" w:type="dxa"/>
          </w:tcPr>
          <w:p w:rsidR="00A81DE5" w:rsidRDefault="00A81DE5"/>
        </w:tc>
      </w:tr>
    </w:tbl>
    <w:p w:rsidR="00A81DE5" w:rsidRDefault="00A81DE5">
      <w:pPr>
        <w:pStyle w:val="Rubrik1"/>
        <w:spacing w:before="0"/>
      </w:pPr>
      <w:bookmarkStart w:id="17" w:name="_Toc444062442"/>
      <w:r>
        <w:t>Sammanfattning</w:t>
      </w:r>
      <w:bookmarkEnd w:id="17"/>
    </w:p>
    <w:p w:rsidR="00A81DE5" w:rsidRDefault="00A81DE5">
      <w:bookmarkStart w:id="18" w:name="Textstart"/>
      <w:bookmarkEnd w:id="18"/>
      <w:r>
        <w:t>I detta betänkande behandlar utskottet ett regeringsförslag om vapenregister jämte ett motionsyrkande väckt under den allmänna motionstiden 1998. Regeringens förslag innebär i huvudsak att Rikspolisstyrelsen får i uppgift att föra tre separata centrala vapenregister och att varje polismyndighet skall föra ett lokalt register. Samtliga register skall vara automatiserade. Utskottet tillstyrker regeringens förslag. Syftet med motionen får därmed anses vara tillgodosett. Den nya regleringen föreslås träda i kr</w:t>
      </w:r>
      <w:r>
        <w:t>aft den 1 april 1999.</w:t>
      </w:r>
    </w:p>
    <w:p w:rsidR="00A81DE5" w:rsidRDefault="00A81DE5">
      <w:pPr>
        <w:pStyle w:val="Rubrik1"/>
      </w:pPr>
      <w:bookmarkStart w:id="19" w:name="_Toc444062443"/>
      <w:r>
        <w:t>Propositionen</w:t>
      </w:r>
      <w:bookmarkEnd w:id="19"/>
    </w:p>
    <w:p w:rsidR="00A81DE5" w:rsidRDefault="00A81DE5">
      <w:r>
        <w:t>I proposition 1998/99:36 har regeringen (Justitiedepartementet) föreslagit att riksdagen antar regeringens förslag till lag om ändring i vapenlagen (1996:67).</w:t>
      </w:r>
    </w:p>
    <w:p w:rsidR="00A81DE5" w:rsidRDefault="00A81DE5">
      <w:pPr>
        <w:pStyle w:val="Normaltindrag"/>
      </w:pPr>
      <w:r>
        <w:t>Lagförslaget, som granskats av Lagrådet, har fogats till betänkandet, se bilaga.</w:t>
      </w:r>
    </w:p>
    <w:p w:rsidR="00A81DE5" w:rsidRDefault="00A81DE5">
      <w:pPr>
        <w:pStyle w:val="Rubrik1"/>
      </w:pPr>
      <w:bookmarkStart w:id="20" w:name="_Toc444062444"/>
      <w:r>
        <w:t>Motionen</w:t>
      </w:r>
      <w:bookmarkEnd w:id="20"/>
    </w:p>
    <w:p w:rsidR="00A81DE5" w:rsidRDefault="00A81DE5">
      <w:pPr>
        <w:pStyle w:val="Rubrik2"/>
        <w:spacing w:before="123"/>
      </w:pPr>
      <w:bookmarkStart w:id="21" w:name="_Toc444062445"/>
      <w:r>
        <w:t>Motion väckt under allmänna motionstiden 1998</w:t>
      </w:r>
      <w:bookmarkEnd w:id="21"/>
    </w:p>
    <w:p w:rsidR="00A81DE5" w:rsidRDefault="00A81DE5">
      <w:r>
        <w:t>1998/99:Ju218 av Birger Schlaug m.fl. (mp) vari yrkas</w:t>
      </w:r>
    </w:p>
    <w:p w:rsidR="00A81DE5" w:rsidRDefault="00A81DE5">
      <w:pPr>
        <w:pStyle w:val="Normaltindrag"/>
      </w:pPr>
      <w:r>
        <w:t>2. att riksdagen hos regeringen begär förslag till ändring i vapenlagen e</w:t>
      </w:r>
      <w:r>
        <w:t>n</w:t>
      </w:r>
      <w:r>
        <w:t>ligt vad som anförts i motionen.</w:t>
      </w:r>
    </w:p>
    <w:p w:rsidR="00A81DE5" w:rsidRDefault="00A81DE5">
      <w:pPr>
        <w:pStyle w:val="Rubrik1"/>
      </w:pPr>
      <w:bookmarkStart w:id="22" w:name="_Toc444062446"/>
      <w:r>
        <w:t>Utskottet</w:t>
      </w:r>
      <w:bookmarkEnd w:id="22"/>
    </w:p>
    <w:p w:rsidR="00A81DE5" w:rsidRDefault="00A81DE5">
      <w:pPr>
        <w:pStyle w:val="Rubrik2"/>
        <w:spacing w:before="123"/>
      </w:pPr>
      <w:bookmarkStart w:id="23" w:name="_Toc444062447"/>
      <w:r>
        <w:t>Ärendet</w:t>
      </w:r>
      <w:bookmarkEnd w:id="23"/>
    </w:p>
    <w:p w:rsidR="00A81DE5" w:rsidRDefault="00A81DE5">
      <w:r>
        <w:t>I detta ärende behandlar utskottet ett regeringsförslag om en ny och mer omfattande lagreglering av vapenregistren jämte ett motionsyrkande om att ett centralt vapenregister bör upprättas.</w:t>
      </w:r>
    </w:p>
    <w:p w:rsidR="00A81DE5" w:rsidRDefault="00A81DE5">
      <w:pPr>
        <w:pStyle w:val="Normaltindrag"/>
      </w:pPr>
      <w:r>
        <w:t>Regeringens förslag baserar sig dels på en skrivelse från Rikspolisstyrelsen jämte en rapport från en projektgrupp inom styrelsen, dels på en promemoria upprättad inom Justitiedepartementet. Promemorian, som har remissbehan</w:t>
      </w:r>
      <w:r>
        <w:t>d</w:t>
      </w:r>
      <w:r>
        <w:t>lats, har bifogats som en bilaga till propositionen. Rikspolisstyrelsens skr</w:t>
      </w:r>
      <w:r>
        <w:t>i</w:t>
      </w:r>
      <w:r>
        <w:lastRenderedPageBreak/>
        <w:t xml:space="preserve">velse och remissyttrandena m.m. finns tillgängliga i regeringens ärende Ju 96:1670. </w:t>
      </w:r>
    </w:p>
    <w:p w:rsidR="00A81DE5" w:rsidRDefault="00A81DE5">
      <w:pPr>
        <w:pStyle w:val="Normaltindrag"/>
      </w:pPr>
      <w:r>
        <w:t xml:space="preserve">Lagrådet har lämnat regeringens förslag utan erinran. </w:t>
      </w:r>
    </w:p>
    <w:p w:rsidR="00A81DE5" w:rsidRDefault="00A81DE5">
      <w:pPr>
        <w:pStyle w:val="Rubrik2"/>
      </w:pPr>
      <w:bookmarkStart w:id="24" w:name="_Toc444062448"/>
      <w:r>
        <w:t>Propositionens huvudsakliga innehåll</w:t>
      </w:r>
      <w:bookmarkEnd w:id="24"/>
    </w:p>
    <w:p w:rsidR="00A81DE5" w:rsidRDefault="00A81DE5">
      <w:r>
        <w:t>I propositionen föreslås en ny och mer omfattande lagreglering av vapenr</w:t>
      </w:r>
      <w:r>
        <w:t>e</w:t>
      </w:r>
      <w:r>
        <w:t>gistren. Förslaget innebär att varje polismyndighet skall föra ett lokalt vape</w:t>
      </w:r>
      <w:r>
        <w:t>n</w:t>
      </w:r>
      <w:r>
        <w:t>register över tillståndspliktiga vapeninnehav och beslut enligt vapenlagen (1996:67). Vidare skall Rikspolisstyrelsen föra separata centrala register över vapeni</w:t>
      </w:r>
      <w:r>
        <w:t>n</w:t>
      </w:r>
      <w:r>
        <w:t>nehavare, registrerade skjutvapen och vapenhandlare.</w:t>
      </w:r>
    </w:p>
    <w:p w:rsidR="00A81DE5" w:rsidRDefault="00A81DE5">
      <w:pPr>
        <w:pStyle w:val="Normaltindrag"/>
      </w:pPr>
      <w:r>
        <w:t>Vapenregistren skall ha till ändamål dels att ge information om sådana uppgifter som behövs för att förebygga, upptäcka och utreda brott med a</w:t>
      </w:r>
      <w:r>
        <w:t>n</w:t>
      </w:r>
      <w:r>
        <w:t>knytning till skjutvapen, dels att underlätta handläggningen av frågor om tillstånd enligt vapenlagen.</w:t>
      </w:r>
    </w:p>
    <w:p w:rsidR="00A81DE5" w:rsidRDefault="00A81DE5">
      <w:pPr>
        <w:pStyle w:val="Rubrik2"/>
      </w:pPr>
      <w:bookmarkStart w:id="25" w:name="_Toc444062449"/>
      <w:r>
        <w:t>Överväganden</w:t>
      </w:r>
      <w:bookmarkEnd w:id="25"/>
    </w:p>
    <w:p w:rsidR="00A81DE5" w:rsidRDefault="00A81DE5">
      <w:r>
        <w:t>Utskottet behandlar i detta betänkande endast frågan om vapenregister. R</w:t>
      </w:r>
      <w:r>
        <w:t>e</w:t>
      </w:r>
      <w:r>
        <w:t>geringen har aviserat att den har för avsikt att under våren överlämna en proposition angående andra reformer av vapenlagstiftningen till riksdagen. I det sammanhanget kommer utskottet att få anledning att återkomma till bl.a. vissa tillståndsfrågor med anledning av motioner som väckts under den al</w:t>
      </w:r>
      <w:r>
        <w:t>l</w:t>
      </w:r>
      <w:r>
        <w:t>männa motionstiden.</w:t>
      </w:r>
    </w:p>
    <w:p w:rsidR="00A81DE5" w:rsidRDefault="00A81DE5">
      <w:pPr>
        <w:pStyle w:val="Normaltindrag"/>
      </w:pPr>
      <w:r>
        <w:t>Regeringens förslag innebär i huvudsak att Rikspolisstyrelsen får i uppgift att föra tre separata, centrala vapenregister och att varje polismyndighet skall föra ett lokalt register. De centr</w:t>
      </w:r>
      <w:r>
        <w:t>ala registren kommer att ha olika innehåll. – Utskottet återkommer nedan till de centrala registren. – De lokala registren kommer vart och ett att avse tillståndspliktiga vapeninnehav i ett visst län. Samtliga register skall vara automatiserade. Personuppgiftslagen (1998:204) och polisdatalagen (1998:622) blir i viss utsträckning tillämpliga på vapenr</w:t>
      </w:r>
      <w:r>
        <w:t>e</w:t>
      </w:r>
      <w:r>
        <w:t>gis</w:t>
      </w:r>
      <w:r>
        <w:t>t</w:t>
      </w:r>
      <w:r>
        <w:t>ren.</w:t>
      </w:r>
    </w:p>
    <w:p w:rsidR="00A81DE5" w:rsidRDefault="00A81DE5">
      <w:pPr>
        <w:pStyle w:val="Normaltindrag"/>
      </w:pPr>
      <w:r>
        <w:t>Utskottet kan redan här konstatera att utskottet inte har några invändningar mot regeringens förslag. Utskottet tillstyrker alltså i princip detta. I</w:t>
      </w:r>
      <w:r>
        <w:t xml:space="preserve"> fråga om centrala vapenregister vill utskottet dock anföra följande.   </w:t>
      </w:r>
    </w:p>
    <w:p w:rsidR="00A81DE5" w:rsidRDefault="00A81DE5">
      <w:pPr>
        <w:pStyle w:val="Normaltindrag"/>
      </w:pPr>
      <w:r>
        <w:t>I motion Ju218 (mp) framförs att det är viktigt att införa en effektivare kontroll vid utfärdandet av vapenlicenser. Härvid föreslås att ett samordnat centralt vapenregister upprättas för att göra det möjligt att snabbt få fram relevanta uppgifter.</w:t>
      </w:r>
    </w:p>
    <w:p w:rsidR="00A81DE5" w:rsidRDefault="00A81DE5">
      <w:pPr>
        <w:pStyle w:val="Normaltindrag"/>
      </w:pPr>
      <w:r>
        <w:t>Utskottet har tidigare behandlat frågan om centrala vapenregister. Senast skedde det år 1991 (bet. 1990/91:JuU33 s. 30 f). Vid den tidpunkten u</w:t>
      </w:r>
      <w:r>
        <w:t>t</w:t>
      </w:r>
      <w:r>
        <w:t>tryckte utskottet stor tvekan inför tanken att inrätta ett centralt vapenregister med hänsyn till säkerhets- och sårbarhetsfrågorna. Utskottet framhöll därvid att skadeverkningarna skulle kunna bli mångdubbelt större om en obehörig person bereder sig tillgång till ett centralt register än om det handlar om ett lokalt register.</w:t>
      </w:r>
    </w:p>
    <w:p w:rsidR="00A81DE5" w:rsidRDefault="00A81DE5">
      <w:pPr>
        <w:pStyle w:val="Normaltindrag"/>
      </w:pPr>
      <w:r>
        <w:t>Regeringen är av uppfattningen att de fördelar centrala vapenregister skulle medföra är så stora att övervägande skäl talar för att inrätta centrala register. Bland annat skulle cent</w:t>
      </w:r>
      <w:r>
        <w:t>rala register effektivisera polisens arbete och vara av stor betydelse för polisens verksamhet att förebygga, upptäcka och utreda brott. Vidare finns det ett behov av centrala register för att uppdatera de lokala vapenregistren med information om adressändringar, namnän</w:t>
      </w:r>
      <w:r>
        <w:t>d</w:t>
      </w:r>
      <w:r>
        <w:t>ringar, död</w:t>
      </w:r>
      <w:r>
        <w:t>s</w:t>
      </w:r>
      <w:r>
        <w:t>fall etc.</w:t>
      </w:r>
    </w:p>
    <w:p w:rsidR="00A81DE5" w:rsidRDefault="00A81DE5">
      <w:pPr>
        <w:pStyle w:val="Normaltindrag"/>
      </w:pPr>
      <w:r>
        <w:t>Det främsta skälet emot att inrätta centrala vapenregister är säker-hetsaspekten. Regeringen har i propositionen särskilt uppmärksammat säke</w:t>
      </w:r>
      <w:r>
        <w:t>r</w:t>
      </w:r>
      <w:r>
        <w:t>hets- och sårbarhetsfrågorna. För att minska risken för sårbarhet föreslår regeringen att tre separata centrala vapenregister, ett över vapeninnehavare, ett över vapen och ett över vapenhandlare, inrättas. Denna uppdelning inn</w:t>
      </w:r>
      <w:r>
        <w:t>e</w:t>
      </w:r>
      <w:r>
        <w:t>bär att det inte är möjligt att ur de centrala registren närmare utläsa vilka slags vapen en viss person eller organisation har rätt att inneha. För att ytte</w:t>
      </w:r>
      <w:r>
        <w:t>r</w:t>
      </w:r>
      <w:r>
        <w:t>ligare minska risken för att registrerad information kommer i orätta händer och kan sammanställas på ett sätt som utgör ett ho</w:t>
      </w:r>
      <w:r>
        <w:t>t, t.ex. för registrerade vapeninnehavare, föreslås att de centrala registren inte skall få samköras med varandra. Regeringen har också framhållit att inrättandet av centrala vape</w:t>
      </w:r>
      <w:r>
        <w:t>n</w:t>
      </w:r>
      <w:r>
        <w:t>register förutsätter att lämpliga tekniska och organisatoriska åtgärder vidtas för att skydda uppgifterna i registren. Till exempel krävs mer detaljerade bestämmelser om registrens innehåll, samkörning med andra register och behörighetsbegränsningar. Sådana bestämmelser är dock enligt regeringen av den karaktären att de inte bör g</w:t>
      </w:r>
      <w:r>
        <w:t>es lagform. Det bör i stället ankomma på regeringen eller den myndighet regeringen bestämmer att utfärda närmare föreskrifter om förandet av vapenr</w:t>
      </w:r>
      <w:r>
        <w:t>e</w:t>
      </w:r>
      <w:r>
        <w:t xml:space="preserve">gistren. </w:t>
      </w:r>
    </w:p>
    <w:p w:rsidR="00A81DE5" w:rsidRDefault="00A81DE5">
      <w:pPr>
        <w:pStyle w:val="Normaltindrag"/>
      </w:pPr>
      <w:r>
        <w:t>Av vikt är vidare att gällande sekretessbestämmelser tillgodoser behovet av sekretess för uppgifterna i vapenregistren. Enligt 5 kap. 5 § sekretesslagen (1980:100) gäller sekretess hos polismyndighet i verksamhet, som avser förande av eller uttag ur vapenregister, för uppgift som har tillförts registret, om det inte står klart att uppgiften kan röjas u</w:t>
      </w:r>
      <w:r>
        <w:t>tan fara för att vapen eller ammunition kommer till brottslig användning. Under samma förutsättning gäller sekretess hos Rikspolisstyrelsen för uppgift som hänför sig till vape</w:t>
      </w:r>
      <w:r>
        <w:t>n</w:t>
      </w:r>
      <w:r>
        <w:t>register. För uppgifter om hemvärnsmän och deras beväpning gäller sekr</w:t>
      </w:r>
      <w:r>
        <w:t>e</w:t>
      </w:r>
      <w:r>
        <w:t>tess enligt 2 kap. 2 § sekretesslagen om det kan antas att det skadar landets försvar eller på annat sätt vållar fara för rikets säkerhet om uppgifterna röjs. Regeringen gör bedömningen att gällande sekretessbestämmelser tillgodoser behovet av sekretess även för d</w:t>
      </w:r>
      <w:r>
        <w:t xml:space="preserve">e centrala vapenregister som föreslås och anser inte att någon ändring i sekretesslagen behöver göras. </w:t>
      </w:r>
    </w:p>
    <w:p w:rsidR="00A81DE5" w:rsidRDefault="00A81DE5">
      <w:pPr>
        <w:pStyle w:val="Normaltindrag"/>
      </w:pPr>
      <w:r>
        <w:t>Utskottet finner inte nu skäl att göra någon annan bedömning. Utskottet noterar dock i detta sammanhang att oklarhet råder beträffande frågan om en ansökan eller ett beslut i ett vapentillståndsärende kan sekretessbeläggas. Utskottet utgår från att regeringen utan något särskilt uttalande från riksd</w:t>
      </w:r>
      <w:r>
        <w:t>a</w:t>
      </w:r>
      <w:r>
        <w:t>gens sida ägnar denna fråga uppmärksamhet, t.ex. i den aviserade propositi</w:t>
      </w:r>
      <w:r>
        <w:t>o</w:t>
      </w:r>
      <w:r>
        <w:t xml:space="preserve">nen om vapenfrågor. </w:t>
      </w:r>
    </w:p>
    <w:p w:rsidR="00A81DE5" w:rsidRDefault="00A81DE5">
      <w:pPr>
        <w:pStyle w:val="Normaltindrag"/>
      </w:pPr>
      <w:r>
        <w:t>Vid sitt ställningstagande har utskottet tagit hänsyn till uppdelningen i tre centrala register och förbudet mot samkörning. Sammanfattningsvis har säkerhetsfrågan såvitt nu kan bedömas fått en tillfredsställande lagteknisk lösning. Härutöver tillkommer som nyss nämnts ytterligare regler. Att sä</w:t>
      </w:r>
      <w:r>
        <w:t>r</w:t>
      </w:r>
      <w:r>
        <w:t>skild uppmärksamhet därvid kommer att ägnas säkerhetsfrågorna i övrigt är en självklarhet. Detsamma gäller naturligtvis den datortekniska säkerheten. Mot den bakgrunden och då utskottet delar regeringens bedömning att öve</w:t>
      </w:r>
      <w:r>
        <w:t>r</w:t>
      </w:r>
      <w:r>
        <w:t>vägande skäl talar för att centrala vapenregister inrättas kan utskottet tillsty</w:t>
      </w:r>
      <w:r>
        <w:t>r</w:t>
      </w:r>
      <w:r>
        <w:t>ka regeringens förslag. Syftet med motion Ju218 torde därmed vara tillgod</w:t>
      </w:r>
      <w:r>
        <w:t>o</w:t>
      </w:r>
      <w:r>
        <w:t>sett.</w:t>
      </w:r>
    </w:p>
    <w:p w:rsidR="00A81DE5" w:rsidRDefault="00A81DE5">
      <w:pPr>
        <w:pStyle w:val="Normaltindrag"/>
      </w:pPr>
      <w:r>
        <w:t>Regeringens förslag till lag om ändring i vapenlagen föreslås träda i kraft den 1 april 1999. I den mån vapenregistren kommer at</w:t>
      </w:r>
      <w:r>
        <w:t>t föras för att föreby</w:t>
      </w:r>
      <w:r>
        <w:t>g</w:t>
      </w:r>
      <w:r>
        <w:t>ga, upptäcka och utreda brott kommer polisdatalagens allmänna bestämme</w:t>
      </w:r>
      <w:r>
        <w:t>l</w:t>
      </w:r>
      <w:r>
        <w:t>ser att gälla för behandlingen av personuppgifter. Polisdatalagen har ännu inte trätt i kraft, och enligt vad utskottet inhämtat är det oklart när ikrafttr</w:t>
      </w:r>
      <w:r>
        <w:t>ä</w:t>
      </w:r>
      <w:r>
        <w:t>dande kommer att ske. Utskottet ser emellertid inte något uttalat behov av att avvakta polisdatalagens ikraftträdande. Regeringens förslag kan därför träda i kraft vid den tidpunkt som föreslås.</w:t>
      </w:r>
    </w:p>
    <w:p w:rsidR="00A81DE5" w:rsidRDefault="00A81DE5">
      <w:pPr>
        <w:pStyle w:val="Normaltindrag"/>
      </w:pPr>
      <w:r>
        <w:t>I övrigt har utskottet ingenting att anföra med anledning av propos</w:t>
      </w:r>
      <w:r>
        <w:t>iti</w:t>
      </w:r>
      <w:r>
        <w:t>o</w:t>
      </w:r>
      <w:r>
        <w:t>nen.</w:t>
      </w:r>
    </w:p>
    <w:p w:rsidR="00A81DE5" w:rsidRDefault="00A81DE5">
      <w:pPr>
        <w:pStyle w:val="Rubrik2"/>
      </w:pPr>
      <w:bookmarkStart w:id="26" w:name="_Toc444062450"/>
      <w:r>
        <w:t>Hemställan</w:t>
      </w:r>
      <w:bookmarkEnd w:id="26"/>
    </w:p>
    <w:p w:rsidR="00A81DE5" w:rsidRDefault="00A81DE5">
      <w:r>
        <w:t>Utskottet hemställer</w:t>
      </w:r>
    </w:p>
    <w:p w:rsidR="00A81DE5" w:rsidRDefault="00A81DE5">
      <w:pPr>
        <w:pStyle w:val="hembetr"/>
      </w:pPr>
      <w:bookmarkStart w:id="27" w:name="Nästa_Hpunkt"/>
      <w:bookmarkEnd w:id="27"/>
      <w:r>
        <w:t xml:space="preserve">beträffande </w:t>
      </w:r>
      <w:r>
        <w:rPr>
          <w:i/>
        </w:rPr>
        <w:t>förslag till lagreglering av vapenregistren</w:t>
      </w:r>
    </w:p>
    <w:p w:rsidR="00A81DE5" w:rsidRDefault="00A81DE5">
      <w:pPr>
        <w:pStyle w:val="hemtext"/>
        <w:rPr>
          <w:i/>
        </w:rPr>
      </w:pPr>
      <w:r>
        <w:t>att riksdagen med bifall till proposition 1998/99:36 och med anledning av motion 1998/99:Ju218 yrkande 2 antar regeringens förslag till lag om än</w:t>
      </w:r>
      <w:r>
        <w:t>d</w:t>
      </w:r>
      <w:r>
        <w:t>ring i vapenlagen (1996:67).</w:t>
      </w:r>
    </w:p>
    <w:p w:rsidR="00A81DE5" w:rsidRDefault="00A81DE5">
      <w:pPr>
        <w:pStyle w:val="Reseftermom"/>
      </w:pPr>
    </w:p>
    <w:p w:rsidR="00A81DE5" w:rsidRDefault="00A81DE5">
      <w:pPr>
        <w:pStyle w:val="Stockholm"/>
      </w:pPr>
      <w:r>
        <w:t>Stockholm den 18 februari 1999</w:t>
      </w:r>
    </w:p>
    <w:p w:rsidR="00A81DE5" w:rsidRDefault="00A81DE5">
      <w:pPr>
        <w:pStyle w:val="Vgnar"/>
      </w:pPr>
      <w:r>
        <w:t>På justitieutskottets vägnar</w:t>
      </w:r>
    </w:p>
    <w:p w:rsidR="00A81DE5" w:rsidRDefault="00A81DE5">
      <w:pPr>
        <w:pStyle w:val="Ordfnamn"/>
      </w:pPr>
      <w:bookmarkStart w:id="28" w:name="Ordförande"/>
      <w:bookmarkEnd w:id="28"/>
      <w:r>
        <w:t xml:space="preserve">Gun Hellsvik </w:t>
      </w:r>
    </w:p>
    <w:p w:rsidR="00A81DE5" w:rsidRDefault="00A81DE5">
      <w:pPr>
        <w:pStyle w:val="Deltagare"/>
      </w:pPr>
      <w:bookmarkStart w:id="29" w:name="Deltagare"/>
      <w:bookmarkEnd w:id="29"/>
      <w:r>
        <w:t>I beslutet har deltagit: Gun Hellsvik (m), Ingvar Johnsson (s), Märta Johan</w:t>
      </w:r>
      <w:r>
        <w:t>s</w:t>
      </w:r>
      <w:r>
        <w:t>son (s), Margareta Sandgren (s), Alice Åström (v), Ingemar Vänerlöv (kd), Anders G Högmark (m), Maud Ekendahl (m), Helena Frisk (s), Morgan Johansson (s), Yvonne Oscarsson (v), Ragnwi Marcelind (kd), Jeppe John</w:t>
      </w:r>
      <w:r>
        <w:t>s</w:t>
      </w:r>
      <w:r>
        <w:t>son (m), Kia Andreasson (mp), Gunnel Wallin (c), Siw Persson (fp) och Göran No</w:t>
      </w:r>
      <w:r>
        <w:t>r</w:t>
      </w:r>
      <w:r>
        <w:t>lander (s).</w:t>
      </w:r>
    </w:p>
    <w:p w:rsidR="00A81DE5" w:rsidRDefault="00A81DE5">
      <w:bookmarkStart w:id="30" w:name="Nästa_Reservation"/>
      <w:bookmarkEnd w:id="30"/>
    </w:p>
    <w:p w:rsidR="00A81DE5" w:rsidRDefault="00A81DE5">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A81DE5" w:rsidRDefault="00A81DE5">
      <w:pPr>
        <w:pStyle w:val="Rubrik2"/>
        <w:spacing w:before="0"/>
      </w:pPr>
      <w:bookmarkStart w:id="31" w:name="_Toc444062451"/>
      <w:r>
        <w:t>Regeringens lagförslag</w:t>
      </w:r>
      <w:bookmarkEnd w:id="31"/>
    </w:p>
    <w:p w:rsidR="00A81DE5" w:rsidRDefault="00A81DE5">
      <w:pPr>
        <w:pStyle w:val="Rubrik2"/>
        <w:spacing w:before="0"/>
      </w:pPr>
      <w:r>
        <w:br w:type="page"/>
      </w:r>
      <w:r>
        <w:br w:type="page"/>
      </w:r>
      <w:r>
        <w:br w:type="page"/>
      </w:r>
    </w:p>
    <w:p w:rsidR="00A81DE5" w:rsidRDefault="00A81DE5">
      <w:pPr>
        <w:pStyle w:val="Innehll"/>
        <w:sectPr w:rsidR="00000000">
          <w:headerReference w:type="default" r:id="rId11"/>
          <w:footerReference w:type="default" r:id="rId12"/>
          <w:pgSz w:w="11906" w:h="16838" w:code="9"/>
          <w:pgMar w:top="567" w:right="4876" w:bottom="4508" w:left="1134" w:header="227" w:footer="227" w:gutter="0"/>
          <w:cols w:space="720"/>
        </w:sectPr>
      </w:pPr>
    </w:p>
    <w:p w:rsidR="00A81DE5" w:rsidRDefault="00A81DE5">
      <w:pPr>
        <w:pStyle w:val="Innehll"/>
      </w:pPr>
      <w:r>
        <w:t>Innehållsförteckning</w:t>
      </w:r>
    </w:p>
    <w:p w:rsidR="00A81DE5" w:rsidRDefault="00A81DE5">
      <w:pPr>
        <w:pStyle w:val="Innehll1"/>
        <w:rPr>
          <w:noProof/>
        </w:rPr>
      </w:pPr>
      <w:r>
        <w:rPr>
          <w:noProof/>
        </w:rPr>
        <w:t>Sammanfattning</w:t>
      </w:r>
      <w:r>
        <w:rPr>
          <w:noProof/>
        </w:rPr>
        <w:tab/>
        <w:t>1</w:t>
      </w:r>
    </w:p>
    <w:p w:rsidR="00A81DE5" w:rsidRDefault="00A81DE5">
      <w:pPr>
        <w:pStyle w:val="Innehll1"/>
        <w:rPr>
          <w:noProof/>
        </w:rPr>
      </w:pPr>
      <w:r>
        <w:rPr>
          <w:noProof/>
        </w:rPr>
        <w:t>Propositionen</w:t>
      </w:r>
      <w:r>
        <w:rPr>
          <w:noProof/>
        </w:rPr>
        <w:tab/>
        <w:t>1</w:t>
      </w:r>
    </w:p>
    <w:p w:rsidR="00A81DE5" w:rsidRDefault="00A81DE5">
      <w:pPr>
        <w:pStyle w:val="Innehll1"/>
        <w:rPr>
          <w:noProof/>
        </w:rPr>
      </w:pPr>
      <w:r>
        <w:rPr>
          <w:noProof/>
        </w:rPr>
        <w:t>Motionen</w:t>
      </w:r>
      <w:r>
        <w:rPr>
          <w:noProof/>
        </w:rPr>
        <w:tab/>
        <w:t>1</w:t>
      </w:r>
    </w:p>
    <w:p w:rsidR="00A81DE5" w:rsidRDefault="00A81DE5">
      <w:pPr>
        <w:pStyle w:val="Innehll2"/>
        <w:rPr>
          <w:noProof/>
        </w:rPr>
      </w:pPr>
      <w:r>
        <w:rPr>
          <w:noProof/>
        </w:rPr>
        <w:t>Motion väckt under allmänna motionstiden 1998</w:t>
      </w:r>
      <w:r>
        <w:rPr>
          <w:noProof/>
        </w:rPr>
        <w:tab/>
        <w:t>1</w:t>
      </w:r>
    </w:p>
    <w:p w:rsidR="00A81DE5" w:rsidRDefault="00A81DE5">
      <w:pPr>
        <w:pStyle w:val="Innehll1"/>
        <w:rPr>
          <w:noProof/>
        </w:rPr>
      </w:pPr>
      <w:r>
        <w:rPr>
          <w:noProof/>
        </w:rPr>
        <w:t>Utskottet</w:t>
      </w:r>
      <w:r>
        <w:rPr>
          <w:noProof/>
        </w:rPr>
        <w:tab/>
        <w:t>1</w:t>
      </w:r>
    </w:p>
    <w:p w:rsidR="00A81DE5" w:rsidRDefault="00A81DE5">
      <w:pPr>
        <w:pStyle w:val="Innehll2"/>
        <w:rPr>
          <w:noProof/>
        </w:rPr>
      </w:pPr>
      <w:r>
        <w:rPr>
          <w:noProof/>
        </w:rPr>
        <w:t>Ärendet</w:t>
      </w:r>
      <w:r>
        <w:rPr>
          <w:noProof/>
        </w:rPr>
        <w:tab/>
        <w:t>1</w:t>
      </w:r>
    </w:p>
    <w:p w:rsidR="00A81DE5" w:rsidRDefault="00A81DE5">
      <w:pPr>
        <w:pStyle w:val="Innehll2"/>
        <w:rPr>
          <w:noProof/>
        </w:rPr>
      </w:pPr>
      <w:r>
        <w:rPr>
          <w:noProof/>
        </w:rPr>
        <w:t>Propositionens huvudsakliga innehåll</w:t>
      </w:r>
      <w:r>
        <w:rPr>
          <w:noProof/>
        </w:rPr>
        <w:tab/>
        <w:t>2</w:t>
      </w:r>
    </w:p>
    <w:p w:rsidR="00A81DE5" w:rsidRDefault="00A81DE5">
      <w:pPr>
        <w:pStyle w:val="Innehll2"/>
        <w:rPr>
          <w:noProof/>
        </w:rPr>
      </w:pPr>
      <w:r>
        <w:rPr>
          <w:noProof/>
        </w:rPr>
        <w:t>Överväganden</w:t>
      </w:r>
      <w:r>
        <w:rPr>
          <w:noProof/>
        </w:rPr>
        <w:tab/>
        <w:t>2</w:t>
      </w:r>
    </w:p>
    <w:p w:rsidR="00A81DE5" w:rsidRDefault="00A81DE5">
      <w:pPr>
        <w:pStyle w:val="Innehll2"/>
        <w:rPr>
          <w:noProof/>
        </w:rPr>
      </w:pPr>
      <w:r>
        <w:rPr>
          <w:noProof/>
        </w:rPr>
        <w:t>Hemställan</w:t>
      </w:r>
      <w:r>
        <w:rPr>
          <w:noProof/>
        </w:rPr>
        <w:tab/>
        <w:t>4</w:t>
      </w:r>
    </w:p>
    <w:p w:rsidR="00A81DE5" w:rsidRDefault="00A81DE5">
      <w:r>
        <w:t>Bilaga</w:t>
      </w:r>
    </w:p>
    <w:p w:rsidR="00A81DE5" w:rsidRDefault="00A81DE5">
      <w:pPr>
        <w:pStyle w:val="Innehll2"/>
        <w:rPr>
          <w:noProof/>
        </w:rPr>
      </w:pPr>
      <w:r>
        <w:rPr>
          <w:noProof/>
        </w:rPr>
        <w:t>Regeringens lagförslag</w:t>
      </w:r>
      <w:r>
        <w:rPr>
          <w:noProof/>
        </w:rPr>
        <w:tab/>
        <w:t>5</w:t>
      </w:r>
    </w:p>
    <w:p w:rsidR="00A81DE5" w:rsidRDefault="00A81DE5"/>
    <w:p w:rsidR="00A81DE5" w:rsidRDefault="00A81DE5">
      <w:pPr>
        <w:pStyle w:val="Tryckort"/>
        <w:framePr w:wrap="around"/>
      </w:pPr>
      <w:r>
        <w:t>Elanders Gotab, Stockholm  1999</w:t>
      </w:r>
    </w:p>
    <w:p w:rsidR="00A81DE5" w:rsidRDefault="00A81DE5">
      <w:pPr>
        <w:pStyle w:val="Normaltindrag"/>
      </w:pPr>
    </w:p>
    <w:sectPr w:rsidR="00A81DE5">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DE5" w:rsidRDefault="00A81DE5">
      <w:pPr>
        <w:spacing w:before="0" w:line="240" w:lineRule="auto"/>
      </w:pPr>
      <w:r>
        <w:separator/>
      </w:r>
    </w:p>
  </w:endnote>
  <w:endnote w:type="continuationSeparator" w:id="0">
    <w:p w:rsidR="00A81DE5" w:rsidRDefault="00A81D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81DE5" w:rsidRDefault="00A81D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A81DE5" w:rsidRDefault="00A81D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fotH"/>
      <w:framePr w:wrap="around"/>
    </w:pPr>
    <w:r>
      <w:fldChar w:fldCharType="begin" w:fldLock="1"/>
    </w:r>
    <w:r>
      <w:instrText xml:space="preserve"> PAGE </w:instrText>
    </w:r>
    <w:r>
      <w:fldChar w:fldCharType="separate"/>
    </w:r>
    <w:r>
      <w:rPr>
        <w:noProof/>
      </w:rPr>
      <w:t>9</w:t>
    </w:r>
    <w:r>
      <w:fldChar w:fldCharType="end"/>
    </w:r>
  </w:p>
  <w:p w:rsidR="00A81DE5" w:rsidRDefault="00A81D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DE5" w:rsidRDefault="00A81DE5">
      <w:pPr>
        <w:spacing w:before="0" w:line="240" w:lineRule="auto"/>
      </w:pPr>
      <w:r>
        <w:separator/>
      </w:r>
    </w:p>
  </w:footnote>
  <w:footnote w:type="continuationSeparator" w:id="0">
    <w:p w:rsidR="00A81DE5" w:rsidRDefault="00A81D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huvudKant"/>
      <w:framePr w:w="1985" w:h="2743" w:hRule="exact" w:wrap="around" w:vAnchor="page" w:hAnchor="page" w:x="7372" w:y="568" w:anchorLock="0"/>
      <w:rPr>
        <w:noProof/>
      </w:rPr>
    </w:pPr>
    <w:r>
      <w:rPr>
        <w:noProof/>
      </w:rPr>
      <w:t>1998/99:JuU14</w:t>
    </w:r>
  </w:p>
  <w:p w:rsidR="00A81DE5" w:rsidRDefault="00A81DE5">
    <w:pPr>
      <w:pStyle w:val="SidhuvudKantBilaga"/>
      <w:framePr w:w="1985" w:h="2743" w:hRule="exact" w:wrap="around" w:vAnchor="page" w:hAnchor="page" w:x="7372" w:y="568" w:anchorLock="0"/>
      <w:rPr>
        <w:noProof/>
      </w:rPr>
    </w:pPr>
  </w:p>
  <w:p w:rsidR="00A81DE5" w:rsidRDefault="00A81DE5">
    <w:pPr>
      <w:pStyle w:val="SidhuvudKant"/>
      <w:framePr w:w="1985" w:h="2743" w:hRule="exact" w:wrap="around" w:vAnchor="page" w:hAnchor="page" w:x="7372" w:y="568" w:anchorLock="0"/>
    </w:pPr>
  </w:p>
  <w:p w:rsidR="00A81DE5" w:rsidRDefault="00A81D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huvudKant"/>
      <w:framePr w:w="1985" w:h="2743" w:hRule="exact" w:wrap="around" w:vAnchor="page" w:hAnchor="page" w:x="7372" w:y="568" w:anchorLock="0"/>
      <w:rPr>
        <w:noProof/>
      </w:rPr>
    </w:pPr>
    <w:r>
      <w:rPr>
        <w:noProof/>
      </w:rPr>
      <w:t>1998/99:JuU14</w:t>
    </w:r>
  </w:p>
  <w:p w:rsidR="00A81DE5" w:rsidRDefault="00A81DE5">
    <w:pPr>
      <w:pStyle w:val="SidhuvudKantBilaga"/>
      <w:framePr w:w="1985" w:h="2743" w:hRule="exact" w:wrap="around" w:vAnchor="page" w:hAnchor="page" w:x="7372" w:y="568" w:anchorLock="0"/>
      <w:rPr>
        <w:noProof/>
      </w:rPr>
    </w:pPr>
    <w:r>
      <w:rPr>
        <w:noProof/>
      </w:rPr>
      <w:t>Bilaga</w:t>
    </w:r>
  </w:p>
  <w:p w:rsidR="00A81DE5" w:rsidRDefault="00A81DE5">
    <w:pPr>
      <w:pStyle w:val="SidhuvudKant"/>
      <w:framePr w:w="1985" w:h="2743" w:hRule="exact" w:wrap="around" w:vAnchor="page" w:hAnchor="page" w:x="7372" w:y="568" w:anchorLock="0"/>
    </w:pPr>
  </w:p>
  <w:p w:rsidR="00A81DE5" w:rsidRDefault="00A81D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DE5" w:rsidRDefault="00A81DE5">
    <w:pPr>
      <w:pStyle w:val="SidhuvudKant"/>
      <w:framePr w:w="1985" w:h="2743" w:hRule="exact" w:wrap="around" w:vAnchor="page" w:hAnchor="page" w:x="7372" w:y="568" w:anchorLock="0"/>
      <w:rPr>
        <w:noProof/>
      </w:rPr>
    </w:pPr>
    <w:r>
      <w:rPr>
        <w:noProof/>
      </w:rPr>
      <w:t>1998/99:JuU14</w:t>
    </w:r>
  </w:p>
  <w:p w:rsidR="00A81DE5" w:rsidRDefault="00A81DE5">
    <w:pPr>
      <w:pStyle w:val="SidhuvudKantBilaga"/>
      <w:framePr w:w="1985" w:h="2743" w:hRule="exact" w:wrap="around" w:vAnchor="page" w:hAnchor="page" w:x="7372" w:y="568" w:anchorLock="0"/>
      <w:rPr>
        <w:noProof/>
      </w:rPr>
    </w:pPr>
  </w:p>
  <w:p w:rsidR="00A81DE5" w:rsidRDefault="00A81DE5">
    <w:pPr>
      <w:pStyle w:val="SidhuvudKant"/>
      <w:framePr w:w="1985" w:h="2743" w:hRule="exact" w:wrap="around" w:vAnchor="page" w:hAnchor="page" w:x="7372" w:y="568" w:anchorLock="0"/>
    </w:pPr>
  </w:p>
  <w:p w:rsidR="00A81DE5" w:rsidRDefault="00A81DE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0D53D2"/>
    <w:rsid w:val="000D53D2"/>
    <w:rsid w:val="005845B8"/>
    <w:rsid w:val="00A81D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1BFDD-F8F2-4089-88F2-964C1939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1329</Words>
  <Characters>8481</Characters>
  <Application>Microsoft Office Word</Application>
  <DocSecurity>4</DocSecurity>
  <Lines>184</Lines>
  <Paragraphs>65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betänkande</vt:lpstr>
      <vt:lpstr>Sammanfattning</vt:lpstr>
      <vt:lpstr>Propositionen</vt:lpstr>
      <vt:lpstr>Motionen</vt:lpstr>
      <vt:lpstr>    Motion väckt under allmänna motionstiden 1998</vt:lpstr>
      <vt:lpstr>Utskottet</vt:lpstr>
      <vt:lpstr>    Ärendet</vt:lpstr>
      <vt:lpstr>    Propositionens huvudsakliga innehåll</vt:lpstr>
      <vt:lpstr>    Överväganden</vt:lpstr>
      <vt:lpstr>    Hemställan</vt:lpstr>
      <vt:lpstr>    Regeringens lagförslag</vt:lpstr>
      <vt:lpstr>    </vt:lpstr>
    </vt:vector>
  </TitlesOfParts>
  <Company>Riksdagen</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1999-02-23T10:53:00Z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