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6A9A5566" w:rsidR="00F65DF8" w:rsidRPr="0012669A" w:rsidRDefault="00F65DF8" w:rsidP="00F65DF8"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37DCC9FB" w:rsidR="00FC6FB0" w:rsidRDefault="00FC6FB0" w:rsidP="00F65DF8"/>
    <w:p w14:paraId="2C3D7F8C" w14:textId="77777777" w:rsidR="007119C9" w:rsidRDefault="007119C9" w:rsidP="00F65DF8"/>
    <w:p w14:paraId="07A16874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43A0310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="0060686F">
              <w:rPr>
                <w:b/>
              </w:rPr>
              <w:t>:</w:t>
            </w:r>
            <w:r w:rsidR="00AE258C">
              <w:rPr>
                <w:b/>
              </w:rPr>
              <w:t>4</w:t>
            </w:r>
            <w:r w:rsidR="00015F93">
              <w:rPr>
                <w:b/>
              </w:rPr>
              <w:t>4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3766D34B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5F6248">
              <w:t>6</w:t>
            </w:r>
            <w:r w:rsidRPr="0012669A">
              <w:t>-</w:t>
            </w:r>
            <w:r w:rsidR="00015F93">
              <w:t>10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0A97F833" w:rsidR="00141DA2" w:rsidRPr="0012669A" w:rsidRDefault="00AE258C" w:rsidP="008C57B9">
            <w:r>
              <w:t>1</w:t>
            </w:r>
            <w:r w:rsidR="00015F93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7119C9">
              <w:t>10.47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5630E0EA" w:rsidR="00224578" w:rsidRDefault="00224578"/>
    <w:p w14:paraId="2C314262" w14:textId="77777777" w:rsidR="0056532C" w:rsidRDefault="0056532C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7CF2FE57" w:rsidR="00ED1096" w:rsidRPr="00790096" w:rsidRDefault="00DD54E9" w:rsidP="00A66C14">
            <w:pPr>
              <w:spacing w:after="100" w:afterAutospacing="1"/>
              <w:rPr>
                <w:color w:val="FF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 w:rsidRPr="004D53E8">
              <w:t>Utskottet medgav deltagande på distans för följande ordinarie ledamöter</w:t>
            </w:r>
            <w:r w:rsidR="001D335C" w:rsidRPr="004D53E8">
              <w:t xml:space="preserve"> och suppleanter</w:t>
            </w:r>
            <w:r w:rsidRPr="004D53E8">
              <w:t>:</w:t>
            </w:r>
            <w:r w:rsidR="00EE6D7D" w:rsidRPr="004D53E8">
              <w:t xml:space="preserve"> </w:t>
            </w:r>
            <w:r w:rsidR="003C1199" w:rsidRPr="007119C9">
              <w:t xml:space="preserve">Anna-Caren Sätherberg (S), </w:t>
            </w:r>
            <w:r w:rsidR="00EE6D7D" w:rsidRPr="007119C9">
              <w:t xml:space="preserve">Mattias Jonsson (S), </w:t>
            </w:r>
            <w:r w:rsidR="000D2552" w:rsidRPr="007119C9">
              <w:t xml:space="preserve">Ann-Charlotte Hammar Johnsson (M), </w:t>
            </w:r>
            <w:r w:rsidR="007A3B0F" w:rsidRPr="007119C9">
              <w:t xml:space="preserve">Mattias Bäckström Johansson (SD), </w:t>
            </w:r>
            <w:r w:rsidR="000D2552" w:rsidRPr="007119C9">
              <w:t xml:space="preserve">Monica Haider (S), </w:t>
            </w:r>
            <w:r w:rsidR="00D7181F" w:rsidRPr="007119C9">
              <w:t xml:space="preserve">Helena Lindahl (C), </w:t>
            </w:r>
            <w:r w:rsidR="002054AD" w:rsidRPr="007119C9">
              <w:t xml:space="preserve">Birger Lahti (V), </w:t>
            </w:r>
            <w:r w:rsidR="00EE6D7D" w:rsidRPr="007119C9">
              <w:t xml:space="preserve">Lotta Olsson (M), </w:t>
            </w:r>
            <w:r w:rsidR="000D2552" w:rsidRPr="007119C9">
              <w:t xml:space="preserve">Tobias Andersson (SD), </w:t>
            </w:r>
            <w:r w:rsidR="007A3B0F" w:rsidRPr="007119C9">
              <w:t>Mathias Tegnér (S)</w:t>
            </w:r>
            <w:r w:rsidR="000D2552" w:rsidRPr="007119C9">
              <w:t xml:space="preserve">, </w:t>
            </w:r>
            <w:r w:rsidR="003C1199" w:rsidRPr="007119C9">
              <w:t xml:space="preserve">Camilla Brodin (KD), </w:t>
            </w:r>
            <w:r w:rsidR="00EE6D7D" w:rsidRPr="007119C9">
              <w:t xml:space="preserve">Åsa Eriksson (S), </w:t>
            </w:r>
            <w:r w:rsidR="00744776" w:rsidRPr="007119C9">
              <w:t xml:space="preserve">Joar Forssell (L), </w:t>
            </w:r>
            <w:r w:rsidR="00F35D4C" w:rsidRPr="007119C9">
              <w:t xml:space="preserve">Eric Palmqvist (SD), </w:t>
            </w:r>
            <w:r w:rsidR="007119C9" w:rsidRPr="00E85EF0">
              <w:t xml:space="preserve">Lorentz Tovatt (MP), </w:t>
            </w:r>
            <w:r w:rsidR="00F35D4C" w:rsidRPr="007119C9">
              <w:rPr>
                <w:snapToGrid w:val="0"/>
              </w:rPr>
              <w:t xml:space="preserve">Patrik Engström (S), </w:t>
            </w:r>
            <w:r w:rsidR="00EA6ACA" w:rsidRPr="007119C9">
              <w:t xml:space="preserve">Elisabeth Björnsdotter Rahm (M), </w:t>
            </w:r>
            <w:r w:rsidR="00355D1B" w:rsidRPr="007119C9">
              <w:rPr>
                <w:snapToGrid w:val="0"/>
              </w:rPr>
              <w:t>Josef Fransson (SD)</w:t>
            </w:r>
            <w:r w:rsidR="007A3B0F" w:rsidRPr="007119C9">
              <w:rPr>
                <w:snapToGrid w:val="0"/>
              </w:rPr>
              <w:t xml:space="preserve">, Per Schöldberg (C), </w:t>
            </w:r>
            <w:r w:rsidR="0084769B" w:rsidRPr="007119C9">
              <w:rPr>
                <w:snapToGrid w:val="0"/>
              </w:rPr>
              <w:t>Lorena Delgado Varas (V)</w:t>
            </w:r>
            <w:r w:rsidR="007A3B0F" w:rsidRPr="007119C9">
              <w:rPr>
                <w:snapToGrid w:val="0"/>
              </w:rPr>
              <w:t xml:space="preserve"> och </w:t>
            </w:r>
            <w:r w:rsidR="007119C9" w:rsidRPr="00E85EF0">
              <w:t>Rickard Nordin (C).</w:t>
            </w:r>
          </w:p>
          <w:p w14:paraId="6B0B07AC" w14:textId="043CC150" w:rsidR="00ED1096" w:rsidRPr="00ED1096" w:rsidRDefault="007119C9" w:rsidP="00ED1096">
            <w:pPr>
              <w:ind w:right="68"/>
            </w:pPr>
            <w:r>
              <w:t>Fem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015F93" w:rsidRPr="0012669A" w14:paraId="2E438665" w14:textId="77777777" w:rsidTr="00823B30">
        <w:trPr>
          <w:trHeight w:val="919"/>
        </w:trPr>
        <w:tc>
          <w:tcPr>
            <w:tcW w:w="567" w:type="dxa"/>
          </w:tcPr>
          <w:p w14:paraId="164451DF" w14:textId="48A1EA47" w:rsidR="00015F93" w:rsidRDefault="00015F93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148BCDA2" w14:textId="77777777" w:rsidR="00015F93" w:rsidRDefault="00015F93" w:rsidP="00A66C14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Kommissionens förslag om en inre marknad för digitala tjänster och om marknader inom den digitala sektorn</w:t>
            </w:r>
          </w:p>
          <w:p w14:paraId="56058EC9" w14:textId="444260A1" w:rsidR="00015F93" w:rsidRPr="00015F93" w:rsidRDefault="00015F93" w:rsidP="00A66C14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Näringspolitisk expert My Bergdahl,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IT&amp;Telekomföretagen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,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bolagsjurist Martin Sjöberg, Telenor Sverige AB, samhällspolitisk chef Sara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Övreby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Google Sverige och bolagsjurist Filippa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Murath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Internetstiftelsen, </w:t>
            </w:r>
            <w:r>
              <w:rPr>
                <w:bCs/>
              </w:rPr>
              <w:t xml:space="preserve">var uppkopplad per videolänk och lämnade information och svarade på frågor 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k</w:t>
            </w:r>
            <w:r w:rsidRPr="00015F93">
              <w:rPr>
                <w:rFonts w:eastAsiaTheme="minorHAnsi"/>
                <w:bCs/>
                <w:color w:val="000000"/>
                <w:lang w:eastAsia="en-US"/>
              </w:rPr>
              <w:t>ommissionens förslag om en inre marknad för digitala tjänster och om marknader inom den digitala sektorn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A03A03" w:rsidRPr="0012669A" w14:paraId="6FB8AA00" w14:textId="77777777" w:rsidTr="00823B30">
        <w:trPr>
          <w:trHeight w:val="919"/>
        </w:trPr>
        <w:tc>
          <w:tcPr>
            <w:tcW w:w="567" w:type="dxa"/>
          </w:tcPr>
          <w:p w14:paraId="47B131F2" w14:textId="2CFAE1B1" w:rsidR="00A03A03" w:rsidRDefault="00A03A03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5F93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4CA19B75" w14:textId="77777777" w:rsidR="00A03A03" w:rsidRDefault="00A03A03" w:rsidP="00A03A03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6ED5C2B9" w14:textId="77777777" w:rsidR="00A03A03" w:rsidRDefault="00A03A03" w:rsidP="00A03A03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75B39D23" w14:textId="4E52DDC6" w:rsidR="00015F93" w:rsidRDefault="00A03A03" w:rsidP="00A03A03">
            <w:pPr>
              <w:pStyle w:val="Kommentarer"/>
              <w:rPr>
                <w:snapToGrid w:val="0"/>
                <w:sz w:val="24"/>
                <w:szCs w:val="24"/>
              </w:rPr>
            </w:pPr>
            <w:r w:rsidRPr="00511DEF">
              <w:rPr>
                <w:snapToGrid w:val="0"/>
                <w:sz w:val="24"/>
                <w:szCs w:val="24"/>
              </w:rPr>
              <w:t>Utskottet justerade protokoll 2020/21:</w:t>
            </w:r>
            <w:r>
              <w:rPr>
                <w:snapToGrid w:val="0"/>
                <w:sz w:val="24"/>
                <w:szCs w:val="24"/>
              </w:rPr>
              <w:t>4</w:t>
            </w:r>
            <w:r w:rsidR="00015F93">
              <w:rPr>
                <w:snapToGrid w:val="0"/>
                <w:sz w:val="24"/>
                <w:szCs w:val="24"/>
              </w:rPr>
              <w:t>3</w:t>
            </w:r>
            <w:r>
              <w:rPr>
                <w:snapToGrid w:val="0"/>
                <w:sz w:val="24"/>
                <w:szCs w:val="24"/>
              </w:rPr>
              <w:t>.</w:t>
            </w:r>
          </w:p>
          <w:p w14:paraId="5C12CC72" w14:textId="583A113F" w:rsidR="007119C9" w:rsidRDefault="007119C9" w:rsidP="00A03A03">
            <w:pPr>
              <w:pStyle w:val="Kommentarer"/>
              <w:rPr>
                <w:snapToGrid w:val="0"/>
                <w:sz w:val="24"/>
                <w:szCs w:val="24"/>
              </w:rPr>
            </w:pPr>
          </w:p>
          <w:p w14:paraId="46B483F0" w14:textId="1636772A" w:rsidR="007119C9" w:rsidRDefault="007119C9" w:rsidP="00A03A03">
            <w:pPr>
              <w:pStyle w:val="Kommentarer"/>
              <w:rPr>
                <w:snapToGrid w:val="0"/>
                <w:sz w:val="24"/>
                <w:szCs w:val="24"/>
              </w:rPr>
            </w:pPr>
          </w:p>
          <w:p w14:paraId="42864C17" w14:textId="77777777" w:rsidR="007119C9" w:rsidRDefault="007119C9" w:rsidP="00A03A03">
            <w:pPr>
              <w:pStyle w:val="Kommentarer"/>
              <w:rPr>
                <w:snapToGrid w:val="0"/>
                <w:sz w:val="24"/>
                <w:szCs w:val="24"/>
              </w:rPr>
            </w:pPr>
          </w:p>
          <w:p w14:paraId="73D5E4D5" w14:textId="77777777" w:rsidR="00A03A03" w:rsidRDefault="00A03A0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5F6248" w:rsidRPr="0012669A" w14:paraId="363B9B29" w14:textId="77777777" w:rsidTr="00823B30">
        <w:trPr>
          <w:trHeight w:val="919"/>
        </w:trPr>
        <w:tc>
          <w:tcPr>
            <w:tcW w:w="567" w:type="dxa"/>
          </w:tcPr>
          <w:p w14:paraId="193CF8E0" w14:textId="6869D4C1" w:rsidR="005F6248" w:rsidRDefault="005F624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15F93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66E1868C" w14:textId="77777777" w:rsidR="00015F93" w:rsidRDefault="00015F93" w:rsidP="00015F93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Tidsfrister och kontaktpunkt för att främja tillförsel av förnybar energi (NU27)</w:t>
            </w:r>
          </w:p>
          <w:p w14:paraId="74F38A1D" w14:textId="77777777" w:rsidR="00015F93" w:rsidRPr="00FA594C" w:rsidRDefault="00015F93" w:rsidP="00015F93">
            <w:pPr>
              <w:spacing w:after="100" w:afterAutospacing="1"/>
              <w:rPr>
                <w:b/>
                <w:bCs/>
                <w:color w:val="000000"/>
              </w:rPr>
            </w:pP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 xml:space="preserve">fortsatte behandlingen av </w:t>
            </w:r>
            <w:r>
              <w:rPr>
                <w:snapToGrid w:val="0"/>
              </w:rPr>
              <w:t xml:space="preserve">proposition </w:t>
            </w:r>
            <w:r>
              <w:rPr>
                <w:color w:val="000000"/>
              </w:rPr>
              <w:t xml:space="preserve">2020/21:181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t</w:t>
            </w:r>
            <w:r w:rsidRPr="005B20D2">
              <w:rPr>
                <w:rFonts w:eastAsiaTheme="minorHAnsi"/>
                <w:bCs/>
                <w:color w:val="000000"/>
                <w:lang w:eastAsia="en-US"/>
              </w:rPr>
              <w:t>idsfrister och kontaktpunkt för att främja tillförsel av förnybar energi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snapToGrid w:val="0"/>
                <w:szCs w:val="20"/>
              </w:rPr>
              <w:t>och motioner.</w:t>
            </w:r>
          </w:p>
          <w:p w14:paraId="6969FED6" w14:textId="6F7F18DE" w:rsidR="00CF47DC" w:rsidRPr="00327F5B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 xml:space="preserve">Utskottet fattade beslut i ärendet. Förslag till betänkande nr </w:t>
            </w:r>
            <w:r w:rsidR="00015F93">
              <w:rPr>
                <w:color w:val="222222"/>
              </w:rPr>
              <w:t>2</w:t>
            </w:r>
            <w:r>
              <w:rPr>
                <w:color w:val="222222"/>
              </w:rPr>
              <w:t xml:space="preserve">7 </w:t>
            </w:r>
            <w:r w:rsidRPr="00327F5B">
              <w:rPr>
                <w:color w:val="222222"/>
              </w:rPr>
              <w:t>justerades.</w:t>
            </w:r>
          </w:p>
          <w:p w14:paraId="22624DFB" w14:textId="77777777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>Reservation anmäldes</w:t>
            </w:r>
          </w:p>
          <w:p w14:paraId="305661CA" w14:textId="46598AE4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 av M-</w:t>
            </w:r>
            <w:r w:rsidR="00015F93">
              <w:rPr>
                <w:color w:val="222222"/>
              </w:rPr>
              <w:t>, SD-, KD- och L-ledamöterna,</w:t>
            </w:r>
          </w:p>
          <w:p w14:paraId="1DE530DA" w14:textId="39B5B4D1" w:rsidR="00CF47DC" w:rsidRDefault="00CF47DC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vid punkt </w:t>
            </w:r>
            <w:r w:rsidR="00015F93">
              <w:rPr>
                <w:color w:val="222222"/>
              </w:rPr>
              <w:t>3</w:t>
            </w:r>
            <w:r>
              <w:rPr>
                <w:color w:val="222222"/>
              </w:rPr>
              <w:t xml:space="preserve"> dels av SD-ledamöterna, dels av </w:t>
            </w:r>
            <w:r w:rsidR="00015F93">
              <w:rPr>
                <w:color w:val="222222"/>
              </w:rPr>
              <w:t>M-, KD- och L-ledamöterna,</w:t>
            </w:r>
          </w:p>
          <w:p w14:paraId="0AE68820" w14:textId="3BB8A8AB" w:rsidR="00015F93" w:rsidRDefault="00015F93" w:rsidP="00CF47DC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4 av S-, L- och MP-ledamöterna,</w:t>
            </w:r>
          </w:p>
          <w:p w14:paraId="247FCD6C" w14:textId="77777777" w:rsidR="00015F93" w:rsidRDefault="00015F93" w:rsidP="003C1199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5 av C-ledamöterna,</w:t>
            </w:r>
          </w:p>
          <w:p w14:paraId="532464CB" w14:textId="55E01B37" w:rsidR="001A5515" w:rsidRPr="003C1199" w:rsidRDefault="00015F93" w:rsidP="003C1199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6 av KD-ledamoten.</w:t>
            </w:r>
            <w:r w:rsidR="003C1199">
              <w:rPr>
                <w:color w:val="222222"/>
              </w:rPr>
              <w:br/>
            </w:r>
          </w:p>
        </w:tc>
      </w:tr>
      <w:tr w:rsidR="00120819" w:rsidRPr="0012669A" w14:paraId="3A276FD7" w14:textId="77777777" w:rsidTr="00823B30">
        <w:trPr>
          <w:trHeight w:val="919"/>
        </w:trPr>
        <w:tc>
          <w:tcPr>
            <w:tcW w:w="567" w:type="dxa"/>
          </w:tcPr>
          <w:p w14:paraId="7B0D22E7" w14:textId="1C54333C" w:rsidR="00120819" w:rsidRDefault="0012081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5F93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20F44E13" w14:textId="77777777" w:rsidR="00015F93" w:rsidRDefault="00015F93" w:rsidP="00015F93">
            <w:pPr>
              <w:spacing w:after="10" w:line="249" w:lineRule="auto"/>
            </w:pPr>
            <w:r>
              <w:rPr>
                <w:b/>
              </w:rPr>
              <w:t xml:space="preserve">Moderna tillståndsprocesser för elnät (NU22) </w:t>
            </w:r>
          </w:p>
          <w:p w14:paraId="5763F389" w14:textId="77777777" w:rsidR="00015F93" w:rsidRDefault="00015F93" w:rsidP="00015F93">
            <w:pPr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082B74C" w14:textId="5F168C39" w:rsidR="00015F93" w:rsidRDefault="00015F93" w:rsidP="00015F93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617E7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</w:rPr>
              <w:t xml:space="preserve">proposition </w:t>
            </w:r>
            <w:r>
              <w:rPr>
                <w:color w:val="000000"/>
              </w:rPr>
              <w:t xml:space="preserve">2020/21:188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t>m</w:t>
            </w:r>
            <w:r w:rsidRPr="00151D22">
              <w:t>oderna tillståndsprocesser för elnät</w:t>
            </w:r>
            <w:r>
              <w:rPr>
                <w:b/>
              </w:rPr>
              <w:t xml:space="preserve"> </w:t>
            </w:r>
            <w:r>
              <w:rPr>
                <w:snapToGrid w:val="0"/>
                <w:szCs w:val="20"/>
              </w:rPr>
              <w:t>och motioner.</w:t>
            </w:r>
          </w:p>
          <w:p w14:paraId="7F0E4D94" w14:textId="77777777" w:rsidR="00015F93" w:rsidRPr="00617E79" w:rsidRDefault="00015F93" w:rsidP="00015F93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4200F799" w14:textId="75FC8FC5" w:rsidR="00291D94" w:rsidRPr="008F3A08" w:rsidRDefault="00015F93" w:rsidP="00015F93">
            <w:pPr>
              <w:widowControl w:val="0"/>
              <w:tabs>
                <w:tab w:val="left" w:pos="1701"/>
              </w:tabs>
              <w:rPr>
                <w:b/>
                <w:bCs/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  <w:r>
              <w:rPr>
                <w:rStyle w:val="bold1"/>
                <w:snapToGrid w:val="0"/>
                <w:szCs w:val="20"/>
              </w:rPr>
              <w:br/>
            </w:r>
          </w:p>
        </w:tc>
      </w:tr>
      <w:tr w:rsidR="00015F93" w:rsidRPr="0012669A" w14:paraId="003D50F1" w14:textId="77777777" w:rsidTr="00823B30">
        <w:trPr>
          <w:trHeight w:val="919"/>
        </w:trPr>
        <w:tc>
          <w:tcPr>
            <w:tcW w:w="567" w:type="dxa"/>
          </w:tcPr>
          <w:p w14:paraId="578D3FCE" w14:textId="5D54FCDE" w:rsidR="00015F93" w:rsidRDefault="00015F93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47987EEE" w14:textId="132A1CCC" w:rsidR="00015F93" w:rsidRDefault="00015F93" w:rsidP="00015F93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Vattendirektivets påverkan och genomförande (NU6y)</w:t>
            </w:r>
          </w:p>
          <w:p w14:paraId="1B48BF40" w14:textId="77777777" w:rsidR="00015F93" w:rsidRPr="00511DEF" w:rsidRDefault="00015F93" w:rsidP="00015F9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511DEF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 behandlingen av</w:t>
            </w:r>
            <w:r w:rsidRPr="00511DEF">
              <w:rPr>
                <w:color w:val="222222"/>
              </w:rPr>
              <w:t xml:space="preserve"> yttrande till </w:t>
            </w:r>
            <w:r>
              <w:rPr>
                <w:color w:val="222222"/>
              </w:rPr>
              <w:t>miljö- och jordbruksutskottet</w:t>
            </w:r>
            <w:r w:rsidRPr="00511DEF">
              <w:rPr>
                <w:color w:val="222222"/>
              </w:rPr>
              <w:t xml:space="preserve"> över </w:t>
            </w:r>
            <w:r>
              <w:rPr>
                <w:color w:val="222222"/>
              </w:rPr>
              <w:t>utskottsinitiativ om vattendirektivets påverkan och genomförande.</w:t>
            </w:r>
          </w:p>
          <w:p w14:paraId="60D5AC3C" w14:textId="50DDB67E" w:rsidR="00015F93" w:rsidRDefault="00015F93" w:rsidP="00015F93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  <w:r>
              <w:rPr>
                <w:color w:val="222222"/>
              </w:rPr>
              <w:br/>
            </w:r>
          </w:p>
        </w:tc>
      </w:tr>
      <w:tr w:rsidR="00015F93" w:rsidRPr="0012669A" w14:paraId="6B52F640" w14:textId="77777777" w:rsidTr="00823B30">
        <w:trPr>
          <w:trHeight w:val="919"/>
        </w:trPr>
        <w:tc>
          <w:tcPr>
            <w:tcW w:w="567" w:type="dxa"/>
          </w:tcPr>
          <w:p w14:paraId="046997F6" w14:textId="622EBC7D" w:rsidR="00015F93" w:rsidRDefault="00015F93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62F5E894" w14:textId="064EB5A4" w:rsidR="00015F93" w:rsidRPr="009E7E71" w:rsidRDefault="00015F93" w:rsidP="00015F93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 xml:space="preserve">Kommissionens förslag </w:t>
            </w:r>
            <w:r>
              <w:rPr>
                <w:b/>
                <w:bCs/>
                <w:color w:val="000000"/>
              </w:rPr>
              <w:t xml:space="preserve">till Europaparlamentets och rådets förordning </w:t>
            </w:r>
            <w:r w:rsidRPr="009E7E71">
              <w:rPr>
                <w:b/>
                <w:color w:val="222222"/>
              </w:rPr>
              <w:t xml:space="preserve">om </w:t>
            </w:r>
            <w:r>
              <w:rPr>
                <w:b/>
                <w:color w:val="222222"/>
              </w:rPr>
              <w:t>maskinprodukter</w:t>
            </w:r>
          </w:p>
          <w:p w14:paraId="68C3EE23" w14:textId="77777777" w:rsidR="009E2308" w:rsidRDefault="00015F93" w:rsidP="00015F93">
            <w:pPr>
              <w:spacing w:after="100" w:afterAutospacing="1"/>
            </w:pPr>
            <w:r w:rsidRPr="009E7E71">
              <w:rPr>
                <w:color w:val="222222"/>
              </w:rPr>
              <w:t xml:space="preserve">Utskottet behandlade frågan om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>202</w:t>
            </w:r>
            <w:r>
              <w:rPr>
                <w:color w:val="222222"/>
              </w:rPr>
              <w:t>1</w:t>
            </w:r>
            <w:r w:rsidRPr="009E7E71">
              <w:rPr>
                <w:color w:val="222222"/>
              </w:rPr>
              <w:t xml:space="preserve">) </w:t>
            </w:r>
            <w:r>
              <w:rPr>
                <w:color w:val="222222"/>
              </w:rPr>
              <w:t>202</w:t>
            </w:r>
            <w:r w:rsidRPr="009E7E71"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  <w:r w:rsidRPr="009E2308">
              <w:rPr>
                <w:color w:val="222222"/>
              </w:rPr>
              <w:br/>
            </w:r>
            <w:r w:rsidR="009E2308" w:rsidRPr="009E2308">
              <w:t>Under förutsättning att förslaget kommer att hänvisas till utskottet för subsidiaritetsprövning beslutade utskottet att meddela att förslaget inte strider mot subsidiaritetsprincipen</w:t>
            </w:r>
            <w:r w:rsidR="009E2308" w:rsidRPr="009E2308">
              <w:t>.</w:t>
            </w:r>
          </w:p>
          <w:p w14:paraId="61F767B8" w14:textId="3B69E6B1" w:rsidR="00015F93" w:rsidRDefault="009E2308" w:rsidP="00015F93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E2308">
              <w:br/>
            </w:r>
          </w:p>
        </w:tc>
      </w:tr>
      <w:tr w:rsidR="00015F93" w:rsidRPr="0012669A" w14:paraId="48D27F6B" w14:textId="77777777" w:rsidTr="00823B30">
        <w:trPr>
          <w:trHeight w:val="919"/>
        </w:trPr>
        <w:tc>
          <w:tcPr>
            <w:tcW w:w="567" w:type="dxa"/>
          </w:tcPr>
          <w:p w14:paraId="7D5A3FC3" w14:textId="1748E7EB" w:rsidR="00015F93" w:rsidRDefault="00015F93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020" w:type="dxa"/>
          </w:tcPr>
          <w:p w14:paraId="365FF242" w14:textId="2F1AAC4E" w:rsidR="00015F93" w:rsidRPr="009E7E71" w:rsidRDefault="00015F93" w:rsidP="00015F93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 xml:space="preserve">Kommissionens förslag </w:t>
            </w:r>
            <w:r>
              <w:rPr>
                <w:b/>
                <w:bCs/>
                <w:color w:val="000000"/>
              </w:rPr>
              <w:t xml:space="preserve">till Europaparlamentets och rådets förordning </w:t>
            </w:r>
            <w:r w:rsidRPr="009E7E71">
              <w:rPr>
                <w:b/>
                <w:color w:val="222222"/>
              </w:rPr>
              <w:t xml:space="preserve">om </w:t>
            </w:r>
            <w:r>
              <w:rPr>
                <w:b/>
                <w:color w:val="222222"/>
              </w:rPr>
              <w:t>utländska subventioner som snedvrider den inre marknaden</w:t>
            </w:r>
          </w:p>
          <w:p w14:paraId="0A4D0C03" w14:textId="3F93ACC0" w:rsidR="00015F93" w:rsidRPr="007119C9" w:rsidRDefault="00015F93" w:rsidP="00015F93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behandlade frågan om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>202</w:t>
            </w:r>
            <w:r>
              <w:rPr>
                <w:color w:val="222222"/>
              </w:rPr>
              <w:t>1</w:t>
            </w:r>
            <w:r w:rsidRPr="009E7E71">
              <w:rPr>
                <w:color w:val="222222"/>
              </w:rPr>
              <w:t xml:space="preserve">) </w:t>
            </w:r>
            <w:r>
              <w:rPr>
                <w:color w:val="222222"/>
              </w:rPr>
              <w:t>223</w:t>
            </w:r>
            <w:r w:rsidRPr="009E7E71"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</w:r>
            <w:r w:rsidRPr="009E7E71">
              <w:rPr>
                <w:color w:val="222222"/>
              </w:rPr>
              <w:t>Utskottet ansåg att förslage</w:t>
            </w:r>
            <w:r>
              <w:rPr>
                <w:color w:val="222222"/>
              </w:rPr>
              <w:t>t</w:t>
            </w:r>
            <w:r w:rsidRPr="009E7E71">
              <w:rPr>
                <w:color w:val="222222"/>
              </w:rPr>
              <w:t xml:space="preserve"> inte strider mot subsidiaritetsprincipen.</w:t>
            </w:r>
            <w:r w:rsidR="009E2308">
              <w:rPr>
                <w:color w:val="222222"/>
              </w:rPr>
              <w:br/>
            </w:r>
            <w:bookmarkStart w:id="0" w:name="_GoBack"/>
            <w:bookmarkEnd w:id="0"/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32E2B60D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7119C9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52E8C5A0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015F93">
              <w:rPr>
                <w:bCs/>
                <w:snapToGrid w:val="0"/>
              </w:rPr>
              <w:t>tis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DF155C">
              <w:rPr>
                <w:color w:val="000000"/>
              </w:rPr>
              <w:t>1</w:t>
            </w:r>
            <w:r w:rsidR="00015F93">
              <w:rPr>
                <w:color w:val="000000"/>
              </w:rPr>
              <w:t>5</w:t>
            </w:r>
            <w:r w:rsidR="00A00009">
              <w:rPr>
                <w:color w:val="000000"/>
              </w:rPr>
              <w:t xml:space="preserve"> juni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015F93">
              <w:rPr>
                <w:color w:val="000000"/>
              </w:rPr>
              <w:t>1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5076E501" w:rsidR="000026C9" w:rsidRPr="0012669A" w:rsidRDefault="000026C9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6F20BCAC" w14:textId="77777777" w:rsidR="000026C9" w:rsidRDefault="000026C9" w:rsidP="0077059F">
            <w:pPr>
              <w:tabs>
                <w:tab w:val="left" w:pos="1701"/>
              </w:tabs>
            </w:pPr>
          </w:p>
          <w:p w14:paraId="3DB897DB" w14:textId="6DA674A3" w:rsidR="00EA6ACA" w:rsidRDefault="00EA6ACA" w:rsidP="0077059F">
            <w:pPr>
              <w:tabs>
                <w:tab w:val="left" w:pos="1701"/>
              </w:tabs>
            </w:pPr>
          </w:p>
          <w:p w14:paraId="32B18CE5" w14:textId="105AD7AB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5D939854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DF155C">
              <w:t>1</w:t>
            </w:r>
            <w:r w:rsidR="00015F93">
              <w:t>5</w:t>
            </w:r>
            <w:r w:rsidR="00A00009">
              <w:t xml:space="preserve"> juni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54500E36" w:rsidR="00310EFE" w:rsidRPr="00355D1B" w:rsidRDefault="00355D1B" w:rsidP="004D48A7">
            <w:pPr>
              <w:tabs>
                <w:tab w:val="left" w:pos="1701"/>
              </w:tabs>
            </w:pPr>
            <w:r w:rsidRPr="00355D1B">
              <w:t>Lars Hjälmered</w:t>
            </w:r>
            <w:r w:rsidR="00EA6ACA">
              <w:br/>
            </w:r>
          </w:p>
        </w:tc>
      </w:tr>
    </w:tbl>
    <w:p w14:paraId="203650D8" w14:textId="77777777" w:rsidR="009B4288" w:rsidRDefault="009B4288"/>
    <w:p w14:paraId="4523CBEF" w14:textId="77777777" w:rsidR="00D7181F" w:rsidRDefault="00D7181F">
      <w:r>
        <w:br/>
      </w:r>
    </w:p>
    <w:p w14:paraId="5FE4121C" w14:textId="77777777" w:rsidR="00D7181F" w:rsidRDefault="00D7181F">
      <w:r>
        <w:br w:type="page"/>
      </w:r>
    </w:p>
    <w:p w14:paraId="12BB618A" w14:textId="095368B1" w:rsidR="00EA6ACA" w:rsidRDefault="00151D22">
      <w:r>
        <w:lastRenderedPageBreak/>
        <w:br/>
      </w:r>
    </w:p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25"/>
        <w:gridCol w:w="417"/>
        <w:gridCol w:w="449"/>
        <w:gridCol w:w="54"/>
        <w:gridCol w:w="498"/>
        <w:gridCol w:w="284"/>
        <w:gridCol w:w="425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9B428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52C60BB1" w:rsidR="002770CB" w:rsidRPr="0012669A" w:rsidRDefault="00310EFE" w:rsidP="007E2053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16B88731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151D22">
              <w:rPr>
                <w:rFonts w:ascii="Times New Roman" w:hAnsi="Times New Roman"/>
                <w:sz w:val="22"/>
                <w:szCs w:val="22"/>
              </w:rPr>
              <w:t>4</w:t>
            </w:r>
            <w:r w:rsidR="00015F9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770CB" w:rsidRPr="0012669A" w14:paraId="7332C8AB" w14:textId="77777777" w:rsidTr="009B4288">
        <w:tc>
          <w:tcPr>
            <w:tcW w:w="3402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3E6EE192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EA6ACA">
              <w:rPr>
                <w:rFonts w:ascii="Times New Roman" w:hAnsi="Times New Roman"/>
                <w:sz w:val="20"/>
                <w:szCs w:val="20"/>
              </w:rPr>
              <w:t>–</w:t>
            </w:r>
            <w:r w:rsidR="007119C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311F235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</w:tcBorders>
          </w:tcPr>
          <w:p w14:paraId="06DB7E41" w14:textId="7B8912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</w:tcBorders>
          </w:tcPr>
          <w:p w14:paraId="2D8737B1" w14:textId="239AE0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9B4288">
        <w:tc>
          <w:tcPr>
            <w:tcW w:w="3402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28DE3C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AD9A99" w14:textId="133D11B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C109C46" w14:textId="7AA7DF4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4480837" w14:textId="66703B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FF734" w14:textId="5D68C82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46B5BD5" w14:textId="079AEC5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9B4288">
        <w:tc>
          <w:tcPr>
            <w:tcW w:w="3402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9B4288">
        <w:tc>
          <w:tcPr>
            <w:tcW w:w="3402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08C0FF76" w:rsidR="002770CB" w:rsidRPr="0012669A" w:rsidRDefault="00E332F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D3E9196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129C333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5AA1BC9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0515F5" w14:textId="17D43D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9B4288">
        <w:tc>
          <w:tcPr>
            <w:tcW w:w="3402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6F14F5A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463FD48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0D65F16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40433FB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FF750B" w14:textId="444D87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9B4288">
        <w:tc>
          <w:tcPr>
            <w:tcW w:w="3402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3AF8B289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1AEA617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122295C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EF85B" w14:textId="6D54524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9B4288">
        <w:tc>
          <w:tcPr>
            <w:tcW w:w="3402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46D8C712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2CA91D4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481B7D1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43D14C" w14:textId="56E555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9B4288">
        <w:tc>
          <w:tcPr>
            <w:tcW w:w="3402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112A41F0" w:rsidR="002770CB" w:rsidRPr="0012669A" w:rsidRDefault="007A3B0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6ED4A52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2B98AD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CA84D" w14:textId="37136B7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9B4288">
        <w:tc>
          <w:tcPr>
            <w:tcW w:w="3402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64A53F04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6ED08EC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1D98C7C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CA4F79" w14:textId="7F0F7E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9B4288">
        <w:tc>
          <w:tcPr>
            <w:tcW w:w="3402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00638B6F" w:rsidR="002770CB" w:rsidRPr="0012669A" w:rsidRDefault="00151D2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5202386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3146C69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1C5CF7" w14:textId="106F9B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9B4288">
        <w:tc>
          <w:tcPr>
            <w:tcW w:w="3402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4E00210D" w:rsidR="002770CB" w:rsidRPr="0012669A" w:rsidRDefault="00015F9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3A3A34E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754E14E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55D88A" w14:textId="24ABEA7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9B4288">
        <w:tc>
          <w:tcPr>
            <w:tcW w:w="3402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B55BC21" w:rsidR="001527D1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660CADA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2FDF444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6174E" w14:textId="724DAC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9B4288">
        <w:tc>
          <w:tcPr>
            <w:tcW w:w="3402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19DF4E61" w:rsidR="002770CB" w:rsidRPr="0012669A" w:rsidRDefault="003C119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0F6EC5C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139429D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EE412" w14:textId="28CFF3A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9B4288">
        <w:tc>
          <w:tcPr>
            <w:tcW w:w="3402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9A4CEA5" w:rsidR="002770CB" w:rsidRPr="0012669A" w:rsidRDefault="007A3B0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27A6ECB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9B4288">
        <w:tc>
          <w:tcPr>
            <w:tcW w:w="3402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26CEAEBD" w:rsidR="002770CB" w:rsidRPr="0012669A" w:rsidRDefault="003C119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1B3B562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272DBAC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C86060" w14:textId="4CC32C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9B4288">
        <w:tc>
          <w:tcPr>
            <w:tcW w:w="3402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54138721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49D30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28486F4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118DC3" w14:textId="769E6E9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9B4288">
        <w:tc>
          <w:tcPr>
            <w:tcW w:w="3402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0C33EA03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3F4DCC6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52376E4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AF1A76" w14:textId="370554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9B4288">
        <w:tc>
          <w:tcPr>
            <w:tcW w:w="3402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6795DF46" w:rsidR="002770CB" w:rsidRPr="0012669A" w:rsidRDefault="002327A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26A7085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20832F0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26A4B" w14:textId="62771FD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9B4288">
        <w:tc>
          <w:tcPr>
            <w:tcW w:w="3402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7600D4F3" w:rsidR="002770CB" w:rsidRPr="0012669A" w:rsidRDefault="00015F9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0F807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1DA9B3D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9B4288">
        <w:tc>
          <w:tcPr>
            <w:tcW w:w="3402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4A39268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631DF4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270DF11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9B4288">
        <w:tc>
          <w:tcPr>
            <w:tcW w:w="3402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9B4288">
        <w:tc>
          <w:tcPr>
            <w:tcW w:w="3402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1B67CAC2" w:rsidR="002770CB" w:rsidRPr="0012669A" w:rsidRDefault="007A3B0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24F4A8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4A11768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380045" w14:textId="6A0755F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9B4288">
        <w:tc>
          <w:tcPr>
            <w:tcW w:w="3402" w:type="dxa"/>
          </w:tcPr>
          <w:p w14:paraId="420753E8" w14:textId="3F1B4FCD" w:rsidR="002770CB" w:rsidRPr="00EA6ACA" w:rsidRDefault="00EA6AC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116CDAB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3B4D1EAC" w:rsidR="002770C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66EB35F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19E9F08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F92732" w14:textId="736CA8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9B4288">
        <w:tc>
          <w:tcPr>
            <w:tcW w:w="3402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9B4288">
        <w:tc>
          <w:tcPr>
            <w:tcW w:w="3402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9B4288">
        <w:tc>
          <w:tcPr>
            <w:tcW w:w="3402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4D273D02" w:rsidR="002770CB" w:rsidRPr="0012669A" w:rsidRDefault="003C119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688260F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1F4AA4B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6FE0A" w14:textId="1138FE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9B4288">
        <w:tc>
          <w:tcPr>
            <w:tcW w:w="3402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9B4288">
        <w:tc>
          <w:tcPr>
            <w:tcW w:w="3402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08D54970" w:rsidR="002770CB" w:rsidRPr="0012669A" w:rsidRDefault="007119C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6CCE662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47D8BA4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BC7470" w14:textId="2418008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9B4288">
        <w:tc>
          <w:tcPr>
            <w:tcW w:w="3402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3D80FE78" w:rsidR="002D58EB" w:rsidRPr="0012669A" w:rsidRDefault="00015F9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2ABB76B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6DCC5C2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8C6D39" w14:textId="37C4B6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9B4288">
        <w:tc>
          <w:tcPr>
            <w:tcW w:w="3402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9B4288">
        <w:tc>
          <w:tcPr>
            <w:tcW w:w="3402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9B4288">
        <w:tc>
          <w:tcPr>
            <w:tcW w:w="3402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9B4288">
        <w:tc>
          <w:tcPr>
            <w:tcW w:w="3402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9B4288">
        <w:tc>
          <w:tcPr>
            <w:tcW w:w="3402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9B4288">
        <w:tc>
          <w:tcPr>
            <w:tcW w:w="3402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9B4288">
        <w:tc>
          <w:tcPr>
            <w:tcW w:w="3402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9B4288">
        <w:tc>
          <w:tcPr>
            <w:tcW w:w="3402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9B4288">
        <w:tc>
          <w:tcPr>
            <w:tcW w:w="3402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9B4288">
        <w:tc>
          <w:tcPr>
            <w:tcW w:w="3402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9B4288">
        <w:tc>
          <w:tcPr>
            <w:tcW w:w="3402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9B4288">
        <w:tc>
          <w:tcPr>
            <w:tcW w:w="3402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9B4288">
        <w:tc>
          <w:tcPr>
            <w:tcW w:w="3402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E85EF0" w14:paraId="2A8FF496" w14:textId="77777777" w:rsidTr="009B4288">
        <w:tc>
          <w:tcPr>
            <w:tcW w:w="3402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9B4288">
        <w:trPr>
          <w:trHeight w:val="130"/>
        </w:trPr>
        <w:tc>
          <w:tcPr>
            <w:tcW w:w="3402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29D0CC44" w:rsidR="002770CB" w:rsidRPr="0012669A" w:rsidRDefault="007119C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4530D2A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0BCA8BC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9B4288">
        <w:tc>
          <w:tcPr>
            <w:tcW w:w="3402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4FA131C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18AF09F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229F5C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2927773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3D68379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485529" w14:textId="755448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777A3BC7" w14:textId="6D1D58BE" w:rsidR="0032557B" w:rsidRPr="0015720C" w:rsidRDefault="009E2308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20450A9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46C89F8C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11B626D8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5FE714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3A3155D2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5CE866" w14:textId="590854FB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9B4288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9B42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1399094A" w14:textId="08C842B3" w:rsidR="004D09A0" w:rsidRDefault="004D09A0" w:rsidP="00DF155C"/>
    <w:sectPr w:rsidR="004D09A0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3F0DA" w14:textId="77777777" w:rsidR="000A7FFA" w:rsidRDefault="000A7FFA" w:rsidP="002130F1">
      <w:r>
        <w:separator/>
      </w:r>
    </w:p>
  </w:endnote>
  <w:endnote w:type="continuationSeparator" w:id="0">
    <w:p w14:paraId="76C1D848" w14:textId="77777777" w:rsidR="000A7FFA" w:rsidRDefault="000A7FF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C0F67" w14:textId="77777777" w:rsidR="000A7FFA" w:rsidRDefault="000A7FFA" w:rsidP="002130F1">
      <w:r>
        <w:separator/>
      </w:r>
    </w:p>
  </w:footnote>
  <w:footnote w:type="continuationSeparator" w:id="0">
    <w:p w14:paraId="0FC75DF5" w14:textId="77777777" w:rsidR="000A7FFA" w:rsidRDefault="000A7FF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1"/>
  </w:num>
  <w:num w:numId="7">
    <w:abstractNumId w:val="7"/>
  </w:num>
  <w:num w:numId="8">
    <w:abstractNumId w:val="20"/>
  </w:num>
  <w:num w:numId="9">
    <w:abstractNumId w:val="10"/>
  </w:num>
  <w:num w:numId="10">
    <w:abstractNumId w:val="18"/>
  </w:num>
  <w:num w:numId="11">
    <w:abstractNumId w:val="29"/>
  </w:num>
  <w:num w:numId="12">
    <w:abstractNumId w:val="24"/>
  </w:num>
  <w:num w:numId="13">
    <w:abstractNumId w:val="31"/>
  </w:num>
  <w:num w:numId="14">
    <w:abstractNumId w:val="4"/>
  </w:num>
  <w:num w:numId="15">
    <w:abstractNumId w:val="30"/>
  </w:num>
  <w:num w:numId="16">
    <w:abstractNumId w:val="13"/>
  </w:num>
  <w:num w:numId="17">
    <w:abstractNumId w:val="21"/>
  </w:num>
  <w:num w:numId="18">
    <w:abstractNumId w:val="26"/>
  </w:num>
  <w:num w:numId="19">
    <w:abstractNumId w:val="16"/>
  </w:num>
  <w:num w:numId="20">
    <w:abstractNumId w:val="0"/>
  </w:num>
  <w:num w:numId="21">
    <w:abstractNumId w:val="6"/>
  </w:num>
  <w:num w:numId="22">
    <w:abstractNumId w:val="22"/>
  </w:num>
  <w:num w:numId="23">
    <w:abstractNumId w:val="15"/>
  </w:num>
  <w:num w:numId="24">
    <w:abstractNumId w:val="23"/>
  </w:num>
  <w:num w:numId="25">
    <w:abstractNumId w:val="9"/>
  </w:num>
  <w:num w:numId="26">
    <w:abstractNumId w:val="17"/>
  </w:num>
  <w:num w:numId="27">
    <w:abstractNumId w:val="25"/>
  </w:num>
  <w:num w:numId="28">
    <w:abstractNumId w:val="8"/>
  </w:num>
  <w:num w:numId="29">
    <w:abstractNumId w:val="12"/>
  </w:num>
  <w:num w:numId="30">
    <w:abstractNumId w:val="27"/>
  </w:num>
  <w:num w:numId="31">
    <w:abstractNumId w:val="2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35E0"/>
    <w:rsid w:val="00013E52"/>
    <w:rsid w:val="00014FE4"/>
    <w:rsid w:val="000153B8"/>
    <w:rsid w:val="00015F93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2937"/>
    <w:rsid w:val="00053421"/>
    <w:rsid w:val="000536D9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18AC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82F"/>
    <w:rsid w:val="001E6EE5"/>
    <w:rsid w:val="001F0CF0"/>
    <w:rsid w:val="001F24AF"/>
    <w:rsid w:val="001F3C7B"/>
    <w:rsid w:val="001F4A9E"/>
    <w:rsid w:val="001F61FD"/>
    <w:rsid w:val="001F6A18"/>
    <w:rsid w:val="001F7E84"/>
    <w:rsid w:val="002006D8"/>
    <w:rsid w:val="00201442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6769"/>
    <w:rsid w:val="00241FF0"/>
    <w:rsid w:val="0024203D"/>
    <w:rsid w:val="00242D8C"/>
    <w:rsid w:val="00243F79"/>
    <w:rsid w:val="00247064"/>
    <w:rsid w:val="00253AD1"/>
    <w:rsid w:val="00255734"/>
    <w:rsid w:val="00257D2B"/>
    <w:rsid w:val="0026023A"/>
    <w:rsid w:val="002644D4"/>
    <w:rsid w:val="00265027"/>
    <w:rsid w:val="00266857"/>
    <w:rsid w:val="00271E64"/>
    <w:rsid w:val="00273580"/>
    <w:rsid w:val="00274EC7"/>
    <w:rsid w:val="00276EED"/>
    <w:rsid w:val="002770CB"/>
    <w:rsid w:val="002779BC"/>
    <w:rsid w:val="00280FBF"/>
    <w:rsid w:val="0028147A"/>
    <w:rsid w:val="00291D94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26F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348E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5A8"/>
    <w:rsid w:val="00373988"/>
    <w:rsid w:val="00373C9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1D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4542E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91DBB"/>
    <w:rsid w:val="00492095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8B4"/>
    <w:rsid w:val="004D211B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3D8C"/>
    <w:rsid w:val="005562F4"/>
    <w:rsid w:val="00556956"/>
    <w:rsid w:val="005606BF"/>
    <w:rsid w:val="0056490E"/>
    <w:rsid w:val="0056532C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2C95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6F7B9C"/>
    <w:rsid w:val="0070503A"/>
    <w:rsid w:val="007077FA"/>
    <w:rsid w:val="00710069"/>
    <w:rsid w:val="00710E1A"/>
    <w:rsid w:val="007114CA"/>
    <w:rsid w:val="007119C9"/>
    <w:rsid w:val="00711CCB"/>
    <w:rsid w:val="007120CC"/>
    <w:rsid w:val="00712B19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3B0F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97A"/>
    <w:rsid w:val="0080315E"/>
    <w:rsid w:val="008035B7"/>
    <w:rsid w:val="008037AB"/>
    <w:rsid w:val="008069B0"/>
    <w:rsid w:val="00806C28"/>
    <w:rsid w:val="00806EC1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22B7"/>
    <w:rsid w:val="008825AF"/>
    <w:rsid w:val="00882F65"/>
    <w:rsid w:val="0088453D"/>
    <w:rsid w:val="00884750"/>
    <w:rsid w:val="00885502"/>
    <w:rsid w:val="00886F64"/>
    <w:rsid w:val="00890ED8"/>
    <w:rsid w:val="008916AA"/>
    <w:rsid w:val="008951B1"/>
    <w:rsid w:val="008966EA"/>
    <w:rsid w:val="008A03E0"/>
    <w:rsid w:val="008A0508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2FB0"/>
    <w:rsid w:val="0097401D"/>
    <w:rsid w:val="0097618B"/>
    <w:rsid w:val="0098056C"/>
    <w:rsid w:val="00982EC7"/>
    <w:rsid w:val="009831AB"/>
    <w:rsid w:val="009846AA"/>
    <w:rsid w:val="00993231"/>
    <w:rsid w:val="00993873"/>
    <w:rsid w:val="00994329"/>
    <w:rsid w:val="00994AA3"/>
    <w:rsid w:val="00994ECE"/>
    <w:rsid w:val="009A1763"/>
    <w:rsid w:val="009A62F0"/>
    <w:rsid w:val="009A62F8"/>
    <w:rsid w:val="009B0293"/>
    <w:rsid w:val="009B4288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94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384D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49A4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F0AA7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D09"/>
    <w:rsid w:val="00B26C1F"/>
    <w:rsid w:val="00B276E4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1109"/>
    <w:rsid w:val="00B52791"/>
    <w:rsid w:val="00B532E0"/>
    <w:rsid w:val="00B545F6"/>
    <w:rsid w:val="00B54D33"/>
    <w:rsid w:val="00B559D8"/>
    <w:rsid w:val="00B55D3F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84E"/>
    <w:rsid w:val="00B77AEE"/>
    <w:rsid w:val="00B815D6"/>
    <w:rsid w:val="00B81DBC"/>
    <w:rsid w:val="00B81F7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4532"/>
    <w:rsid w:val="00C24AF7"/>
    <w:rsid w:val="00C2771E"/>
    <w:rsid w:val="00C31AED"/>
    <w:rsid w:val="00C3297F"/>
    <w:rsid w:val="00C32AF5"/>
    <w:rsid w:val="00C34186"/>
    <w:rsid w:val="00C34BF5"/>
    <w:rsid w:val="00C35D4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8D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A13"/>
    <w:rsid w:val="00CF2A50"/>
    <w:rsid w:val="00CF4245"/>
    <w:rsid w:val="00CF47DC"/>
    <w:rsid w:val="00CF65FD"/>
    <w:rsid w:val="00D04756"/>
    <w:rsid w:val="00D04CE6"/>
    <w:rsid w:val="00D061BA"/>
    <w:rsid w:val="00D10A59"/>
    <w:rsid w:val="00D14D98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81F"/>
    <w:rsid w:val="00D71A8B"/>
    <w:rsid w:val="00D73977"/>
    <w:rsid w:val="00D741CB"/>
    <w:rsid w:val="00D7441E"/>
    <w:rsid w:val="00D7662F"/>
    <w:rsid w:val="00D76C23"/>
    <w:rsid w:val="00D80E3C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7002"/>
    <w:rsid w:val="00DB4445"/>
    <w:rsid w:val="00DB79DB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EF0"/>
    <w:rsid w:val="00E911EA"/>
    <w:rsid w:val="00E9263F"/>
    <w:rsid w:val="00E9297D"/>
    <w:rsid w:val="00E92BC5"/>
    <w:rsid w:val="00E93352"/>
    <w:rsid w:val="00E9414B"/>
    <w:rsid w:val="00E94C32"/>
    <w:rsid w:val="00E96262"/>
    <w:rsid w:val="00E9631D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C06B7"/>
    <w:rsid w:val="00EC0BB8"/>
    <w:rsid w:val="00EC35A2"/>
    <w:rsid w:val="00EC3E07"/>
    <w:rsid w:val="00EC4F5D"/>
    <w:rsid w:val="00EC6162"/>
    <w:rsid w:val="00ED1096"/>
    <w:rsid w:val="00ED2E4F"/>
    <w:rsid w:val="00ED44A6"/>
    <w:rsid w:val="00ED5715"/>
    <w:rsid w:val="00EE263F"/>
    <w:rsid w:val="00EE281E"/>
    <w:rsid w:val="00EE29BF"/>
    <w:rsid w:val="00EE48C1"/>
    <w:rsid w:val="00EE5677"/>
    <w:rsid w:val="00EE68CF"/>
    <w:rsid w:val="00EE6D7D"/>
    <w:rsid w:val="00EE734D"/>
    <w:rsid w:val="00EE76D8"/>
    <w:rsid w:val="00EF35A1"/>
    <w:rsid w:val="00EF49D1"/>
    <w:rsid w:val="00EF6AC8"/>
    <w:rsid w:val="00EF7BDB"/>
    <w:rsid w:val="00F004A9"/>
    <w:rsid w:val="00F00990"/>
    <w:rsid w:val="00F01F8F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C27"/>
    <w:rsid w:val="00FB1442"/>
    <w:rsid w:val="00FB1F94"/>
    <w:rsid w:val="00FB2813"/>
    <w:rsid w:val="00FC077E"/>
    <w:rsid w:val="00FC0A04"/>
    <w:rsid w:val="00FC1B7D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8C1E-53D6-43B9-A6CA-1B7CFF67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647</Words>
  <Characters>4797</Characters>
  <Application>Microsoft Office Word</Application>
  <DocSecurity>4</DocSecurity>
  <Lines>1199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2021-04-29T12:14:00Z</cp:lastPrinted>
  <dcterms:created xsi:type="dcterms:W3CDTF">2021-06-10T11:29:00Z</dcterms:created>
  <dcterms:modified xsi:type="dcterms:W3CDTF">2021-06-10T11:29:00Z</dcterms:modified>
</cp:coreProperties>
</file>