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519D" w:rsidRPr="0082519D" w:rsidRDefault="0082519D">
      <w:pPr>
        <w:pStyle w:val="Frslagsrubrik"/>
        <w:ind w:left="285" w:hanging="285"/>
      </w:pPr>
      <w:r w:rsidRPr="0082519D">
        <w:t>Förslag till riksdagsbeslut</w:t>
      </w:r>
    </w:p>
    <w:p w:rsidR="0082519D" w:rsidRPr="0082519D" w:rsidRDefault="0082519D">
      <w:pPr>
        <w:pStyle w:val="Hemstlatt"/>
      </w:pPr>
      <w:r w:rsidRPr="0082519D">
        <w:t>Riksdagen avslår proposition 2009/10:77 Försör</w:t>
      </w:r>
      <w:r w:rsidRPr="0082519D">
        <w:t>j</w:t>
      </w:r>
      <w:r w:rsidRPr="0082519D">
        <w:t>ningskrav vid anhöriginvandring.</w:t>
      </w:r>
    </w:p>
    <w:p w:rsidR="0082519D" w:rsidRPr="0082519D" w:rsidRDefault="0082519D">
      <w:pPr>
        <w:pStyle w:val="Hemstlatt"/>
      </w:pPr>
      <w:r w:rsidRPr="0082519D">
        <w:t>Riksdagen beslutar – om yrkande 1 avslås – att 5 kap. 3 c § 6 utlänningslagen ska ha följande lydelse: en utlänning som har permanent uppehållstillstånd och som har vistats legalt i Sverige i minst fyra år.</w:t>
      </w:r>
    </w:p>
    <w:p w:rsidR="0082519D" w:rsidRPr="0082519D" w:rsidRDefault="0082519D">
      <w:pPr>
        <w:pStyle w:val="Rubrik1"/>
      </w:pPr>
      <w:r w:rsidRPr="0082519D">
        <w:t>Motivering</w:t>
      </w:r>
    </w:p>
    <w:p w:rsidR="0082519D" w:rsidRPr="0082519D" w:rsidRDefault="0082519D">
      <w:r w:rsidRPr="0082519D">
        <w:t>Regeringen föreslår att det för att en person ska beviljas uppehållstillstånd på grund av anknytning ska krävas dels att anknytningspersonen kan försörja sig, dels att han eller hon har en bostad av tillräcklig storlek och standard för sig och personen i fråga. I vissa fall ska dock undantag från dessa krav gälla.</w:t>
      </w:r>
    </w:p>
    <w:p w:rsidR="0082519D" w:rsidRPr="0082519D" w:rsidRDefault="0082519D">
      <w:pPr>
        <w:pStyle w:val="Normaltindrag"/>
      </w:pPr>
      <w:r w:rsidRPr="0082519D">
        <w:t>Vänsterpartiet anser i likhet med det stora flertalet remissinstanser att det inte bör införas något försörjningskrav vid anhöriginvandring. Införandet av ett sådant krav skulle inte på något sätt vara ägnat att minska utanförskapet och stärka arbetslinjen. Det finns inget belägg för att nyanlända invandrade inte redan gör vad som rimligen kan begäras för att skaffa arbete och försörja sig. Det är en annan sak att det finns strukturella problem i flyktingmottaga</w:t>
      </w:r>
      <w:r w:rsidRPr="0082519D">
        <w:t>n</w:t>
      </w:r>
      <w:r w:rsidRPr="0082519D">
        <w:t>dets organisering som försvårar ett snabbt inträde i arbetslivet. Här ska bara nämnas diskriminering på arbets- och bostadsmarknaden samt de i stort sett obefintliga insatserna för rehabilitering av asylsökande som har skador från tortyr eller andra trauman. Många tunga remissinstanser, bl.a. DO, Migr</w:t>
      </w:r>
      <w:r w:rsidRPr="0082519D">
        <w:t>a</w:t>
      </w:r>
      <w:r w:rsidRPr="0082519D">
        <w:t>tionsverket, Rädda Barnen och Röda Korset, har pekat på betydelsen för i</w:t>
      </w:r>
      <w:r w:rsidRPr="0082519D">
        <w:t>n</w:t>
      </w:r>
      <w:r w:rsidRPr="0082519D">
        <w:t>tegrationen av att hålla samman familjen. Detta gäller också nu när barnfami</w:t>
      </w:r>
      <w:r w:rsidRPr="0082519D">
        <w:t>l</w:t>
      </w:r>
      <w:r w:rsidRPr="0082519D">
        <w:t>jer undantagits från försörjningskravet. Ett snabbt och fr</w:t>
      </w:r>
      <w:r w:rsidRPr="0082519D">
        <w:t>amgångsrikt inträde på arbetsmarknaden försvåras i väsentlig mån av oro över och saknad av en nära familjemedlem.</w:t>
      </w:r>
    </w:p>
    <w:p w:rsidR="0082519D" w:rsidRPr="0082519D" w:rsidRDefault="0082519D">
      <w:pPr>
        <w:pStyle w:val="Normaltindrag"/>
      </w:pPr>
      <w:r w:rsidRPr="0082519D">
        <w:lastRenderedPageBreak/>
        <w:t>Det är en gåta hur kravet på en bostad av lämplig standard och storlek skulle vara ägnat att stärka integrationsmöjligheterna. Det är givetvis i hög grad önskvärt att anknytningspersonen har tillgång till en sådan bostad. Det finns dock inte någon som helst anledning att tro att inte anknytningspersonen skulle anstränga sig att skaffa en sådan bostad även om inte innehav av en sådan uppställts s</w:t>
      </w:r>
      <w:r w:rsidRPr="0082519D">
        <w:t>om villkor för familjeåterförening. Regeringen ger här u</w:t>
      </w:r>
      <w:r w:rsidRPr="0082519D">
        <w:t>t</w:t>
      </w:r>
      <w:r w:rsidRPr="0082519D">
        <w:t>tryck för en fördomsfull och negativ syn på invandrade liksom man gör även i fråga om benägenheten att skaffa arbete och försörjning. En god lösning på nyanländas bostadsproblem är i högsta grad beroende av vilken bostadspolitik regeringen för.</w:t>
      </w:r>
    </w:p>
    <w:p w:rsidR="0082519D" w:rsidRPr="0082519D" w:rsidRDefault="0082519D">
      <w:pPr>
        <w:pStyle w:val="Normaltindrag"/>
      </w:pPr>
      <w:r w:rsidRPr="0082519D">
        <w:t>En annan negativ konsekvens av genomförande av det föreliggande försl</w:t>
      </w:r>
      <w:r w:rsidRPr="0082519D">
        <w:t>a</w:t>
      </w:r>
      <w:r w:rsidRPr="0082519D">
        <w:t>get är att det får diskriminerande effekter på flera plan. Tredjelandsmedborg</w:t>
      </w:r>
      <w:r w:rsidRPr="0082519D">
        <w:t>a</w:t>
      </w:r>
      <w:r w:rsidRPr="0082519D">
        <w:t>re diskrimineras jämfört med svenska medborgare och EES-medborgare och schweiziska medborgare. Barnlösa par, såväl i hetero- som homosexuella förhållanden, diskrimineras jämfört med barnfamiljer. Den som förföljts på grund av svåra inre motsättningar diskrimineras i förhållande till den som förföljts på grund av en orsak som anges i flyktingkonventionen.</w:t>
      </w:r>
    </w:p>
    <w:p w:rsidR="0082519D" w:rsidRPr="0082519D" w:rsidRDefault="0082519D">
      <w:pPr>
        <w:pStyle w:val="Normaltindrag"/>
      </w:pPr>
      <w:r w:rsidRPr="0082519D">
        <w:t>Riksdagen bör med hänvisning till det som anförts avslå propositionen, och v</w:t>
      </w:r>
      <w:r w:rsidRPr="0082519D">
        <w:t>i ser det som självklart att en ny rödgrön regering river upp försör</w:t>
      </w:r>
      <w:r w:rsidRPr="0082519D">
        <w:t>j</w:t>
      </w:r>
      <w:r w:rsidRPr="0082519D">
        <w:t>ningskravet vid anhöriginvandring efter en valseger.</w:t>
      </w:r>
    </w:p>
    <w:p w:rsidR="0082519D" w:rsidRPr="0082519D" w:rsidRDefault="0082519D">
      <w:pPr>
        <w:pStyle w:val="Normaltindrag"/>
      </w:pPr>
      <w:r w:rsidRPr="0082519D">
        <w:t>Undantaget från försörjningskrav för den som haft uppehållstillstånd i Sv</w:t>
      </w:r>
      <w:r w:rsidRPr="0082519D">
        <w:t>e</w:t>
      </w:r>
      <w:r w:rsidRPr="0082519D">
        <w:t>rige i minst fyra år är alldeles för restriktivt. Med tanke på att handläggning</w:t>
      </w:r>
      <w:r w:rsidRPr="0082519D">
        <w:t>s</w:t>
      </w:r>
      <w:r w:rsidRPr="0082519D">
        <w:t>tiden i ett asylärende ofta uppgår till två eller tre år blir den faktiska väntet</w:t>
      </w:r>
      <w:r w:rsidRPr="0082519D">
        <w:t>i</w:t>
      </w:r>
      <w:r w:rsidRPr="0082519D">
        <w:t>den på familjeåterförening sex eller sju år. Detta är en orimligt lång tid. Om riksdagen bifaller propositionen bör tidsgränsen bestämmas till fyra års legal vistelse i Sverige. 5 kap. 3 c § 6 utlänningslagen bör således ges följande lydelse: en utlänning som har permanent uppehållstillstånd och som har vi</w:t>
      </w:r>
      <w:r w:rsidRPr="0082519D">
        <w:t>s</w:t>
      </w:r>
      <w:r w:rsidRPr="0082519D">
        <w:t>tats legalt i Sverige i minst fyra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519D">
        <w:trPr>
          <w:cantSplit/>
        </w:trPr>
        <w:tc>
          <w:tcPr>
            <w:tcW w:w="3046" w:type="dxa"/>
          </w:tcPr>
          <w:p w:rsidR="0082519D" w:rsidRPr="0082519D" w:rsidRDefault="0082519D">
            <w:pPr>
              <w:pStyle w:val="UnderskriftDatum"/>
              <w:spacing w:before="240"/>
            </w:pPr>
            <w:r w:rsidRPr="0082519D">
              <w:t>Stockholm den 20 januari 2010</w:t>
            </w:r>
          </w:p>
        </w:tc>
        <w:tc>
          <w:tcPr>
            <w:tcW w:w="3047" w:type="dxa"/>
          </w:tcPr>
          <w:p w:rsidR="0082519D" w:rsidRPr="0082519D" w:rsidRDefault="0082519D">
            <w:pPr>
              <w:pStyle w:val="Underskrifter"/>
              <w:spacing w:before="240"/>
            </w:pPr>
          </w:p>
        </w:tc>
      </w:tr>
      <w:tr w:rsidR="00000000" w:rsidRPr="0082519D">
        <w:trPr>
          <w:cantSplit/>
        </w:trPr>
        <w:tc>
          <w:tcPr>
            <w:tcW w:w="3046" w:type="dxa"/>
          </w:tcPr>
          <w:p w:rsidR="0082519D" w:rsidRPr="0082519D" w:rsidRDefault="0082519D">
            <w:pPr>
              <w:pStyle w:val="Underskrifter"/>
            </w:pPr>
            <w:r w:rsidRPr="0082519D">
              <w:t>Kalle Larsson (v)</w:t>
            </w:r>
          </w:p>
        </w:tc>
        <w:tc>
          <w:tcPr>
            <w:tcW w:w="3046" w:type="dxa"/>
          </w:tcPr>
          <w:p w:rsidR="0082519D" w:rsidRPr="0082519D" w:rsidRDefault="0082519D">
            <w:pPr>
              <w:pStyle w:val="Underskrifter"/>
            </w:pPr>
          </w:p>
        </w:tc>
      </w:tr>
      <w:tr w:rsidR="00000000" w:rsidRPr="0082519D">
        <w:trPr>
          <w:cantSplit/>
        </w:trPr>
        <w:tc>
          <w:tcPr>
            <w:tcW w:w="3046" w:type="dxa"/>
          </w:tcPr>
          <w:p w:rsidR="0082519D" w:rsidRPr="0082519D" w:rsidRDefault="0082519D">
            <w:pPr>
              <w:pStyle w:val="Underskrifter"/>
            </w:pPr>
            <w:r w:rsidRPr="0082519D">
              <w:t>Marianne Berg (v)</w:t>
            </w:r>
          </w:p>
        </w:tc>
        <w:tc>
          <w:tcPr>
            <w:tcW w:w="3046" w:type="dxa"/>
          </w:tcPr>
          <w:p w:rsidR="0082519D" w:rsidRPr="0082519D" w:rsidRDefault="0082519D">
            <w:pPr>
              <w:pStyle w:val="Underskrifter"/>
            </w:pPr>
            <w:r w:rsidRPr="0082519D">
              <w:t>Torbjörn Björlund (v)</w:t>
            </w:r>
          </w:p>
        </w:tc>
      </w:tr>
      <w:tr w:rsidR="00000000" w:rsidRPr="0082519D">
        <w:trPr>
          <w:cantSplit/>
        </w:trPr>
        <w:tc>
          <w:tcPr>
            <w:tcW w:w="3046" w:type="dxa"/>
          </w:tcPr>
          <w:p w:rsidR="0082519D" w:rsidRPr="0082519D" w:rsidRDefault="0082519D">
            <w:pPr>
              <w:pStyle w:val="Underskrifter"/>
            </w:pPr>
            <w:r w:rsidRPr="0082519D">
              <w:t>Josefin Brink (v)</w:t>
            </w:r>
          </w:p>
        </w:tc>
        <w:tc>
          <w:tcPr>
            <w:tcW w:w="3046" w:type="dxa"/>
          </w:tcPr>
          <w:p w:rsidR="0082519D" w:rsidRPr="0082519D" w:rsidRDefault="0082519D">
            <w:pPr>
              <w:pStyle w:val="Underskrifter"/>
            </w:pPr>
            <w:r w:rsidRPr="0082519D">
              <w:t>Egon Frid (v)</w:t>
            </w:r>
          </w:p>
        </w:tc>
      </w:tr>
      <w:tr w:rsidR="00000000" w:rsidRPr="0082519D">
        <w:trPr>
          <w:cantSplit/>
        </w:trPr>
        <w:tc>
          <w:tcPr>
            <w:tcW w:w="3046" w:type="dxa"/>
          </w:tcPr>
          <w:p w:rsidR="0082519D" w:rsidRPr="0082519D" w:rsidRDefault="0082519D">
            <w:pPr>
              <w:pStyle w:val="Underskrifter"/>
            </w:pPr>
            <w:r w:rsidRPr="0082519D">
              <w:t>LiseLotte Olsson (v)</w:t>
            </w:r>
          </w:p>
        </w:tc>
        <w:tc>
          <w:tcPr>
            <w:tcW w:w="3046" w:type="dxa"/>
          </w:tcPr>
          <w:p w:rsidR="0082519D" w:rsidRPr="0082519D" w:rsidRDefault="0082519D">
            <w:pPr>
              <w:pStyle w:val="Underskrifter"/>
            </w:pPr>
          </w:p>
        </w:tc>
      </w:tr>
    </w:tbl>
    <w:p w:rsidR="0082519D" w:rsidRPr="0082519D" w:rsidRDefault="0082519D">
      <w:pPr>
        <w:pStyle w:val="Normaltindrag"/>
      </w:pPr>
    </w:p>
    <w:sectPr w:rsidR="00000000" w:rsidRPr="008251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519D" w:rsidRPr="0082519D" w:rsidRDefault="0082519D">
      <w:r w:rsidRPr="0082519D">
        <w:separator/>
      </w:r>
    </w:p>
  </w:endnote>
  <w:endnote w:type="continuationSeparator" w:id="0">
    <w:p w:rsidR="0082519D" w:rsidRPr="0082519D" w:rsidRDefault="0082519D">
      <w:r w:rsidRPr="008251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19D" w:rsidRPr="0082519D" w:rsidRDefault="0082519D">
    <w:pPr>
      <w:pStyle w:val="Sidfot"/>
    </w:pPr>
    <w:r w:rsidRPr="008251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046955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19D" w:rsidRDefault="0082519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519D" w:rsidRDefault="0082519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19D" w:rsidRPr="0082519D" w:rsidRDefault="0082519D">
    <w:pPr>
      <w:pStyle w:val="Sidfot"/>
    </w:pPr>
    <w:r w:rsidRPr="008251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803693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19D" w:rsidRDefault="0082519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519D" w:rsidRDefault="0082519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19D" w:rsidRPr="0082519D" w:rsidRDefault="0082519D">
    <w:pPr>
      <w:pStyle w:val="Sidfot"/>
    </w:pPr>
    <w:r w:rsidRPr="008251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43390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19D" w:rsidRDefault="008251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519D" w:rsidRDefault="008251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519D" w:rsidRPr="0082519D" w:rsidRDefault="0082519D">
      <w:r w:rsidRPr="0082519D">
        <w:separator/>
      </w:r>
    </w:p>
  </w:footnote>
  <w:footnote w:type="continuationSeparator" w:id="0">
    <w:p w:rsidR="0082519D" w:rsidRPr="0082519D" w:rsidRDefault="0082519D">
      <w:r w:rsidRPr="008251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19D" w:rsidRPr="0082519D" w:rsidRDefault="0082519D">
    <w:pPr>
      <w:pStyle w:val="Sidhuvud"/>
    </w:pPr>
    <w:r w:rsidRPr="008251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55338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19D" w:rsidRDefault="0082519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519D" w:rsidRDefault="0082519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19D" w:rsidRPr="0082519D" w:rsidRDefault="0082519D">
    <w:pPr>
      <w:pStyle w:val="Sidhuvud"/>
    </w:pPr>
    <w:r w:rsidRPr="008251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105289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19D" w:rsidRDefault="0082519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519D" w:rsidRDefault="0082519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19D" w:rsidRPr="0082519D" w:rsidRDefault="0082519D">
    <w:pPr>
      <w:pStyle w:val="FSHNormal"/>
      <w:tabs>
        <w:tab w:val="right" w:pos="5840"/>
      </w:tabs>
    </w:pPr>
    <w:r w:rsidRPr="0082519D">
      <w:br/>
    </w:r>
    <w:r w:rsidRPr="0082519D">
      <w:fldChar w:fldCharType="begin" w:fldLock="1"/>
    </w:r>
    <w:r w:rsidRPr="0082519D">
      <w:instrText xml:space="preserve"> DOCPROPERTY</w:instrText>
    </w:r>
    <w:r w:rsidRPr="0082519D">
      <w:rPr>
        <w:sz w:val="18"/>
      </w:rPr>
      <w:instrText xml:space="preserve"> "YearUser" *\charformat </w:instrText>
    </w:r>
    <w:r w:rsidRPr="0082519D">
      <w:fldChar w:fldCharType="separate"/>
    </w:r>
    <w:r w:rsidRPr="0082519D">
      <w:t>2009/10</w:t>
    </w:r>
    <w:r w:rsidRPr="0082519D">
      <w:fldChar w:fldCharType="end"/>
    </w:r>
    <w:r w:rsidRPr="0082519D">
      <w:t xml:space="preserve"> </w:t>
    </w:r>
    <w:r w:rsidRPr="0082519D">
      <w:tab/>
      <w:t xml:space="preserve">mnr: </w:t>
    </w:r>
    <w:r w:rsidRPr="0082519D">
      <w:fldChar w:fldCharType="begin" w:fldLock="1"/>
    </w:r>
    <w:r w:rsidRPr="0082519D">
      <w:instrText xml:space="preserve"> DOCPROPERTY</w:instrText>
    </w:r>
    <w:r w:rsidRPr="0082519D">
      <w:rPr>
        <w:sz w:val="18"/>
      </w:rPr>
      <w:instrText xml:space="preserve"> "Motionsnummer" *\charformat </w:instrText>
    </w:r>
    <w:r w:rsidRPr="0082519D">
      <w:fldChar w:fldCharType="separate"/>
    </w:r>
    <w:r w:rsidRPr="0082519D">
      <w:t>Sf9</w:t>
    </w:r>
    <w:r w:rsidRPr="0082519D">
      <w:fldChar w:fldCharType="end"/>
    </w:r>
    <w:r w:rsidRPr="0082519D">
      <w:br/>
    </w:r>
    <w:r w:rsidRPr="0082519D">
      <w:fldChar w:fldCharType="begin" w:fldLock="1"/>
    </w:r>
    <w:r w:rsidRPr="0082519D">
      <w:instrText xml:space="preserve"> DOCPROPERTY</w:instrText>
    </w:r>
    <w:r w:rsidRPr="0082519D">
      <w:rPr>
        <w:sz w:val="18"/>
      </w:rPr>
      <w:instrText xml:space="preserve"> "Samling" *\charformat </w:instrText>
    </w:r>
    <w:r w:rsidRPr="0082519D">
      <w:fldChar w:fldCharType="end"/>
    </w:r>
    <w:r w:rsidRPr="0082519D">
      <w:tab/>
      <w:t xml:space="preserve">pnr: </w:t>
    </w:r>
    <w:r w:rsidRPr="0082519D">
      <w:fldChar w:fldCharType="begin" w:fldLock="1"/>
    </w:r>
    <w:r w:rsidRPr="0082519D">
      <w:instrText xml:space="preserve"> DOCPROPERTY</w:instrText>
    </w:r>
    <w:r w:rsidRPr="0082519D">
      <w:rPr>
        <w:sz w:val="18"/>
      </w:rPr>
      <w:instrText xml:space="preserve"> "Partinummer" *\charformat </w:instrText>
    </w:r>
    <w:r w:rsidRPr="0082519D">
      <w:fldChar w:fldCharType="separate"/>
    </w:r>
    <w:r w:rsidRPr="0082519D">
      <w:t>v21</w:t>
    </w:r>
    <w:r w:rsidRPr="0082519D">
      <w:fldChar w:fldCharType="end"/>
    </w:r>
  </w:p>
  <w:p w:rsidR="0082519D" w:rsidRPr="0082519D" w:rsidRDefault="0082519D">
    <w:pPr>
      <w:pStyle w:val="FSHRub1"/>
    </w:pPr>
    <w:r w:rsidRPr="0082519D">
      <w:t>Motion till riksdagen</w:t>
    </w:r>
    <w:r w:rsidRPr="0082519D">
      <w:br/>
    </w:r>
    <w:r w:rsidRPr="0082519D">
      <w:fldChar w:fldCharType="begin" w:fldLock="1"/>
    </w:r>
    <w:r w:rsidRPr="0082519D">
      <w:instrText xml:space="preserve"> DOCPROPERTY "YearUser" *\charformat </w:instrText>
    </w:r>
    <w:r w:rsidRPr="0082519D">
      <w:fldChar w:fldCharType="separate"/>
    </w:r>
    <w:r w:rsidRPr="0082519D">
      <w:t>2009/10</w:t>
    </w:r>
    <w:r w:rsidRPr="0082519D">
      <w:fldChar w:fldCharType="end"/>
    </w:r>
    <w:r w:rsidRPr="0082519D">
      <w:t>:</w:t>
    </w:r>
    <w:r w:rsidRPr="0082519D">
      <w:fldChar w:fldCharType="begin" w:fldLock="1"/>
    </w:r>
    <w:r w:rsidRPr="0082519D">
      <w:instrText xml:space="preserve"> DOCPROPERTY "Motionsnummer" *\charformat </w:instrText>
    </w:r>
    <w:r w:rsidRPr="0082519D">
      <w:fldChar w:fldCharType="separate"/>
    </w:r>
    <w:r w:rsidRPr="0082519D">
      <w:t>Sf9</w:t>
    </w:r>
    <w:r w:rsidRPr="0082519D">
      <w:fldChar w:fldCharType="end"/>
    </w:r>
  </w:p>
  <w:p w:rsidR="0082519D" w:rsidRPr="0082519D" w:rsidRDefault="0082519D">
    <w:pPr>
      <w:pStyle w:val="FSHNormalS5"/>
    </w:pPr>
    <w:r w:rsidRPr="0082519D">
      <w:fldChar w:fldCharType="begin" w:fldLock="1"/>
    </w:r>
    <w:r w:rsidRPr="0082519D">
      <w:instrText xml:space="preserve"> DOCPROPERTY "MotionarText" *\charformat </w:instrText>
    </w:r>
    <w:r w:rsidRPr="0082519D">
      <w:fldChar w:fldCharType="separate"/>
    </w:r>
    <w:r w:rsidRPr="0082519D">
      <w:t>av Kalle Larsson m.fl. (v)</w:t>
    </w:r>
    <w:r w:rsidRPr="0082519D">
      <w:fldChar w:fldCharType="end"/>
    </w:r>
    <w:r w:rsidRPr="0082519D">
      <w:br/>
    </w:r>
    <w:r w:rsidRPr="0082519D">
      <w:fldChar w:fldCharType="begin" w:fldLock="1"/>
    </w:r>
    <w:r w:rsidRPr="0082519D">
      <w:instrText xml:space="preserve"> DOCPROPERTY "SvarFrasKort" *\charformat </w:instrText>
    </w:r>
    <w:r w:rsidRPr="0082519D">
      <w:fldChar w:fldCharType="separate"/>
    </w:r>
    <w:r w:rsidRPr="0082519D">
      <w:t>med anledning av prop. 2009/10:77</w:t>
    </w:r>
    <w:r w:rsidRPr="0082519D">
      <w:fldChar w:fldCharType="end"/>
    </w:r>
  </w:p>
  <w:p w:rsidR="0082519D" w:rsidRPr="0082519D" w:rsidRDefault="0082519D">
    <w:pPr>
      <w:pStyle w:val="FSHTitel"/>
    </w:pPr>
    <w:r w:rsidRPr="0082519D">
      <w:fldChar w:fldCharType="begin" w:fldLock="1"/>
    </w:r>
    <w:r w:rsidRPr="0082519D">
      <w:instrText xml:space="preserve"> DOCPROPERTY</w:instrText>
    </w:r>
    <w:r w:rsidRPr="0082519D">
      <w:rPr>
        <w:sz w:val="18"/>
      </w:rPr>
      <w:instrText xml:space="preserve"> "RubrikSvar" *\charformat </w:instrText>
    </w:r>
    <w:r w:rsidRPr="0082519D">
      <w:fldChar w:fldCharType="separate"/>
    </w:r>
    <w:r w:rsidRPr="0082519D">
      <w:t>Försörjningskrav vid anhöriginvandring</w:t>
    </w:r>
    <w:r w:rsidRPr="0082519D">
      <w:fldChar w:fldCharType="end"/>
    </w:r>
  </w:p>
  <w:p w:rsidR="0082519D" w:rsidRPr="0082519D" w:rsidRDefault="0082519D">
    <w:pPr>
      <w:pStyle w:val="Normal00"/>
    </w:pPr>
  </w:p>
  <w:p w:rsidR="0082519D" w:rsidRPr="0082519D" w:rsidRDefault="008251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2"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4" w15:restartNumberingAfterBreak="0">
    <w:nsid w:val="51950D39"/>
    <w:multiLevelType w:val="hybridMultilevel"/>
    <w:tmpl w:val="41D4C88A"/>
    <w:lvl w:ilvl="0" w:tplc="6F8E0D30">
      <w:start w:val="1"/>
      <w:numFmt w:val="decimal"/>
      <w:pStyle w:val="Hemstlatt"/>
      <w:lvlText w:val="%1."/>
      <w:lvlJc w:val="left"/>
      <w:pPr>
        <w:tabs>
          <w:tab w:val="num" w:pos="340"/>
        </w:tabs>
        <w:ind w:left="340" w:hanging="34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63446307"/>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64D33F9C"/>
    <w:multiLevelType w:val="multilevel"/>
    <w:tmpl w:val="4FA4D782"/>
    <w:lvl w:ilvl="0">
      <w:start w:val="1"/>
      <w:numFmt w:val="decimal"/>
      <w:lvlText w:val="%1."/>
      <w:lvlJc w:val="left"/>
      <w:pPr>
        <w:tabs>
          <w:tab w:val="num" w:pos="643"/>
        </w:tabs>
        <w:ind w:left="643" w:hanging="360"/>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720B6D71"/>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60210175">
    <w:abstractNumId w:val="4"/>
  </w:num>
  <w:num w:numId="2" w16cid:durableId="570819274">
    <w:abstractNumId w:val="3"/>
  </w:num>
  <w:num w:numId="3" w16cid:durableId="521212052">
    <w:abstractNumId w:val="2"/>
  </w:num>
  <w:num w:numId="4" w16cid:durableId="565576647">
    <w:abstractNumId w:val="10"/>
  </w:num>
  <w:num w:numId="5" w16cid:durableId="445739549">
    <w:abstractNumId w:val="8"/>
  </w:num>
  <w:num w:numId="6" w16cid:durableId="78060949">
    <w:abstractNumId w:val="7"/>
  </w:num>
  <w:num w:numId="7" w16cid:durableId="403065976">
    <w:abstractNumId w:val="6"/>
  </w:num>
  <w:num w:numId="8" w16cid:durableId="1369914469">
    <w:abstractNumId w:val="5"/>
  </w:num>
  <w:num w:numId="9" w16cid:durableId="634525929">
    <w:abstractNumId w:val="1"/>
  </w:num>
  <w:num w:numId="10" w16cid:durableId="1748072598">
    <w:abstractNumId w:val="0"/>
  </w:num>
  <w:num w:numId="11" w16cid:durableId="1637491030">
    <w:abstractNumId w:val="3"/>
  </w:num>
  <w:num w:numId="12" w16cid:durableId="7244476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0"/>
    <w:docVar w:name="PersonGUIDs" w:val="{7719F267-5625-4124-AC19-C21B84EE23A7},{25384487-954A-4B3D-A759-FB67661DCC6F},{CA6150FB-5665-40EF-A0D0-2FA22432C22C},{52110FCA-F9E2-4E09-B0D3-02206356AC15},{EF5206F9-792B-484E-B593-829130B8A4A1},{06478B68-C776-4FFD-96E4-23144F4B9796}"/>
  </w:docVars>
  <w:rsids>
    <w:rsidRoot w:val="00F64C2F"/>
    <w:rsid w:val="0082519D"/>
    <w:rsid w:val="00F64C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B4AC129-6E37-4396-860A-B766C54F0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0"/>
      </w:numPr>
    </w:pPr>
  </w:style>
  <w:style w:type="paragraph" w:customStyle="1" w:styleId="PunktlistaNummer">
    <w:name w:val="Punktlista_Nummer"/>
    <w:aliases w:val="Nummerlista"/>
    <w:basedOn w:val="Normal"/>
    <w:pPr>
      <w:numPr>
        <w:numId w:val="9"/>
      </w:numPr>
    </w:pPr>
  </w:style>
  <w:style w:type="paragraph" w:customStyle="1" w:styleId="PunktlistaTankstreck">
    <w:name w:val="Punktlista_Tankstreck"/>
    <w:aliases w:val="Tankstreck"/>
    <w:basedOn w:val="Normal"/>
    <w:pPr>
      <w:numPr>
        <w:numId w:val="1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style>
  <w:style w:type="numbering" w:styleId="1ai">
    <w:name w:val="Outline List 1"/>
    <w:basedOn w:val="Ingenlista"/>
    <w:semiHidden/>
    <w:pPr>
      <w:numPr>
        <w:numId w:val="4"/>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340"/>
      </w:tabs>
      <w:ind w:left="340"/>
    </w:pPr>
  </w:style>
  <w:style w:type="paragraph" w:styleId="Numreradlista3">
    <w:name w:val="List Number 3"/>
    <w:basedOn w:val="Normal"/>
    <w:semiHidden/>
    <w:pPr>
      <w:tabs>
        <w:tab w:val="num" w:pos="284"/>
      </w:tabs>
      <w:ind w:left="284" w:hanging="284"/>
    </w:pPr>
  </w:style>
  <w:style w:type="paragraph" w:styleId="Numreradlista4">
    <w:name w:val="List Number 4"/>
    <w:basedOn w:val="Normal"/>
    <w:semiHidden/>
    <w:pPr>
      <w:tabs>
        <w:tab w:val="num" w:pos="720"/>
      </w:tabs>
      <w:ind w:left="720" w:hanging="360"/>
    </w:pPr>
  </w:style>
  <w:style w:type="paragraph" w:styleId="Numreradlista5">
    <w:name w:val="List Number 5"/>
    <w:basedOn w:val="Normal"/>
    <w:semiHidden/>
    <w:pPr>
      <w:tabs>
        <w:tab w:val="num" w:pos="360"/>
      </w:tabs>
      <w:ind w:left="360" w:hanging="360"/>
    </w:pPr>
  </w:style>
  <w:style w:type="paragraph" w:styleId="Punktlista2">
    <w:name w:val="List Bullet 2"/>
    <w:basedOn w:val="Normal"/>
    <w:semiHidden/>
    <w:pPr>
      <w:tabs>
        <w:tab w:val="num" w:pos="643"/>
      </w:tabs>
      <w:ind w:left="643" w:hanging="360"/>
    </w:pPr>
  </w:style>
  <w:style w:type="paragraph" w:styleId="Punktlista3">
    <w:name w:val="List Bullet 3"/>
    <w:basedOn w:val="Normal"/>
    <w:semiHidden/>
    <w:pPr>
      <w:tabs>
        <w:tab w:val="num" w:pos="360"/>
      </w:tabs>
      <w:ind w:left="360" w:hanging="360"/>
    </w:pPr>
  </w:style>
  <w:style w:type="paragraph" w:styleId="Punktlista4">
    <w:name w:val="List Bullet 4"/>
    <w:basedOn w:val="Normal"/>
    <w:semiHidden/>
    <w:pPr>
      <w:tabs>
        <w:tab w:val="num" w:pos="1800"/>
      </w:tabs>
    </w:pPr>
  </w:style>
  <w:style w:type="paragraph" w:styleId="Punktlista5">
    <w:name w:val="List Bullet 5"/>
    <w:basedOn w:val="Normal"/>
    <w:semiHidden/>
    <w:pPr>
      <w:tabs>
        <w:tab w:val="num" w:pos="340"/>
      </w:tabs>
      <w:ind w:left="340" w:hanging="340"/>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3291</Characters>
  <Application>Microsoft Office Word</Application>
  <DocSecurity>4</DocSecurity>
  <Lines>64</Lines>
  <Paragraphs>19</Paragraphs>
  <ScaleCrop>false</ScaleCrop>
  <HeadingPairs>
    <vt:vector size="2" baseType="variant">
      <vt:variant>
        <vt:lpstr>Rubrik</vt:lpstr>
      </vt:variant>
      <vt:variant>
        <vt:i4>1</vt:i4>
      </vt:variant>
    </vt:vector>
  </HeadingPairs>
  <TitlesOfParts>
    <vt:vector size="1" baseType="lpstr">
      <vt:lpstr>v021</vt:lpstr>
    </vt:vector>
  </TitlesOfParts>
  <Company>Riksdagen</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v021</dc:title>
  <dc:subject>v021</dc:subject>
  <dc:creator>Riksdagen</dc:creator>
  <cp:keywords>Riksdagen</cp:keywords>
  <dc:description>msmq kontroll, ensamt yrkande mm (b: S5 fix för yrk o listkorr)</dc:description>
  <cp:lastModifiedBy>Lars Brink</cp:lastModifiedBy>
  <cp:revision>2</cp:revision>
  <cp:lastPrinted>2010-02-02T06:17:00Z</cp:lastPrinted>
  <dcterms:created xsi:type="dcterms:W3CDTF">2025-12-17T21:03:00Z</dcterms:created>
  <dcterms:modified xsi:type="dcterms:W3CDTF">2025-12-17T21:03:00Z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mot2000_515_2010-01-20</vt:lpwstr>
  </property>
  <property fmtid="{D5CDD505-2E9C-101B-9397-08002B2CF9AE}" pid="3" name="version">
    <vt:lpwstr>mot2000_515_2010-01-20</vt:lpwstr>
  </property>
  <property fmtid="{D5CDD505-2E9C-101B-9397-08002B2CF9AE}" pid="4" name="dokumenttyp">
    <vt:lpwstr>motion</vt:lpwstr>
  </property>
  <property fmtid="{D5CDD505-2E9C-101B-9397-08002B2CF9AE}" pid="5" name="Sekr">
    <vt:lpwstr>ör</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2009/10:77 Försörjningskrav vid anhöriginvandring</vt:lpwstr>
  </property>
  <property fmtid="{D5CDD505-2E9C-101B-9397-08002B2CF9AE}" pid="11" name="SvarFrasKort">
    <vt:lpwstr>med anledning av prop. 2009/10:77</vt:lpwstr>
  </property>
  <property fmtid="{D5CDD505-2E9C-101B-9397-08002B2CF9AE}" pid="12" name="Svar">
    <vt:lpwstr>Proposition</vt:lpwstr>
  </property>
  <property fmtid="{D5CDD505-2E9C-101B-9397-08002B2CF9AE}" pid="13" name="SvarNr">
    <vt:lpwstr>2009/10:77</vt:lpwstr>
  </property>
  <property fmtid="{D5CDD505-2E9C-101B-9397-08002B2CF9AE}" pid="14" name="RubrikSvar">
    <vt:lpwstr>Försörjningskrav vid anhöriginvandring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Kalle Larsson m.fl. (v)</vt:lpwstr>
  </property>
  <property fmtid="{D5CDD505-2E9C-101B-9397-08002B2CF9AE}" pid="26" name="MotionarLista">
    <vt:lpwstr>Larsson, Kalle (v)\Berg, Marianne (v)\Björlund, Torbjörn (v)\Brink, Josefin (v)\Frid, Egon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Kalle Larsson (v), Marianne Berg (v), Torbjörn Björlund (v), Josefin Brink (v), Egon Frid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Sf9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januari 2010</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20092010000000000118000000210075</vt:lpwstr>
  </property>
  <property fmtid="{D5CDD505-2E9C-101B-9397-08002B2CF9AE}" pid="47" name="datum">
    <vt:lpwstr>100120</vt:lpwstr>
  </property>
  <property fmtid="{D5CDD505-2E9C-101B-9397-08002B2CF9AE}" pid="48" name="avsändar-e-post">
    <vt:lpwstr>maya.ek@riksdagen.se</vt:lpwstr>
  </property>
  <property fmtid="{D5CDD505-2E9C-101B-9397-08002B2CF9AE}" pid="49" name="id">
    <vt:lpwstr>20092010000000000118000000210075</vt:lpwstr>
  </property>
  <property fmtid="{D5CDD505-2E9C-101B-9397-08002B2CF9AE}" pid="50" name="nummer">
    <vt:lpwstr>9</vt:lpwstr>
  </property>
  <property fmtid="{D5CDD505-2E9C-101B-9397-08002B2CF9AE}" pid="51" name="utskottsbeteckning">
    <vt:lpwstr>Sf</vt:lpwstr>
  </property>
  <property fmtid="{D5CDD505-2E9C-101B-9397-08002B2CF9AE}" pid="52" name="GlobalUID">
    <vt:lpwstr>{6D4D5B12-E890-430B-9E2E-B1C9B65FE8CA}</vt:lpwstr>
  </property>
  <property fmtid="{D5CDD505-2E9C-101B-9397-08002B2CF9AE}" pid="53" name="Överföringar">
    <vt:i4>0</vt:i4>
  </property>
  <property fmtid="{D5CDD505-2E9C-101B-9397-08002B2CF9AE}" pid="54" name="Checksum">
    <vt:lpwstr>*0003959892344*</vt:lpwstr>
  </property>
  <property fmtid="{D5CDD505-2E9C-101B-9397-08002B2CF9AE}" pid="55" name="skuggnummer">
    <vt:lpwstr/>
  </property>
  <property fmtid="{D5CDD505-2E9C-101B-9397-08002B2CF9AE}" pid="56" name="urixVersion">
    <vt:lpwstr>4.1.1.6</vt:lpwstr>
  </property>
  <property fmtid="{D5CDD505-2E9C-101B-9397-08002B2CF9AE}" pid="57" name="urixOrigin">
    <vt:lpwstr>100202 07:18:05.287</vt:lpwstr>
  </property>
  <property fmtid="{D5CDD505-2E9C-101B-9397-08002B2CF9AE}" pid="58" name="urixGuid">
    <vt:lpwstr>{FC6EF332-780A-4CD0-A91F-55C47009DC5A}</vt:lpwstr>
  </property>
</Properties>
</file>