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2B28C5" w:rsidRPr="00880703">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2B28C5" w:rsidRPr="00880703" w:rsidRDefault="00880703">
            <w:pPr>
              <w:pStyle w:val="EntLogo"/>
            </w:pPr>
            <w:r w:rsidRPr="00880703">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28C5" w:rsidRPr="00880703">
        <w:tblPrEx>
          <w:tblCellMar>
            <w:top w:w="0" w:type="dxa"/>
            <w:left w:w="0" w:type="dxa"/>
            <w:bottom w:w="0" w:type="dxa"/>
            <w:right w:w="0" w:type="dxa"/>
          </w:tblCellMar>
        </w:tblPrEx>
        <w:trPr>
          <w:cantSplit/>
          <w:trHeight w:val="1120"/>
        </w:trPr>
        <w:tc>
          <w:tcPr>
            <w:tcW w:w="4821" w:type="dxa"/>
            <w:gridSpan w:val="2"/>
          </w:tcPr>
          <w:p w:rsidR="00B4683B" w:rsidRPr="00880703" w:rsidRDefault="00B4683B">
            <w:pPr>
              <w:pStyle w:val="EntInstit"/>
            </w:pPr>
            <w:bookmarkStart w:id="0" w:name="Entete"/>
            <w:bookmarkEnd w:id="0"/>
            <w:r w:rsidRPr="00880703">
              <w:t>COUNCIL OF</w:t>
            </w:r>
          </w:p>
          <w:p w:rsidR="002B28C5" w:rsidRPr="00880703" w:rsidRDefault="00B4683B">
            <w:pPr>
              <w:pStyle w:val="EntInstit"/>
            </w:pPr>
            <w:r w:rsidRPr="00880703">
              <w:t>THE EUROPEAN UNION</w:t>
            </w:r>
          </w:p>
        </w:tc>
        <w:tc>
          <w:tcPr>
            <w:tcW w:w="1701" w:type="dxa"/>
          </w:tcPr>
          <w:p w:rsidR="002B28C5" w:rsidRPr="00880703" w:rsidRDefault="002B28C5">
            <w:pPr>
              <w:spacing w:line="240" w:lineRule="auto"/>
              <w:jc w:val="right"/>
              <w:rPr>
                <w:b/>
              </w:rPr>
            </w:pPr>
          </w:p>
        </w:tc>
        <w:tc>
          <w:tcPr>
            <w:tcW w:w="4820" w:type="dxa"/>
            <w:gridSpan w:val="2"/>
          </w:tcPr>
          <w:p w:rsidR="002B28C5" w:rsidRPr="00880703" w:rsidRDefault="00B4683B">
            <w:pPr>
              <w:pStyle w:val="EntRefer"/>
            </w:pPr>
            <w:bookmarkStart w:id="1" w:name="Lieu"/>
            <w:bookmarkEnd w:id="1"/>
            <w:r w:rsidRPr="00880703">
              <w:t>Brussels,</w:t>
            </w:r>
            <w:r w:rsidR="002B28C5" w:rsidRPr="00880703">
              <w:t xml:space="preserve"> </w:t>
            </w:r>
            <w:bookmarkStart w:id="2" w:name="Date"/>
            <w:bookmarkEnd w:id="2"/>
            <w:r w:rsidR="002C27C5" w:rsidRPr="00880703">
              <w:t>2</w:t>
            </w:r>
            <w:r w:rsidR="00B83B5F" w:rsidRPr="00880703">
              <w:t>7</w:t>
            </w:r>
            <w:r w:rsidR="002C27C5" w:rsidRPr="00880703">
              <w:t xml:space="preserve"> </w:t>
            </w:r>
            <w:r w:rsidRPr="00880703">
              <w:t>April 2006</w:t>
            </w:r>
            <w:r w:rsidR="002B28C5" w:rsidRPr="00880703">
              <w:t xml:space="preserve"> </w:t>
            </w:r>
            <w:bookmarkStart w:id="3" w:name="DateEntree"/>
            <w:bookmarkEnd w:id="3"/>
          </w:p>
          <w:p w:rsidR="002B28C5" w:rsidRPr="00880703" w:rsidRDefault="002B28C5">
            <w:pPr>
              <w:pStyle w:val="EntRefer"/>
            </w:pPr>
            <w:bookmarkStart w:id="4" w:name="LangueOrig"/>
            <w:bookmarkEnd w:id="4"/>
          </w:p>
        </w:tc>
      </w:tr>
      <w:tr w:rsidR="002B28C5" w:rsidRPr="00880703">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2B28C5" w:rsidRPr="00880703" w:rsidRDefault="002B28C5">
            <w:pPr>
              <w:pStyle w:val="EntRefer"/>
              <w:jc w:val="center"/>
            </w:pPr>
            <w:bookmarkStart w:id="5" w:name="DossierInterInst"/>
            <w:bookmarkEnd w:id="5"/>
          </w:p>
        </w:tc>
        <w:tc>
          <w:tcPr>
            <w:tcW w:w="1701" w:type="dxa"/>
            <w:vAlign w:val="center"/>
          </w:tcPr>
          <w:p w:rsidR="002B28C5" w:rsidRPr="00880703" w:rsidRDefault="002B28C5">
            <w:pPr>
              <w:spacing w:line="240" w:lineRule="auto"/>
              <w:rPr>
                <w:b/>
              </w:rPr>
            </w:pPr>
          </w:p>
        </w:tc>
        <w:tc>
          <w:tcPr>
            <w:tcW w:w="3970" w:type="dxa"/>
          </w:tcPr>
          <w:p w:rsidR="002B28C5" w:rsidRPr="00880703" w:rsidRDefault="00B4683B">
            <w:pPr>
              <w:pStyle w:val="EntRefer"/>
            </w:pPr>
            <w:bookmarkStart w:id="6" w:name="Cote"/>
            <w:bookmarkEnd w:id="6"/>
            <w:r w:rsidRPr="00880703">
              <w:t>8300/06</w:t>
            </w:r>
          </w:p>
          <w:p w:rsidR="002B28C5" w:rsidRPr="00880703" w:rsidRDefault="002B28C5">
            <w:pPr>
              <w:pStyle w:val="EntRefer"/>
            </w:pPr>
            <w:bookmarkStart w:id="7" w:name="CoteRev"/>
            <w:bookmarkEnd w:id="7"/>
          </w:p>
          <w:p w:rsidR="002B28C5" w:rsidRPr="00880703" w:rsidRDefault="002B28C5">
            <w:pPr>
              <w:pStyle w:val="EntRefer"/>
            </w:pPr>
          </w:p>
          <w:p w:rsidR="002B28C5" w:rsidRPr="00880703" w:rsidRDefault="00B4683B">
            <w:pPr>
              <w:pStyle w:val="EntRefer"/>
            </w:pPr>
            <w:bookmarkStart w:id="8" w:name="CoteSec"/>
            <w:bookmarkEnd w:id="8"/>
            <w:r w:rsidRPr="00880703">
              <w:t>LIMITE</w:t>
            </w:r>
          </w:p>
          <w:p w:rsidR="002B28C5" w:rsidRPr="00880703" w:rsidRDefault="002B28C5">
            <w:pPr>
              <w:pStyle w:val="EntRefer"/>
            </w:pPr>
          </w:p>
        </w:tc>
      </w:tr>
      <w:tr w:rsidR="002B28C5" w:rsidRPr="00880703">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2B28C5" w:rsidRPr="00880703" w:rsidRDefault="002B28C5">
            <w:pPr>
              <w:pStyle w:val="EntRefer"/>
              <w:jc w:val="center"/>
            </w:pPr>
            <w:bookmarkStart w:id="9" w:name="SousEmbargo"/>
            <w:bookmarkEnd w:id="9"/>
          </w:p>
        </w:tc>
        <w:tc>
          <w:tcPr>
            <w:tcW w:w="1701" w:type="dxa"/>
            <w:vAlign w:val="center"/>
          </w:tcPr>
          <w:p w:rsidR="002B28C5" w:rsidRPr="00880703" w:rsidRDefault="002B28C5">
            <w:pPr>
              <w:spacing w:line="240" w:lineRule="auto"/>
              <w:rPr>
                <w:b/>
              </w:rPr>
            </w:pPr>
          </w:p>
        </w:tc>
        <w:tc>
          <w:tcPr>
            <w:tcW w:w="3970" w:type="dxa"/>
          </w:tcPr>
          <w:p w:rsidR="002B28C5" w:rsidRPr="00880703" w:rsidRDefault="00B473FA">
            <w:pPr>
              <w:pStyle w:val="EntRefer"/>
            </w:pPr>
            <w:r w:rsidRPr="00880703">
              <w:t xml:space="preserve">EDUC </w:t>
            </w:r>
            <w:r w:rsidRPr="00880703">
              <w:tab/>
              <w:t>73</w:t>
            </w:r>
          </w:p>
          <w:p w:rsidR="00B473FA" w:rsidRPr="00880703" w:rsidRDefault="00B473FA">
            <w:pPr>
              <w:pStyle w:val="EntRefer"/>
            </w:pPr>
            <w:r w:rsidRPr="00880703">
              <w:t>STATIS</w:t>
            </w:r>
            <w:r w:rsidRPr="00880703">
              <w:tab/>
              <w:t>29</w:t>
            </w:r>
          </w:p>
        </w:tc>
      </w:tr>
    </w:tbl>
    <w:p w:rsidR="002B28C5" w:rsidRPr="00880703" w:rsidRDefault="002B28C5">
      <w:pPr>
        <w:pStyle w:val="EntRefer"/>
      </w:pPr>
      <w:bookmarkStart w:id="10" w:name="AC"/>
    </w:p>
    <w:p w:rsidR="002B28C5" w:rsidRPr="00880703" w:rsidRDefault="00B4683B" w:rsidP="00892608">
      <w:pPr>
        <w:pStyle w:val="EntRefer"/>
        <w:outlineLvl w:val="0"/>
      </w:pPr>
      <w:bookmarkStart w:id="11" w:name="Title"/>
      <w:bookmarkEnd w:id="11"/>
      <w:r w:rsidRPr="00880703">
        <w:t>INTRODUCTORY NOTE</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B473FA" w:rsidRPr="00880703">
        <w:tblPrEx>
          <w:tblCellMar>
            <w:top w:w="0" w:type="dxa"/>
            <w:left w:w="0" w:type="dxa"/>
            <w:bottom w:w="0" w:type="dxa"/>
            <w:right w:w="0" w:type="dxa"/>
          </w:tblCellMar>
        </w:tblPrEx>
        <w:tc>
          <w:tcPr>
            <w:tcW w:w="1701" w:type="dxa"/>
            <w:tcBorders>
              <w:top w:val="single" w:sz="4" w:space="0" w:color="auto"/>
            </w:tcBorders>
          </w:tcPr>
          <w:p w:rsidR="00B473FA" w:rsidRPr="00880703" w:rsidRDefault="00B473FA" w:rsidP="00600B5F">
            <w:pPr>
              <w:pStyle w:val="EntEmet"/>
            </w:pPr>
            <w:r w:rsidRPr="00880703">
              <w:t>from :</w:t>
            </w:r>
          </w:p>
        </w:tc>
        <w:tc>
          <w:tcPr>
            <w:tcW w:w="7938" w:type="dxa"/>
            <w:tcBorders>
              <w:top w:val="single" w:sz="4" w:space="0" w:color="auto"/>
            </w:tcBorders>
          </w:tcPr>
          <w:p w:rsidR="00B473FA" w:rsidRPr="00880703" w:rsidRDefault="00B473FA" w:rsidP="00600B5F">
            <w:pPr>
              <w:pStyle w:val="EntEmet"/>
            </w:pPr>
            <w:r w:rsidRPr="00880703">
              <w:t>General Secretariat of the Council</w:t>
            </w:r>
          </w:p>
        </w:tc>
      </w:tr>
      <w:tr w:rsidR="00B473FA" w:rsidRPr="00880703">
        <w:tblPrEx>
          <w:tblCellMar>
            <w:top w:w="0" w:type="dxa"/>
            <w:left w:w="0" w:type="dxa"/>
            <w:bottom w:w="0" w:type="dxa"/>
            <w:right w:w="0" w:type="dxa"/>
          </w:tblCellMar>
        </w:tblPrEx>
        <w:tc>
          <w:tcPr>
            <w:tcW w:w="1701" w:type="dxa"/>
            <w:tcBorders>
              <w:bottom w:val="single" w:sz="4" w:space="0" w:color="auto"/>
            </w:tcBorders>
          </w:tcPr>
          <w:p w:rsidR="00B473FA" w:rsidRPr="00880703" w:rsidRDefault="00B473FA" w:rsidP="00600B5F">
            <w:pPr>
              <w:pStyle w:val="EntEmet"/>
            </w:pPr>
            <w:r w:rsidRPr="00880703">
              <w:t>to :</w:t>
            </w:r>
          </w:p>
        </w:tc>
        <w:tc>
          <w:tcPr>
            <w:tcW w:w="7938" w:type="dxa"/>
            <w:tcBorders>
              <w:bottom w:val="single" w:sz="4" w:space="0" w:color="auto"/>
            </w:tcBorders>
          </w:tcPr>
          <w:p w:rsidR="00B473FA" w:rsidRPr="00880703" w:rsidRDefault="00B473FA" w:rsidP="00600B5F">
            <w:pPr>
              <w:pStyle w:val="EntEmet"/>
            </w:pPr>
            <w:r w:rsidRPr="00880703">
              <w:t>Permanent Representatives Committee (Part 1)</w:t>
            </w:r>
          </w:p>
        </w:tc>
      </w:tr>
      <w:tr w:rsidR="00B473FA" w:rsidRPr="00880703">
        <w:tblPrEx>
          <w:tblCellMar>
            <w:top w:w="0" w:type="dxa"/>
            <w:left w:w="0" w:type="dxa"/>
            <w:bottom w:w="0" w:type="dxa"/>
            <w:right w:w="0" w:type="dxa"/>
          </w:tblCellMar>
        </w:tblPrEx>
        <w:tc>
          <w:tcPr>
            <w:tcW w:w="1701" w:type="dxa"/>
          </w:tcPr>
          <w:p w:rsidR="00B473FA" w:rsidRPr="00880703" w:rsidRDefault="00B473FA" w:rsidP="00600B5F">
            <w:pPr>
              <w:pStyle w:val="EntEmet"/>
            </w:pPr>
            <w:r w:rsidRPr="00880703">
              <w:t>No. prev.doc.:</w:t>
            </w:r>
          </w:p>
        </w:tc>
        <w:tc>
          <w:tcPr>
            <w:tcW w:w="7938" w:type="dxa"/>
          </w:tcPr>
          <w:p w:rsidR="00B473FA" w:rsidRPr="00880703" w:rsidRDefault="00B473FA" w:rsidP="00600B5F">
            <w:pPr>
              <w:pStyle w:val="EntEmet"/>
            </w:pPr>
            <w:r w:rsidRPr="00880703">
              <w:t>7256/06 EDUC 54 STATIS 25</w:t>
            </w:r>
          </w:p>
        </w:tc>
      </w:tr>
      <w:tr w:rsidR="00B473FA" w:rsidRPr="00880703">
        <w:tblPrEx>
          <w:tblCellMar>
            <w:top w:w="0" w:type="dxa"/>
            <w:left w:w="0" w:type="dxa"/>
            <w:bottom w:w="0" w:type="dxa"/>
            <w:right w:w="0" w:type="dxa"/>
          </w:tblCellMar>
        </w:tblPrEx>
        <w:tc>
          <w:tcPr>
            <w:tcW w:w="1701" w:type="dxa"/>
          </w:tcPr>
          <w:p w:rsidR="00B473FA" w:rsidRPr="00880703" w:rsidRDefault="00B473FA" w:rsidP="00600B5F">
            <w:pPr>
              <w:pStyle w:val="EntEmet"/>
            </w:pPr>
            <w:r w:rsidRPr="00880703">
              <w:t>No. Cion prop. :</w:t>
            </w:r>
          </w:p>
        </w:tc>
        <w:tc>
          <w:tcPr>
            <w:tcW w:w="7938" w:type="dxa"/>
          </w:tcPr>
          <w:p w:rsidR="00B473FA" w:rsidRPr="00880703" w:rsidRDefault="00B473FA" w:rsidP="00600B5F">
            <w:pPr>
              <w:pStyle w:val="EntEmet"/>
            </w:pPr>
            <w:r w:rsidRPr="00880703">
              <w:t>11704/05 EDUC 123 STATIS 75 - COM(2005) 356 final</w:t>
            </w:r>
          </w:p>
        </w:tc>
      </w:tr>
      <w:tr w:rsidR="00B473FA" w:rsidRPr="00880703">
        <w:tblPrEx>
          <w:tblCellMar>
            <w:top w:w="0" w:type="dxa"/>
            <w:left w:w="0" w:type="dxa"/>
            <w:bottom w:w="0" w:type="dxa"/>
            <w:right w:w="0" w:type="dxa"/>
          </w:tblCellMar>
        </w:tblPrEx>
        <w:tc>
          <w:tcPr>
            <w:tcW w:w="1701" w:type="dxa"/>
            <w:tcBorders>
              <w:top w:val="single" w:sz="4" w:space="0" w:color="auto"/>
              <w:bottom w:val="single" w:sz="4" w:space="0" w:color="auto"/>
            </w:tcBorders>
          </w:tcPr>
          <w:p w:rsidR="00B473FA" w:rsidRPr="00880703" w:rsidRDefault="00B473FA" w:rsidP="00600B5F">
            <w:pPr>
              <w:pStyle w:val="EntEmet"/>
            </w:pPr>
            <w:r w:rsidRPr="00880703">
              <w:t>Subject :</w:t>
            </w:r>
          </w:p>
        </w:tc>
        <w:tc>
          <w:tcPr>
            <w:tcW w:w="7938" w:type="dxa"/>
            <w:tcBorders>
              <w:top w:val="single" w:sz="4" w:space="0" w:color="auto"/>
              <w:bottom w:val="single" w:sz="4" w:space="0" w:color="auto"/>
            </w:tcBorders>
          </w:tcPr>
          <w:p w:rsidR="000B5FD4" w:rsidRPr="00880703" w:rsidRDefault="000B5FD4" w:rsidP="000B5FD4">
            <w:pPr>
              <w:pStyle w:val="Par-number11"/>
              <w:numPr>
                <w:ilvl w:val="0"/>
                <w:numId w:val="0"/>
              </w:numPr>
              <w:spacing w:line="240" w:lineRule="auto"/>
            </w:pPr>
            <w:r w:rsidRPr="00880703">
              <w:t>Communication from the Commission to the European Parliament and the Council: The European Indicator of Language Competence</w:t>
            </w:r>
          </w:p>
          <w:p w:rsidR="00804CBF" w:rsidRPr="00880703" w:rsidRDefault="000B5FD4" w:rsidP="000B5FD4">
            <w:pPr>
              <w:pStyle w:val="EntEmet"/>
              <w:numPr>
                <w:ilvl w:val="0"/>
                <w:numId w:val="173"/>
              </w:numPr>
            </w:pPr>
            <w:r w:rsidRPr="00880703">
              <w:t>Council Conclusions</w:t>
            </w:r>
          </w:p>
        </w:tc>
      </w:tr>
    </w:tbl>
    <w:p w:rsidR="002B28C5" w:rsidRPr="00880703" w:rsidRDefault="002B28C5">
      <w:pPr>
        <w:spacing w:line="240" w:lineRule="auto"/>
      </w:pPr>
    </w:p>
    <w:bookmarkEnd w:id="10"/>
    <w:p w:rsidR="00A92924" w:rsidRPr="00880703" w:rsidRDefault="00A92924" w:rsidP="00A92924">
      <w:pPr>
        <w:ind w:left="720" w:hanging="720"/>
        <w:outlineLvl w:val="0"/>
      </w:pPr>
    </w:p>
    <w:p w:rsidR="00A92924" w:rsidRPr="00880703" w:rsidRDefault="00A92924" w:rsidP="00A92924">
      <w:pPr>
        <w:ind w:left="720" w:hanging="720"/>
        <w:outlineLvl w:val="0"/>
      </w:pPr>
    </w:p>
    <w:p w:rsidR="00A92924" w:rsidRPr="00880703" w:rsidRDefault="002C27C5" w:rsidP="00A92924">
      <w:pPr>
        <w:ind w:left="720" w:hanging="720"/>
        <w:outlineLvl w:val="0"/>
      </w:pPr>
      <w:r w:rsidRPr="00880703">
        <w:t>1.</w:t>
      </w:r>
      <w:r w:rsidRPr="00880703">
        <w:tab/>
        <w:t>On 19 August 2005, in response to a request by Heads of State and Government at the 2002 Barcelona European Council and an invitation by education ministers in May 2005</w:t>
      </w:r>
      <w:r w:rsidRPr="00880703">
        <w:rPr>
          <w:rStyle w:val="Fotnotsreferens"/>
        </w:rPr>
        <w:footnoteReference w:id="1"/>
      </w:r>
      <w:r w:rsidRPr="00880703">
        <w:t xml:space="preserve">, </w:t>
      </w:r>
      <w:r w:rsidR="00A92924" w:rsidRPr="00880703">
        <w:t xml:space="preserve">the </w:t>
      </w:r>
      <w:r w:rsidR="00A92924" w:rsidRPr="00880703">
        <w:rPr>
          <w:u w:val="single"/>
        </w:rPr>
        <w:t>Commission</w:t>
      </w:r>
      <w:r w:rsidR="00A92924" w:rsidRPr="00880703">
        <w:t xml:space="preserve"> forwarded to the European Parliament</w:t>
      </w:r>
      <w:r w:rsidR="00A92924" w:rsidRPr="00880703">
        <w:rPr>
          <w:rStyle w:val="Fotnotsreferens"/>
        </w:rPr>
        <w:footnoteReference w:id="2"/>
      </w:r>
      <w:r w:rsidR="00A92924" w:rsidRPr="00880703">
        <w:t xml:space="preserve"> and to the Council a Communication on the European Indicator of Language Competence (EILC) which outlined an approach towards the establishment of a means of measuring overall foreign language competencies in each Member State, as well as providing Member States with hard data on which any necessary adjustments in their approach to foreign language teaching and learning could be based. </w:t>
      </w:r>
    </w:p>
    <w:p w:rsidR="00A92924" w:rsidRPr="00880703" w:rsidRDefault="00A92924" w:rsidP="00A92924">
      <w:r w:rsidRPr="00880703">
        <w:br w:type="page"/>
      </w:r>
    </w:p>
    <w:p w:rsidR="00A92924" w:rsidRPr="00880703" w:rsidRDefault="00A92924" w:rsidP="00A92924">
      <w:pPr>
        <w:ind w:left="567" w:right="-204" w:hanging="567"/>
      </w:pPr>
      <w:r w:rsidRPr="00880703">
        <w:t>2.</w:t>
      </w:r>
      <w:r w:rsidRPr="00880703">
        <w:tab/>
        <w:t xml:space="preserve">In January 2006 the </w:t>
      </w:r>
      <w:r w:rsidRPr="00880703">
        <w:rPr>
          <w:u w:val="single"/>
        </w:rPr>
        <w:t>Council's Education Committee</w:t>
      </w:r>
      <w:r w:rsidRPr="00880703">
        <w:t xml:space="preserve"> began examining a set of draft Council conclusions on the EILC drawn up by the Presidency with a view to their adoption by education ministers at the forthcoming May Council. Delegations will find attached the text of those conclusions as they emerged from the Committee's most recent meeting on 28 and 29 March 2006.</w:t>
      </w:r>
    </w:p>
    <w:p w:rsidR="00A92924" w:rsidRPr="00880703" w:rsidRDefault="00A92924" w:rsidP="00A92924">
      <w:pPr>
        <w:ind w:right="-202"/>
      </w:pPr>
    </w:p>
    <w:p w:rsidR="00A92924" w:rsidRPr="00880703" w:rsidRDefault="00A92924" w:rsidP="00A92924">
      <w:pPr>
        <w:ind w:left="567" w:hanging="567"/>
      </w:pPr>
      <w:r w:rsidRPr="00880703">
        <w:t>3.</w:t>
      </w:r>
      <w:r w:rsidRPr="00880703">
        <w:tab/>
        <w:t xml:space="preserve">The extensive discussions held on the subject since January, together with a policy debate on the EILC during the February Education Council, have enabled many major issues to be clarified and a considerable degree of consensus has now been reached on the text of the conclusions. However, one key issue remains to be settled: namely, the most suitable level at which testing should be carried out (see footnote </w:t>
      </w:r>
      <w:r w:rsidR="001A24A9" w:rsidRPr="00880703">
        <w:t>12</w:t>
      </w:r>
      <w:r w:rsidRPr="00880703">
        <w:t xml:space="preserve"> on page 6). </w:t>
      </w:r>
    </w:p>
    <w:p w:rsidR="00A92924" w:rsidRPr="00880703" w:rsidRDefault="00A92924" w:rsidP="00A92924">
      <w:pPr>
        <w:ind w:left="567" w:hanging="567"/>
      </w:pPr>
    </w:p>
    <w:p w:rsidR="00A92924" w:rsidRPr="00880703" w:rsidRDefault="00A92924" w:rsidP="00A92924">
      <w:pPr>
        <w:ind w:left="567"/>
      </w:pPr>
      <w:r w:rsidRPr="00880703">
        <w:t>The Presidency compromise proposal is to recommend that pupils should be tested at the end of ISCED</w:t>
      </w:r>
      <w:r w:rsidR="00126299" w:rsidRPr="00880703">
        <w:rPr>
          <w:rStyle w:val="Fotnotsreferens"/>
        </w:rPr>
        <w:footnoteReference w:id="3"/>
      </w:r>
      <w:r w:rsidRPr="00880703">
        <w:t xml:space="preserve"> level 2, but in the case of a small number of Member States where a second foreign language is not taught before the end of that level, to allow testing - in the first round of data-gathering - to  be conducted at </w:t>
      </w:r>
      <w:r w:rsidR="003B65B5" w:rsidRPr="00880703">
        <w:t>ISCED</w:t>
      </w:r>
      <w:r w:rsidRPr="00880703">
        <w:t xml:space="preserve"> level 3</w:t>
      </w:r>
      <w:r w:rsidR="003B65B5" w:rsidRPr="00880703">
        <w:t xml:space="preserve"> for the second foreign language</w:t>
      </w:r>
      <w:r w:rsidRPr="00880703">
        <w:t>. This compromise has the support of the majority of Member States and the Commission, but has given rise to reservations from four Member States, three of which (</w:t>
      </w:r>
      <w:r w:rsidRPr="00880703">
        <w:rPr>
          <w:u w:val="single"/>
        </w:rPr>
        <w:t>BE</w:t>
      </w:r>
      <w:r w:rsidRPr="00880703">
        <w:t xml:space="preserve">, </w:t>
      </w:r>
      <w:r w:rsidRPr="00880703">
        <w:rPr>
          <w:u w:val="single"/>
        </w:rPr>
        <w:t>HU</w:t>
      </w:r>
      <w:r w:rsidRPr="00880703">
        <w:t xml:space="preserve"> and </w:t>
      </w:r>
      <w:r w:rsidRPr="00880703">
        <w:rPr>
          <w:u w:val="single"/>
        </w:rPr>
        <w:t>IT</w:t>
      </w:r>
      <w:r w:rsidRPr="00880703">
        <w:t xml:space="preserve">) are calling for </w:t>
      </w:r>
      <w:r w:rsidR="003B65B5" w:rsidRPr="00880703">
        <w:t>the testing of</w:t>
      </w:r>
      <w:r w:rsidR="00126299" w:rsidRPr="00880703">
        <w:t xml:space="preserve"> both</w:t>
      </w:r>
      <w:r w:rsidR="003B65B5" w:rsidRPr="00880703">
        <w:t xml:space="preserve"> the first and the second foreign languages at ISCED level 3 (see footnote 12 on page 6)</w:t>
      </w:r>
      <w:r w:rsidRPr="00880703">
        <w:t>, while the fourth (</w:t>
      </w:r>
      <w:r w:rsidRPr="00880703">
        <w:rPr>
          <w:u w:val="single"/>
        </w:rPr>
        <w:t>SE</w:t>
      </w:r>
      <w:r w:rsidRPr="00880703">
        <w:t xml:space="preserve">) </w:t>
      </w:r>
      <w:r w:rsidR="00804DB0" w:rsidRPr="00880703">
        <w:t xml:space="preserve">feels that the Presidency compromise has already gone far enough and </w:t>
      </w:r>
      <w:r w:rsidRPr="00880703">
        <w:t>that any more flexibility will undermine the comparability of the test results.</w:t>
      </w:r>
    </w:p>
    <w:p w:rsidR="00A92924" w:rsidRPr="00880703" w:rsidRDefault="00A92924" w:rsidP="00A92924"/>
    <w:p w:rsidR="00A92924" w:rsidRPr="00880703" w:rsidRDefault="00A92924" w:rsidP="00A92924">
      <w:pPr>
        <w:ind w:left="567" w:hanging="567"/>
      </w:pPr>
      <w:r w:rsidRPr="00880703">
        <w:t>4.</w:t>
      </w:r>
      <w:r w:rsidRPr="00880703">
        <w:tab/>
        <w:t xml:space="preserve">The </w:t>
      </w:r>
      <w:r w:rsidRPr="00880703">
        <w:rPr>
          <w:u w:val="single"/>
        </w:rPr>
        <w:t>Permanent Representatives Committee</w:t>
      </w:r>
      <w:r w:rsidRPr="00880703">
        <w:t xml:space="preserve"> is therefore invited to address this outstanding issue with a view to enabling the Council to adopt the text of the draft conclusions.</w:t>
      </w:r>
    </w:p>
    <w:p w:rsidR="00A92924" w:rsidRPr="00880703" w:rsidRDefault="00A92924" w:rsidP="00A92924"/>
    <w:p w:rsidR="00A92924" w:rsidRPr="00880703" w:rsidRDefault="00A92924" w:rsidP="00A92924">
      <w:pPr>
        <w:jc w:val="center"/>
      </w:pPr>
      <w:r w:rsidRPr="00880703">
        <w:rPr>
          <w:u w:val="single"/>
        </w:rPr>
        <w:t>__________________</w:t>
      </w:r>
    </w:p>
    <w:p w:rsidR="002B28C5" w:rsidRPr="00880703" w:rsidRDefault="002B28C5" w:rsidP="00B4683B"/>
    <w:p w:rsidR="00B473FA" w:rsidRPr="00880703" w:rsidRDefault="00B473FA">
      <w:pPr>
        <w:spacing w:line="240" w:lineRule="auto"/>
        <w:sectPr w:rsidR="00B473FA" w:rsidRPr="00880703">
          <w:footerReference w:type="default" r:id="rId8"/>
          <w:endnotePr>
            <w:numFmt w:val="decimal"/>
          </w:endnotePr>
          <w:pgSz w:w="11907" w:h="16840" w:code="9"/>
          <w:pgMar w:top="1134" w:right="1134" w:bottom="1134" w:left="1134" w:header="567" w:footer="567" w:gutter="0"/>
          <w:cols w:space="720"/>
        </w:sectPr>
      </w:pPr>
    </w:p>
    <w:p w:rsidR="00B473FA" w:rsidRPr="00880703" w:rsidRDefault="00B473FA" w:rsidP="00B473FA">
      <w:pPr>
        <w:jc w:val="center"/>
        <w:outlineLvl w:val="0"/>
        <w:rPr>
          <w:b/>
          <w:szCs w:val="24"/>
        </w:rPr>
      </w:pPr>
      <w:r w:rsidRPr="00880703">
        <w:rPr>
          <w:b/>
          <w:szCs w:val="24"/>
        </w:rPr>
        <w:t>DRAFT COUNCIL CONCLUSIONS</w:t>
      </w:r>
      <w:r w:rsidR="00A92924" w:rsidRPr="00880703">
        <w:rPr>
          <w:b/>
          <w:szCs w:val="24"/>
        </w:rPr>
        <w:t xml:space="preserve"> </w:t>
      </w:r>
      <w:r w:rsidR="00A92924" w:rsidRPr="00880703">
        <w:rPr>
          <w:rStyle w:val="Fotnotsreferens"/>
          <w:b w:val="0"/>
          <w:szCs w:val="24"/>
        </w:rPr>
        <w:footnoteReference w:id="4"/>
      </w:r>
    </w:p>
    <w:p w:rsidR="00B473FA" w:rsidRPr="00880703" w:rsidRDefault="00B473FA" w:rsidP="00B473FA">
      <w:pPr>
        <w:jc w:val="center"/>
        <w:rPr>
          <w:szCs w:val="24"/>
        </w:rPr>
      </w:pPr>
      <w:r w:rsidRPr="00880703">
        <w:rPr>
          <w:szCs w:val="24"/>
        </w:rPr>
        <w:t>on the European Indicator of Language Competence</w:t>
      </w:r>
    </w:p>
    <w:p w:rsidR="00B473FA" w:rsidRPr="00880703" w:rsidRDefault="00B473FA" w:rsidP="00B473FA">
      <w:pPr>
        <w:jc w:val="center"/>
        <w:rPr>
          <w:szCs w:val="24"/>
        </w:rPr>
      </w:pPr>
    </w:p>
    <w:p w:rsidR="00B473FA" w:rsidRPr="00880703" w:rsidRDefault="00B473FA" w:rsidP="00B473FA">
      <w:pPr>
        <w:rPr>
          <w:b/>
          <w:szCs w:val="24"/>
        </w:rPr>
      </w:pPr>
      <w:r w:rsidRPr="00880703">
        <w:rPr>
          <w:b/>
          <w:szCs w:val="24"/>
        </w:rPr>
        <w:t>THE COUNCIL,</w:t>
      </w:r>
    </w:p>
    <w:p w:rsidR="00B473FA" w:rsidRPr="00880703" w:rsidRDefault="00B473FA" w:rsidP="00B473FA">
      <w:pPr>
        <w:rPr>
          <w:szCs w:val="24"/>
        </w:rPr>
      </w:pPr>
    </w:p>
    <w:p w:rsidR="00B473FA" w:rsidRPr="00880703" w:rsidRDefault="00B473FA" w:rsidP="00B473FA">
      <w:pPr>
        <w:rPr>
          <w:szCs w:val="24"/>
        </w:rPr>
      </w:pPr>
      <w:r w:rsidRPr="00880703">
        <w:rPr>
          <w:szCs w:val="24"/>
        </w:rPr>
        <w:t>having regard to:</w:t>
      </w:r>
    </w:p>
    <w:p w:rsidR="00B473FA" w:rsidRPr="00880703" w:rsidRDefault="00B473FA" w:rsidP="00B473FA">
      <w:pPr>
        <w:rPr>
          <w:szCs w:val="24"/>
        </w:rPr>
      </w:pPr>
    </w:p>
    <w:p w:rsidR="00B473FA" w:rsidRPr="00880703" w:rsidRDefault="00B473FA" w:rsidP="00B473FA">
      <w:pPr>
        <w:numPr>
          <w:ilvl w:val="0"/>
          <w:numId w:val="163"/>
        </w:numPr>
        <w:rPr>
          <w:szCs w:val="24"/>
        </w:rPr>
      </w:pPr>
      <w:r w:rsidRPr="00880703">
        <w:rPr>
          <w:szCs w:val="24"/>
        </w:rPr>
        <w:t>the strategic goal set for the European Union by the Lisbon European Council of 23</w:t>
      </w:r>
      <w:r w:rsidRPr="00880703">
        <w:rPr>
          <w:szCs w:val="24"/>
        </w:rPr>
        <w:noBreakHyphen/>
        <w:t>24 March 2000 and reaffirmed by the Stockholm European Council of 23 and 24 March 2001, "</w:t>
      </w:r>
      <w:r w:rsidRPr="00880703">
        <w:rPr>
          <w:i/>
          <w:szCs w:val="24"/>
        </w:rPr>
        <w:t>to become the most competitive and dynamic knowledge-based economy in the world, capable of sustainable economic growth, with more and better jobs and greater social cohesion</w:t>
      </w:r>
      <w:r w:rsidRPr="00880703">
        <w:rPr>
          <w:szCs w:val="24"/>
        </w:rPr>
        <w:t>";</w:t>
      </w:r>
    </w:p>
    <w:p w:rsidR="00B473FA" w:rsidRPr="00880703" w:rsidRDefault="00B473FA" w:rsidP="00B473FA">
      <w:pPr>
        <w:rPr>
          <w:color w:val="999999"/>
          <w:szCs w:val="24"/>
        </w:rPr>
      </w:pPr>
    </w:p>
    <w:p w:rsidR="00B473FA" w:rsidRPr="00880703" w:rsidRDefault="00B473FA" w:rsidP="00B473FA">
      <w:pPr>
        <w:numPr>
          <w:ilvl w:val="0"/>
          <w:numId w:val="163"/>
        </w:numPr>
        <w:rPr>
          <w:szCs w:val="24"/>
        </w:rPr>
      </w:pPr>
      <w:r w:rsidRPr="00880703">
        <w:rPr>
          <w:szCs w:val="24"/>
        </w:rPr>
        <w:t>the mandate from the Lisbon European Council to the Education Council "</w:t>
      </w:r>
      <w:r w:rsidRPr="00880703">
        <w:rPr>
          <w:i/>
          <w:szCs w:val="24"/>
        </w:rPr>
        <w:t>to undertake a general reflection on concrete future objectives of education systems, focusing on common concerns and priorities while respecting national diversity …</w:t>
      </w:r>
      <w:r w:rsidRPr="00880703">
        <w:rPr>
          <w:szCs w:val="24"/>
        </w:rPr>
        <w:t>"</w:t>
      </w:r>
      <w:r w:rsidRPr="00880703">
        <w:rPr>
          <w:b/>
          <w:szCs w:val="24"/>
          <w:vertAlign w:val="superscript"/>
        </w:rPr>
        <w:footnoteReference w:id="5"/>
      </w:r>
      <w:r w:rsidRPr="00880703">
        <w:rPr>
          <w:szCs w:val="24"/>
        </w:rPr>
        <w:t>;</w:t>
      </w:r>
    </w:p>
    <w:p w:rsidR="00B473FA" w:rsidRPr="00880703" w:rsidRDefault="00B473FA" w:rsidP="00B473FA">
      <w:pPr>
        <w:rPr>
          <w:szCs w:val="24"/>
        </w:rPr>
      </w:pPr>
    </w:p>
    <w:p w:rsidR="00B473FA" w:rsidRPr="00880703" w:rsidRDefault="00B473FA" w:rsidP="00B473FA">
      <w:pPr>
        <w:numPr>
          <w:ilvl w:val="0"/>
          <w:numId w:val="163"/>
        </w:numPr>
        <w:rPr>
          <w:szCs w:val="24"/>
        </w:rPr>
      </w:pPr>
      <w:r w:rsidRPr="00880703">
        <w:rPr>
          <w:szCs w:val="24"/>
        </w:rPr>
        <w:t>the Council Resolution of 14 February 2002 on the promotion of linguistic diversity and language learning</w:t>
      </w:r>
      <w:r w:rsidRPr="00880703">
        <w:rPr>
          <w:rStyle w:val="Fotnotsreferens"/>
          <w:szCs w:val="24"/>
        </w:rPr>
        <w:footnoteReference w:id="6"/>
      </w:r>
      <w:r w:rsidRPr="00880703">
        <w:rPr>
          <w:szCs w:val="24"/>
        </w:rPr>
        <w:t xml:space="preserve"> which emphasised, amongst other things, that:</w:t>
      </w:r>
    </w:p>
    <w:p w:rsidR="00B473FA" w:rsidRPr="00880703" w:rsidRDefault="00B473FA" w:rsidP="00B473FA">
      <w:pPr>
        <w:numPr>
          <w:ilvl w:val="1"/>
          <w:numId w:val="163"/>
        </w:numPr>
        <w:rPr>
          <w:i/>
          <w:szCs w:val="24"/>
        </w:rPr>
      </w:pPr>
      <w:r w:rsidRPr="00880703">
        <w:rPr>
          <w:i/>
          <w:szCs w:val="24"/>
        </w:rPr>
        <w:t xml:space="preserve">"the knowledge of languages is one of the basic skills which each citizen needs to acquire in order to take part effectively in the European knowledge society and therefore facilitates both integration into society and social cohesion"; </w:t>
      </w:r>
      <w:r w:rsidRPr="00880703">
        <w:rPr>
          <w:szCs w:val="24"/>
        </w:rPr>
        <w:t>and that</w:t>
      </w:r>
    </w:p>
    <w:p w:rsidR="00B473FA" w:rsidRPr="00880703" w:rsidRDefault="00B473FA" w:rsidP="00B473FA">
      <w:pPr>
        <w:numPr>
          <w:ilvl w:val="1"/>
          <w:numId w:val="163"/>
        </w:numPr>
        <w:rPr>
          <w:i/>
          <w:szCs w:val="24"/>
        </w:rPr>
      </w:pPr>
      <w:r w:rsidRPr="00880703">
        <w:rPr>
          <w:i/>
          <w:szCs w:val="24"/>
        </w:rPr>
        <w:t>"all European languages are equal in value and dignity from the cultural point of view and form an integral part of European culture and civilisation"</w:t>
      </w:r>
      <w:r w:rsidRPr="00880703">
        <w:rPr>
          <w:b/>
          <w:i/>
          <w:szCs w:val="24"/>
        </w:rPr>
        <w:t>,</w:t>
      </w:r>
    </w:p>
    <w:p w:rsidR="00B473FA" w:rsidRPr="00880703" w:rsidRDefault="00B473FA" w:rsidP="00B473FA">
      <w:pPr>
        <w:ind w:left="720"/>
        <w:rPr>
          <w:i/>
          <w:szCs w:val="24"/>
        </w:rPr>
      </w:pPr>
      <w:r w:rsidRPr="00880703">
        <w:rPr>
          <w:szCs w:val="24"/>
        </w:rPr>
        <w:t>and which invited the Member States</w:t>
      </w:r>
      <w:r w:rsidRPr="00880703">
        <w:rPr>
          <w:i/>
          <w:szCs w:val="24"/>
        </w:rPr>
        <w:t xml:space="preserve"> "to set up systems of validation of competence in language knowledge based on the Common European Framework of Reference for Languages developed by the Council of Europe";</w:t>
      </w:r>
    </w:p>
    <w:p w:rsidR="00B473FA" w:rsidRPr="00880703" w:rsidRDefault="00B473FA" w:rsidP="00B473FA">
      <w:pPr>
        <w:rPr>
          <w:szCs w:val="24"/>
        </w:rPr>
      </w:pPr>
      <w:r w:rsidRPr="00880703">
        <w:rPr>
          <w:szCs w:val="24"/>
        </w:rPr>
        <w:br w:type="page"/>
      </w:r>
    </w:p>
    <w:p w:rsidR="00B473FA" w:rsidRPr="00880703" w:rsidRDefault="00B473FA" w:rsidP="00B473FA">
      <w:pPr>
        <w:numPr>
          <w:ilvl w:val="0"/>
          <w:numId w:val="163"/>
        </w:numPr>
        <w:rPr>
          <w:szCs w:val="24"/>
        </w:rPr>
      </w:pPr>
      <w:r w:rsidRPr="00880703">
        <w:rPr>
          <w:szCs w:val="24"/>
        </w:rPr>
        <w:t>the Barcelona European Council Conclusions of 15-16 March 2002</w:t>
      </w:r>
      <w:r w:rsidRPr="00880703">
        <w:rPr>
          <w:b/>
          <w:szCs w:val="24"/>
          <w:vertAlign w:val="superscript"/>
        </w:rPr>
        <w:footnoteReference w:id="7"/>
      </w:r>
      <w:r w:rsidRPr="00880703">
        <w:rPr>
          <w:szCs w:val="24"/>
        </w:rPr>
        <w:t xml:space="preserve">, which </w:t>
      </w:r>
    </w:p>
    <w:p w:rsidR="00B473FA" w:rsidRPr="00880703" w:rsidRDefault="00B473FA" w:rsidP="00B473FA">
      <w:pPr>
        <w:numPr>
          <w:ilvl w:val="1"/>
          <w:numId w:val="163"/>
        </w:numPr>
        <w:rPr>
          <w:szCs w:val="24"/>
        </w:rPr>
      </w:pPr>
      <w:r w:rsidRPr="00880703">
        <w:rPr>
          <w:szCs w:val="24"/>
        </w:rPr>
        <w:t>endorsed the ‘detailed work programme on the follow-up of the objectives of education and training systems</w:t>
      </w:r>
      <w:r w:rsidRPr="00880703">
        <w:rPr>
          <w:b/>
          <w:szCs w:val="24"/>
          <w:vertAlign w:val="superscript"/>
        </w:rPr>
        <w:footnoteReference w:id="8"/>
      </w:r>
      <w:r w:rsidRPr="00880703">
        <w:rPr>
          <w:szCs w:val="24"/>
        </w:rPr>
        <w:t xml:space="preserve">, </w:t>
      </w:r>
    </w:p>
    <w:p w:rsidR="00B473FA" w:rsidRPr="00880703" w:rsidRDefault="00B473FA" w:rsidP="00B473FA">
      <w:pPr>
        <w:numPr>
          <w:ilvl w:val="1"/>
          <w:numId w:val="163"/>
        </w:numPr>
        <w:rPr>
          <w:szCs w:val="24"/>
        </w:rPr>
      </w:pPr>
      <w:r w:rsidRPr="00880703">
        <w:rPr>
          <w:szCs w:val="24"/>
        </w:rPr>
        <w:t xml:space="preserve">called for further action to improve the mastery of basic skills, in particular by teaching at least two foreign languages from a very early age; and </w:t>
      </w:r>
    </w:p>
    <w:p w:rsidR="00B473FA" w:rsidRPr="00880703" w:rsidRDefault="00B473FA" w:rsidP="00B473FA">
      <w:pPr>
        <w:numPr>
          <w:ilvl w:val="1"/>
          <w:numId w:val="163"/>
        </w:numPr>
        <w:rPr>
          <w:szCs w:val="24"/>
        </w:rPr>
      </w:pPr>
      <w:r w:rsidRPr="00880703">
        <w:rPr>
          <w:szCs w:val="24"/>
        </w:rPr>
        <w:t>called for the establishment of a linguistic competence indicator in 2003;</w:t>
      </w:r>
    </w:p>
    <w:p w:rsidR="00B473FA" w:rsidRPr="00880703" w:rsidRDefault="00B473FA" w:rsidP="00B473FA">
      <w:pPr>
        <w:ind w:left="360"/>
        <w:rPr>
          <w:szCs w:val="24"/>
        </w:rPr>
      </w:pPr>
    </w:p>
    <w:p w:rsidR="00B473FA" w:rsidRPr="00880703" w:rsidRDefault="00B473FA" w:rsidP="00B473FA">
      <w:pPr>
        <w:pStyle w:val="ind"/>
        <w:numPr>
          <w:ilvl w:val="0"/>
          <w:numId w:val="163"/>
        </w:numPr>
      </w:pPr>
      <w:r w:rsidRPr="00880703">
        <w:t>the Council conclusions on new indicators in the fields of education and training of May 2005</w:t>
      </w:r>
      <w:r w:rsidRPr="00880703">
        <w:rPr>
          <w:rStyle w:val="Fotnotsreferens"/>
          <w:szCs w:val="24"/>
        </w:rPr>
        <w:footnoteReference w:id="9"/>
      </w:r>
    </w:p>
    <w:p w:rsidR="00B473FA" w:rsidRPr="00880703" w:rsidRDefault="00B473FA" w:rsidP="00B473FA">
      <w:pPr>
        <w:pStyle w:val="ind"/>
        <w:numPr>
          <w:ilvl w:val="0"/>
          <w:numId w:val="0"/>
        </w:numPr>
        <w:ind w:left="360"/>
      </w:pPr>
    </w:p>
    <w:p w:rsidR="00B473FA" w:rsidRPr="00880703" w:rsidRDefault="00B473FA" w:rsidP="00B473FA">
      <w:pPr>
        <w:numPr>
          <w:ilvl w:val="0"/>
          <w:numId w:val="163"/>
        </w:numPr>
        <w:rPr>
          <w:szCs w:val="24"/>
        </w:rPr>
      </w:pPr>
      <w:r w:rsidRPr="00880703">
        <w:rPr>
          <w:szCs w:val="24"/>
        </w:rPr>
        <w:t>the Communication from the Commission to the European Parliament and the Council entitled "</w:t>
      </w:r>
      <w:r w:rsidRPr="00880703">
        <w:rPr>
          <w:i/>
          <w:szCs w:val="24"/>
        </w:rPr>
        <w:t>The European Indicator of Language Competence</w:t>
      </w:r>
      <w:r w:rsidRPr="00880703">
        <w:rPr>
          <w:szCs w:val="24"/>
        </w:rPr>
        <w:t>"</w:t>
      </w:r>
      <w:r w:rsidRPr="00880703">
        <w:rPr>
          <w:rStyle w:val="Fotnotsreferens"/>
          <w:szCs w:val="24"/>
        </w:rPr>
        <w:footnoteReference w:id="10"/>
      </w:r>
      <w:r w:rsidRPr="00880703">
        <w:rPr>
          <w:szCs w:val="24"/>
        </w:rPr>
        <w:t>;</w:t>
      </w:r>
    </w:p>
    <w:p w:rsidR="00B473FA" w:rsidRPr="00880703" w:rsidRDefault="00B473FA" w:rsidP="00B473FA">
      <w:pPr>
        <w:pStyle w:val="ind"/>
        <w:numPr>
          <w:ilvl w:val="0"/>
          <w:numId w:val="0"/>
        </w:numPr>
      </w:pPr>
    </w:p>
    <w:p w:rsidR="00B473FA" w:rsidRPr="00880703" w:rsidRDefault="00B473FA" w:rsidP="00B473FA">
      <w:pPr>
        <w:numPr>
          <w:ilvl w:val="0"/>
          <w:numId w:val="163"/>
        </w:numPr>
        <w:rPr>
          <w:szCs w:val="24"/>
        </w:rPr>
      </w:pPr>
      <w:r w:rsidRPr="00880703">
        <w:rPr>
          <w:szCs w:val="24"/>
        </w:rPr>
        <w:t xml:space="preserve">the draft recommendation of the European Parliament and of the Council on key competences for lifelong learning </w:t>
      </w:r>
      <w:r w:rsidRPr="00880703">
        <w:rPr>
          <w:rStyle w:val="Fotnotsreferens"/>
          <w:szCs w:val="24"/>
        </w:rPr>
        <w:footnoteReference w:id="11"/>
      </w:r>
      <w:r w:rsidRPr="00880703">
        <w:rPr>
          <w:szCs w:val="24"/>
        </w:rPr>
        <w:t>, which defines communication in a foreign language as a key competence;</w:t>
      </w:r>
    </w:p>
    <w:p w:rsidR="00B473FA" w:rsidRPr="00880703" w:rsidRDefault="00B473FA" w:rsidP="00B473FA">
      <w:pPr>
        <w:spacing w:line="240" w:lineRule="auto"/>
        <w:ind w:left="360"/>
        <w:rPr>
          <w:b/>
          <w:szCs w:val="24"/>
        </w:rPr>
      </w:pPr>
    </w:p>
    <w:p w:rsidR="00B473FA" w:rsidRPr="00880703" w:rsidRDefault="00B473FA" w:rsidP="00B473FA">
      <w:pPr>
        <w:numPr>
          <w:ilvl w:val="0"/>
          <w:numId w:val="163"/>
        </w:numPr>
        <w:rPr>
          <w:szCs w:val="24"/>
        </w:rPr>
      </w:pPr>
      <w:r w:rsidRPr="00880703">
        <w:rPr>
          <w:szCs w:val="24"/>
        </w:rPr>
        <w:t>the Communication from the Commission to the Council, the European Parliament, the European Economic and Social Committee and the Committee of the Regions entitled «</w:t>
      </w:r>
      <w:r w:rsidRPr="00880703">
        <w:rPr>
          <w:i/>
          <w:szCs w:val="24"/>
        </w:rPr>
        <w:t>A New Framework Strategy for Multilingualism</w:t>
      </w:r>
      <w:r w:rsidRPr="00880703">
        <w:rPr>
          <w:szCs w:val="24"/>
        </w:rPr>
        <w:t>»</w:t>
      </w:r>
      <w:r w:rsidRPr="00880703">
        <w:rPr>
          <w:rStyle w:val="Fotnotsreferens"/>
          <w:szCs w:val="24"/>
        </w:rPr>
        <w:footnoteReference w:id="12"/>
      </w:r>
      <w:r w:rsidRPr="00880703">
        <w:rPr>
          <w:szCs w:val="24"/>
        </w:rPr>
        <w:t>,</w:t>
      </w:r>
    </w:p>
    <w:p w:rsidR="00B473FA" w:rsidRPr="00880703" w:rsidRDefault="00B473FA" w:rsidP="00B473FA">
      <w:pPr>
        <w:ind w:left="360"/>
        <w:rPr>
          <w:szCs w:val="24"/>
        </w:rPr>
      </w:pPr>
    </w:p>
    <w:p w:rsidR="00B473FA" w:rsidRPr="00880703" w:rsidRDefault="00B473FA" w:rsidP="00B473FA">
      <w:pPr>
        <w:rPr>
          <w:szCs w:val="24"/>
        </w:rPr>
      </w:pPr>
      <w:r w:rsidRPr="00880703">
        <w:rPr>
          <w:szCs w:val="24"/>
        </w:rPr>
        <w:br w:type="page"/>
        <w:t>REAFFIRMS that</w:t>
      </w:r>
    </w:p>
    <w:p w:rsidR="00B473FA" w:rsidRPr="00880703" w:rsidRDefault="00B473FA" w:rsidP="00B473FA">
      <w:pPr>
        <w:rPr>
          <w:szCs w:val="24"/>
        </w:rPr>
      </w:pPr>
    </w:p>
    <w:p w:rsidR="00B473FA" w:rsidRPr="00880703" w:rsidRDefault="00B473FA" w:rsidP="00B473FA">
      <w:pPr>
        <w:numPr>
          <w:ilvl w:val="0"/>
          <w:numId w:val="163"/>
        </w:numPr>
        <w:rPr>
          <w:szCs w:val="24"/>
        </w:rPr>
      </w:pPr>
      <w:r w:rsidRPr="00880703">
        <w:rPr>
          <w:szCs w:val="24"/>
        </w:rPr>
        <w:t>foreign language skills, as well as helping to foster mutual understanding between peoples, are a prerequisite for a mobile workforce and contribute to the competitivity of the European Union economy;</w:t>
      </w:r>
    </w:p>
    <w:p w:rsidR="00B473FA" w:rsidRPr="00880703" w:rsidRDefault="00B473FA" w:rsidP="00B473FA">
      <w:pPr>
        <w:rPr>
          <w:szCs w:val="24"/>
        </w:rPr>
      </w:pPr>
    </w:p>
    <w:p w:rsidR="00B473FA" w:rsidRPr="00880703" w:rsidRDefault="00B473FA" w:rsidP="00B473FA">
      <w:pPr>
        <w:numPr>
          <w:ilvl w:val="0"/>
          <w:numId w:val="163"/>
        </w:numPr>
        <w:rPr>
          <w:szCs w:val="24"/>
        </w:rPr>
      </w:pPr>
      <w:r w:rsidRPr="00880703">
        <w:rPr>
          <w:szCs w:val="24"/>
        </w:rPr>
        <w:t>periodic monitoring of performance through the use of indicators and benchmarks is an essential part of the Lisbon process, allowing good practice to be identified with a view to providing strategic guidance and steering for both short and long term measures of the "Education and Training 2010" work programme;</w:t>
      </w:r>
    </w:p>
    <w:p w:rsidR="00B473FA" w:rsidRPr="00880703" w:rsidRDefault="00B473FA" w:rsidP="00B473FA">
      <w:pPr>
        <w:ind w:left="360"/>
        <w:rPr>
          <w:szCs w:val="24"/>
        </w:rPr>
      </w:pPr>
    </w:p>
    <w:p w:rsidR="00B473FA" w:rsidRPr="00880703" w:rsidRDefault="00B473FA" w:rsidP="00B473FA">
      <w:pPr>
        <w:rPr>
          <w:szCs w:val="24"/>
        </w:rPr>
      </w:pPr>
    </w:p>
    <w:p w:rsidR="00B473FA" w:rsidRPr="00880703" w:rsidRDefault="00B473FA" w:rsidP="00B473FA">
      <w:pPr>
        <w:outlineLvl w:val="0"/>
        <w:rPr>
          <w:szCs w:val="24"/>
        </w:rPr>
      </w:pPr>
      <w:r w:rsidRPr="00880703">
        <w:rPr>
          <w:szCs w:val="24"/>
        </w:rPr>
        <w:t>RECOGNISES that</w:t>
      </w:r>
    </w:p>
    <w:p w:rsidR="00B473FA" w:rsidRPr="00880703" w:rsidRDefault="00B473FA" w:rsidP="00B473FA">
      <w:pPr>
        <w:rPr>
          <w:szCs w:val="24"/>
        </w:rPr>
      </w:pPr>
    </w:p>
    <w:p w:rsidR="00B473FA" w:rsidRPr="00880703" w:rsidRDefault="00B473FA" w:rsidP="00B473FA">
      <w:pPr>
        <w:numPr>
          <w:ilvl w:val="0"/>
          <w:numId w:val="163"/>
        </w:numPr>
        <w:rPr>
          <w:szCs w:val="24"/>
        </w:rPr>
      </w:pPr>
      <w:r w:rsidRPr="00880703">
        <w:rPr>
          <w:szCs w:val="24"/>
        </w:rPr>
        <w:t>measures are needed to remedy the current absence of reliable comparative data on the outcomes of foreign language teaching and learning;</w:t>
      </w:r>
    </w:p>
    <w:p w:rsidR="00B473FA" w:rsidRPr="00880703" w:rsidRDefault="00B473FA" w:rsidP="00B473FA">
      <w:pPr>
        <w:rPr>
          <w:szCs w:val="24"/>
        </w:rPr>
      </w:pPr>
    </w:p>
    <w:p w:rsidR="00B473FA" w:rsidRPr="00880703" w:rsidRDefault="00B473FA" w:rsidP="00B473FA">
      <w:pPr>
        <w:numPr>
          <w:ilvl w:val="0"/>
          <w:numId w:val="163"/>
        </w:numPr>
        <w:rPr>
          <w:szCs w:val="24"/>
        </w:rPr>
      </w:pPr>
      <w:r w:rsidRPr="00880703">
        <w:rPr>
          <w:szCs w:val="24"/>
        </w:rPr>
        <w:t>such measures must be based upon the gathering of data through objective tests of language skills, developed and administered in such a way as to ensure the reliability, accuracy and validity of those data;</w:t>
      </w:r>
    </w:p>
    <w:p w:rsidR="00B473FA" w:rsidRPr="00880703" w:rsidRDefault="00B473FA" w:rsidP="00B473FA">
      <w:pPr>
        <w:rPr>
          <w:szCs w:val="24"/>
        </w:rPr>
      </w:pPr>
    </w:p>
    <w:p w:rsidR="00B473FA" w:rsidRPr="00880703" w:rsidRDefault="00B473FA" w:rsidP="00B473FA">
      <w:pPr>
        <w:numPr>
          <w:ilvl w:val="0"/>
          <w:numId w:val="163"/>
        </w:numPr>
        <w:rPr>
          <w:szCs w:val="24"/>
        </w:rPr>
      </w:pPr>
      <w:r w:rsidRPr="00880703">
        <w:rPr>
          <w:szCs w:val="24"/>
        </w:rPr>
        <w:t>such data have the potential to help identify and share good practice in language education policies and language teaching methods through an enhanced exchange of information and experience;</w:t>
      </w:r>
    </w:p>
    <w:p w:rsidR="00B473FA" w:rsidRPr="00880703" w:rsidRDefault="00B473FA" w:rsidP="00B473FA">
      <w:pPr>
        <w:ind w:left="360"/>
        <w:rPr>
          <w:szCs w:val="24"/>
        </w:rPr>
      </w:pPr>
    </w:p>
    <w:p w:rsidR="00B473FA" w:rsidRPr="00880703" w:rsidRDefault="00B473FA" w:rsidP="00B473FA">
      <w:pPr>
        <w:numPr>
          <w:ilvl w:val="0"/>
          <w:numId w:val="163"/>
        </w:numPr>
        <w:rPr>
          <w:szCs w:val="24"/>
        </w:rPr>
      </w:pPr>
      <w:r w:rsidRPr="00880703">
        <w:rPr>
          <w:szCs w:val="24"/>
        </w:rPr>
        <w:t xml:space="preserve">Member States need a clearer picture of the practical and financial arrangements they will each need to make in order to implement the European Indicator of Language Competence; </w:t>
      </w:r>
    </w:p>
    <w:p w:rsidR="00B473FA" w:rsidRPr="00880703" w:rsidRDefault="00B473FA" w:rsidP="00B473FA">
      <w:pPr>
        <w:rPr>
          <w:szCs w:val="24"/>
        </w:rPr>
      </w:pPr>
      <w:r w:rsidRPr="00880703">
        <w:rPr>
          <w:szCs w:val="24"/>
        </w:rPr>
        <w:br w:type="page"/>
        <w:t>STRESSES that</w:t>
      </w:r>
    </w:p>
    <w:p w:rsidR="00B473FA" w:rsidRPr="00880703" w:rsidRDefault="00B473FA" w:rsidP="00B473FA">
      <w:pPr>
        <w:spacing w:line="240" w:lineRule="auto"/>
        <w:rPr>
          <w:szCs w:val="24"/>
        </w:rPr>
      </w:pPr>
    </w:p>
    <w:p w:rsidR="00B473FA" w:rsidRPr="00880703" w:rsidRDefault="00B473FA" w:rsidP="00B473FA">
      <w:pPr>
        <w:numPr>
          <w:ilvl w:val="0"/>
          <w:numId w:val="165"/>
        </w:numPr>
        <w:rPr>
          <w:szCs w:val="24"/>
        </w:rPr>
      </w:pPr>
      <w:r w:rsidRPr="00880703">
        <w:rPr>
          <w:szCs w:val="24"/>
        </w:rPr>
        <w:t>the development of the Indicator should fully respect the responsibility of Member States for the organisation of their education systems and should not impose undue administrative or financial burdens on the organisation and institutions concerned;</w:t>
      </w:r>
    </w:p>
    <w:p w:rsidR="00B473FA" w:rsidRPr="00880703" w:rsidRDefault="00B473FA" w:rsidP="00B473FA">
      <w:pPr>
        <w:spacing w:line="240" w:lineRule="auto"/>
        <w:rPr>
          <w:color w:val="999999"/>
          <w:szCs w:val="24"/>
        </w:rPr>
      </w:pPr>
    </w:p>
    <w:p w:rsidR="00B473FA" w:rsidRPr="00880703" w:rsidRDefault="00B473FA" w:rsidP="00B473FA">
      <w:pPr>
        <w:numPr>
          <w:ilvl w:val="0"/>
          <w:numId w:val="164"/>
        </w:numPr>
        <w:rPr>
          <w:szCs w:val="24"/>
        </w:rPr>
      </w:pPr>
      <w:r w:rsidRPr="00880703">
        <w:rPr>
          <w:szCs w:val="24"/>
        </w:rPr>
        <w:t>the method for data-gathering should take account of previous work in the field at international, Union and Member State level, and be devised and implemented in a cost-effective manner;</w:t>
      </w:r>
    </w:p>
    <w:p w:rsidR="00B473FA" w:rsidRPr="00880703" w:rsidRDefault="00B473FA" w:rsidP="00B473FA">
      <w:pPr>
        <w:spacing w:line="240" w:lineRule="auto"/>
        <w:ind w:left="360"/>
        <w:rPr>
          <w:szCs w:val="24"/>
        </w:rPr>
      </w:pPr>
    </w:p>
    <w:p w:rsidR="00B473FA" w:rsidRPr="00880703" w:rsidRDefault="00B473FA" w:rsidP="00B473FA">
      <w:pPr>
        <w:numPr>
          <w:ilvl w:val="0"/>
          <w:numId w:val="164"/>
        </w:numPr>
        <w:rPr>
          <w:szCs w:val="24"/>
        </w:rPr>
      </w:pPr>
      <w:r w:rsidRPr="00880703">
        <w:rPr>
          <w:szCs w:val="24"/>
        </w:rPr>
        <w:t>the European Indicator of Language Competence shall be put in place as soon as possible, in accordance with the following terms of reference:</w:t>
      </w:r>
    </w:p>
    <w:p w:rsidR="00B473FA" w:rsidRPr="00880703" w:rsidRDefault="00B473FA" w:rsidP="00B473FA">
      <w:pPr>
        <w:spacing w:line="240" w:lineRule="auto"/>
        <w:ind w:left="360"/>
        <w:rPr>
          <w:szCs w:val="24"/>
        </w:rPr>
      </w:pPr>
    </w:p>
    <w:p w:rsidR="00B473FA" w:rsidRPr="00880703" w:rsidRDefault="00B473FA" w:rsidP="00B473FA">
      <w:pPr>
        <w:numPr>
          <w:ilvl w:val="1"/>
          <w:numId w:val="163"/>
        </w:numPr>
        <w:rPr>
          <w:szCs w:val="24"/>
        </w:rPr>
      </w:pPr>
      <w:r w:rsidRPr="00880703">
        <w:rPr>
          <w:szCs w:val="24"/>
        </w:rPr>
        <w:t>data should be gathered on competences in first and second foreign languages:</w:t>
      </w:r>
    </w:p>
    <w:p w:rsidR="00B473FA" w:rsidRPr="00880703" w:rsidRDefault="00B473FA" w:rsidP="00B473FA">
      <w:pPr>
        <w:numPr>
          <w:ilvl w:val="2"/>
          <w:numId w:val="163"/>
        </w:numPr>
        <w:rPr>
          <w:szCs w:val="24"/>
        </w:rPr>
      </w:pPr>
      <w:r w:rsidRPr="00880703">
        <w:rPr>
          <w:szCs w:val="24"/>
        </w:rPr>
        <w:t>via a common suite of tests administered to a representative sample of the target population in each Member State;</w:t>
      </w:r>
    </w:p>
    <w:p w:rsidR="000B5FD4" w:rsidRPr="00880703" w:rsidRDefault="002061DF" w:rsidP="00B473FA">
      <w:pPr>
        <w:numPr>
          <w:ilvl w:val="2"/>
          <w:numId w:val="163"/>
        </w:numPr>
        <w:rPr>
          <w:szCs w:val="24"/>
        </w:rPr>
      </w:pPr>
      <w:r w:rsidRPr="00880703">
        <w:rPr>
          <w:rStyle w:val="Fotnotsreferens"/>
          <w:szCs w:val="24"/>
        </w:rPr>
        <w:footnoteReference w:id="13"/>
      </w:r>
      <w:r w:rsidRPr="00880703">
        <w:rPr>
          <w:szCs w:val="24"/>
        </w:rPr>
        <w:t xml:space="preserve"> </w:t>
      </w:r>
      <w:r w:rsidR="00B473FA" w:rsidRPr="00880703">
        <w:rPr>
          <w:szCs w:val="24"/>
        </w:rPr>
        <w:t>from a representative sample of pupils in education and training at the end of</w:t>
      </w:r>
      <w:r w:rsidR="00B473FA" w:rsidRPr="00880703">
        <w:rPr>
          <w:b/>
          <w:szCs w:val="24"/>
        </w:rPr>
        <w:t xml:space="preserve"> </w:t>
      </w:r>
      <w:r w:rsidR="00B473FA" w:rsidRPr="00880703">
        <w:rPr>
          <w:szCs w:val="24"/>
        </w:rPr>
        <w:t>ISCED level 2;</w:t>
      </w:r>
    </w:p>
    <w:p w:rsidR="00B473FA" w:rsidRPr="00880703" w:rsidRDefault="000B5FD4" w:rsidP="000B5FD4">
      <w:pPr>
        <w:ind w:left="1800"/>
        <w:rPr>
          <w:szCs w:val="24"/>
        </w:rPr>
      </w:pPr>
      <w:r w:rsidRPr="00880703">
        <w:rPr>
          <w:szCs w:val="24"/>
        </w:rPr>
        <w:br w:type="page"/>
      </w:r>
    </w:p>
    <w:p w:rsidR="00B473FA" w:rsidRPr="00880703" w:rsidRDefault="002061DF" w:rsidP="00B473FA">
      <w:pPr>
        <w:numPr>
          <w:ilvl w:val="2"/>
          <w:numId w:val="163"/>
        </w:numPr>
        <w:rPr>
          <w:szCs w:val="24"/>
        </w:rPr>
      </w:pPr>
      <w:r w:rsidRPr="00880703">
        <w:rPr>
          <w:b/>
          <w:color w:val="000000"/>
          <w:szCs w:val="24"/>
          <w:vertAlign w:val="superscript"/>
        </w:rPr>
        <w:t xml:space="preserve">12 </w:t>
      </w:r>
      <w:r w:rsidR="00B473FA" w:rsidRPr="00880703">
        <w:rPr>
          <w:color w:val="000000"/>
          <w:szCs w:val="24"/>
        </w:rPr>
        <w:t>where a second foreign language is not taught before</w:t>
      </w:r>
      <w:r w:rsidR="00B473FA" w:rsidRPr="00880703">
        <w:rPr>
          <w:color w:val="000000"/>
        </w:rPr>
        <w:t xml:space="preserve"> </w:t>
      </w:r>
      <w:r w:rsidR="00B473FA" w:rsidRPr="00880703">
        <w:rPr>
          <w:color w:val="000000"/>
          <w:szCs w:val="24"/>
        </w:rPr>
        <w:t>the end of ISCED 2, Member States may, in the first</w:t>
      </w:r>
      <w:r w:rsidR="00B473FA" w:rsidRPr="00880703">
        <w:rPr>
          <w:color w:val="000000"/>
        </w:rPr>
        <w:t xml:space="preserve"> </w:t>
      </w:r>
      <w:r w:rsidR="00B473FA" w:rsidRPr="00880703">
        <w:rPr>
          <w:color w:val="000000"/>
          <w:szCs w:val="24"/>
        </w:rPr>
        <w:t xml:space="preserve">round of data-gathering, choose to gather data </w:t>
      </w:r>
      <w:r w:rsidR="00B473FA" w:rsidRPr="00880703">
        <w:rPr>
          <w:b/>
          <w:color w:val="000000"/>
          <w:szCs w:val="24"/>
        </w:rPr>
        <w:t>for the second foreign language</w:t>
      </w:r>
      <w:r w:rsidR="00B473FA" w:rsidRPr="00880703">
        <w:rPr>
          <w:color w:val="000000"/>
          <w:szCs w:val="24"/>
        </w:rPr>
        <w:t xml:space="preserve"> from</w:t>
      </w:r>
      <w:r w:rsidR="00B473FA" w:rsidRPr="00880703">
        <w:rPr>
          <w:color w:val="000000"/>
        </w:rPr>
        <w:t xml:space="preserve"> </w:t>
      </w:r>
      <w:r w:rsidR="00B473FA" w:rsidRPr="00880703">
        <w:rPr>
          <w:color w:val="000000"/>
          <w:szCs w:val="24"/>
        </w:rPr>
        <w:t xml:space="preserve">pupils </w:t>
      </w:r>
      <w:r w:rsidR="00B473FA" w:rsidRPr="00880703">
        <w:rPr>
          <w:b/>
          <w:color w:val="000000"/>
          <w:szCs w:val="24"/>
        </w:rPr>
        <w:t>at the level of</w:t>
      </w:r>
      <w:r w:rsidR="00B473FA" w:rsidRPr="00880703">
        <w:rPr>
          <w:color w:val="000000"/>
          <w:szCs w:val="24"/>
        </w:rPr>
        <w:t xml:space="preserve"> ISCED 3</w:t>
      </w:r>
      <w:r w:rsidR="00B473FA" w:rsidRPr="00880703">
        <w:rPr>
          <w:color w:val="000000"/>
        </w:rPr>
        <w:t>;</w:t>
      </w:r>
    </w:p>
    <w:p w:rsidR="001535ED" w:rsidRPr="00880703" w:rsidRDefault="00B473FA" w:rsidP="00B473FA">
      <w:pPr>
        <w:numPr>
          <w:ilvl w:val="2"/>
          <w:numId w:val="163"/>
        </w:numPr>
        <w:rPr>
          <w:szCs w:val="24"/>
        </w:rPr>
      </w:pPr>
      <w:r w:rsidRPr="00880703">
        <w:rPr>
          <w:szCs w:val="24"/>
        </w:rPr>
        <w:t>for those languages for which there exists a suitable representative sample of learners in a given Member State;</w:t>
      </w:r>
    </w:p>
    <w:p w:rsidR="00B473FA" w:rsidRPr="00880703" w:rsidRDefault="00B473FA" w:rsidP="00B473FA">
      <w:pPr>
        <w:numPr>
          <w:ilvl w:val="1"/>
          <w:numId w:val="163"/>
        </w:numPr>
        <w:rPr>
          <w:szCs w:val="24"/>
        </w:rPr>
      </w:pPr>
      <w:r w:rsidRPr="00880703">
        <w:rPr>
          <w:szCs w:val="24"/>
        </w:rPr>
        <w:t>test scores should be based on the scales of the Common European Framework of Reference for Languages</w:t>
      </w:r>
      <w:r w:rsidRPr="00880703">
        <w:rPr>
          <w:szCs w:val="24"/>
          <w:vertAlign w:val="superscript"/>
        </w:rPr>
        <w:footnoteReference w:id="14"/>
      </w:r>
      <w:r w:rsidRPr="00880703">
        <w:rPr>
          <w:szCs w:val="24"/>
        </w:rPr>
        <w:t>;</w:t>
      </w:r>
    </w:p>
    <w:p w:rsidR="00B473FA" w:rsidRPr="00880703" w:rsidRDefault="00B473FA" w:rsidP="00B473FA">
      <w:pPr>
        <w:numPr>
          <w:ilvl w:val="1"/>
          <w:numId w:val="163"/>
        </w:numPr>
        <w:rPr>
          <w:szCs w:val="24"/>
        </w:rPr>
      </w:pPr>
      <w:r w:rsidRPr="00880703">
        <w:rPr>
          <w:szCs w:val="24"/>
        </w:rPr>
        <w:t>because respect for linguistic diversity is a core value of the European Union, the Indicator should be based upon data concerning the knowledge of all the official languages of the European Union taught as foreign languages in the Union; but for practical reasons it would be advisable, in the first round of data-gathering, for tests to be made available in those official languages of the European Union  that are most widely taught in the Member States, to the extent that they provide a sufficiently large sample of testees ;</w:t>
      </w:r>
    </w:p>
    <w:p w:rsidR="00B473FA" w:rsidRPr="00880703" w:rsidRDefault="00B473FA" w:rsidP="00B473FA">
      <w:pPr>
        <w:numPr>
          <w:ilvl w:val="1"/>
          <w:numId w:val="163"/>
        </w:numPr>
        <w:rPr>
          <w:szCs w:val="24"/>
        </w:rPr>
      </w:pPr>
      <w:r w:rsidRPr="00880703">
        <w:rPr>
          <w:szCs w:val="24"/>
        </w:rPr>
        <w:t>Member States shall themselves determine which of those official languages are to be tested</w:t>
      </w:r>
      <w:r w:rsidRPr="00880703">
        <w:rPr>
          <w:b/>
          <w:szCs w:val="24"/>
        </w:rPr>
        <w:t>;</w:t>
      </w:r>
    </w:p>
    <w:p w:rsidR="00B473FA" w:rsidRPr="00880703" w:rsidRDefault="00B473FA" w:rsidP="00B473FA">
      <w:pPr>
        <w:numPr>
          <w:ilvl w:val="1"/>
          <w:numId w:val="163"/>
        </w:numPr>
        <w:rPr>
          <w:szCs w:val="24"/>
        </w:rPr>
      </w:pPr>
      <w:r w:rsidRPr="00880703">
        <w:rPr>
          <w:szCs w:val="24"/>
        </w:rPr>
        <w:t>the Indicator should assess competence in the four productive and receptive skills; but for practical reasons it would be advisable, in the first round of data-gathering, for tests to be made available in the three language skills which may be assessed most readily (i.e. listening comprehension, reading comprehension and writing);</w:t>
      </w:r>
    </w:p>
    <w:p w:rsidR="00B473FA" w:rsidRPr="00880703" w:rsidRDefault="00B473FA" w:rsidP="00B473FA">
      <w:pPr>
        <w:numPr>
          <w:ilvl w:val="1"/>
          <w:numId w:val="163"/>
        </w:numPr>
        <w:rPr>
          <w:szCs w:val="24"/>
        </w:rPr>
      </w:pPr>
      <w:r w:rsidRPr="00880703">
        <w:rPr>
          <w:szCs w:val="24"/>
        </w:rPr>
        <w:t xml:space="preserve">the testing methodology should be made available to those Member States who wish to use it for their own development of tests in other languages; </w:t>
      </w:r>
    </w:p>
    <w:p w:rsidR="00B473FA" w:rsidRPr="00880703" w:rsidRDefault="00B473FA" w:rsidP="00B473FA">
      <w:pPr>
        <w:numPr>
          <w:ilvl w:val="1"/>
          <w:numId w:val="163"/>
        </w:numPr>
        <w:rPr>
          <w:szCs w:val="24"/>
        </w:rPr>
      </w:pPr>
      <w:r w:rsidRPr="00880703">
        <w:rPr>
          <w:szCs w:val="24"/>
        </w:rPr>
        <w:t>appropriate contextual information to help assess underlying factors should also be gathered;</w:t>
      </w:r>
    </w:p>
    <w:p w:rsidR="00B473FA" w:rsidRPr="00880703" w:rsidRDefault="00B473FA" w:rsidP="00B473FA">
      <w:pPr>
        <w:rPr>
          <w:szCs w:val="24"/>
        </w:rPr>
      </w:pPr>
    </w:p>
    <w:p w:rsidR="00B473FA" w:rsidRPr="00880703" w:rsidRDefault="00C90199" w:rsidP="00B473FA">
      <w:pPr>
        <w:rPr>
          <w:szCs w:val="24"/>
        </w:rPr>
      </w:pPr>
      <w:r w:rsidRPr="00880703">
        <w:rPr>
          <w:szCs w:val="24"/>
        </w:rPr>
        <w:br w:type="page"/>
      </w:r>
      <w:bookmarkStart w:id="18" w:name="ControlPages"/>
      <w:bookmarkEnd w:id="18"/>
    </w:p>
    <w:p w:rsidR="00B473FA" w:rsidRPr="00880703" w:rsidRDefault="00B473FA" w:rsidP="00B473FA">
      <w:pPr>
        <w:rPr>
          <w:szCs w:val="24"/>
        </w:rPr>
      </w:pPr>
      <w:r w:rsidRPr="00880703">
        <w:rPr>
          <w:szCs w:val="24"/>
        </w:rPr>
        <w:t>INVITES the Commission to:</w:t>
      </w:r>
    </w:p>
    <w:p w:rsidR="00B473FA" w:rsidRPr="00880703" w:rsidRDefault="00B473FA" w:rsidP="00B473FA">
      <w:pPr>
        <w:rPr>
          <w:szCs w:val="24"/>
        </w:rPr>
      </w:pPr>
    </w:p>
    <w:p w:rsidR="00B473FA" w:rsidRPr="00880703" w:rsidRDefault="00B473FA" w:rsidP="00B473FA">
      <w:pPr>
        <w:numPr>
          <w:ilvl w:val="0"/>
          <w:numId w:val="166"/>
        </w:numPr>
        <w:rPr>
          <w:szCs w:val="24"/>
        </w:rPr>
      </w:pPr>
      <w:r w:rsidRPr="00880703">
        <w:rPr>
          <w:szCs w:val="24"/>
        </w:rPr>
        <w:t xml:space="preserve">set up, at the earliest opportunity, an Advisory Board composed of a representative of each Member State and one representative of the Council of Europe (the “EILC Advisory Board”) whose mandate shall be to advise the Commission on technical matters, such as: </w:t>
      </w:r>
    </w:p>
    <w:p w:rsidR="00B473FA" w:rsidRPr="00880703" w:rsidRDefault="00B473FA" w:rsidP="00B473FA">
      <w:pPr>
        <w:numPr>
          <w:ilvl w:val="0"/>
          <w:numId w:val="168"/>
        </w:numPr>
        <w:tabs>
          <w:tab w:val="clear" w:pos="1080"/>
          <w:tab w:val="num" w:pos="1440"/>
        </w:tabs>
        <w:ind w:left="1440"/>
        <w:rPr>
          <w:szCs w:val="24"/>
        </w:rPr>
      </w:pPr>
      <w:r w:rsidRPr="00880703">
        <w:rPr>
          <w:szCs w:val="24"/>
        </w:rPr>
        <w:t>the specification of the tender for the creation of the testing instruments;</w:t>
      </w:r>
    </w:p>
    <w:p w:rsidR="00B473FA" w:rsidRPr="00880703" w:rsidRDefault="00B473FA" w:rsidP="00B473FA">
      <w:pPr>
        <w:numPr>
          <w:ilvl w:val="0"/>
          <w:numId w:val="168"/>
        </w:numPr>
        <w:tabs>
          <w:tab w:val="clear" w:pos="1080"/>
          <w:tab w:val="num" w:pos="1440"/>
        </w:tabs>
        <w:ind w:left="1440"/>
        <w:rPr>
          <w:szCs w:val="24"/>
        </w:rPr>
      </w:pPr>
      <w:r w:rsidRPr="00880703">
        <w:rPr>
          <w:szCs w:val="24"/>
        </w:rPr>
        <w:t xml:space="preserve">the assessment of the work of the contractor; </w:t>
      </w:r>
    </w:p>
    <w:p w:rsidR="00B473FA" w:rsidRPr="00880703" w:rsidRDefault="00B473FA" w:rsidP="00B473FA">
      <w:pPr>
        <w:numPr>
          <w:ilvl w:val="0"/>
          <w:numId w:val="168"/>
        </w:numPr>
        <w:tabs>
          <w:tab w:val="clear" w:pos="1080"/>
          <w:tab w:val="num" w:pos="1440"/>
        </w:tabs>
        <w:ind w:left="1440"/>
        <w:rPr>
          <w:b/>
          <w:szCs w:val="24"/>
        </w:rPr>
      </w:pPr>
      <w:r w:rsidRPr="00880703">
        <w:rPr>
          <w:szCs w:val="24"/>
        </w:rPr>
        <w:t>the appropriate arrangements, standards and technical protocols for data-gathering activities in the Member States;</w:t>
      </w:r>
    </w:p>
    <w:p w:rsidR="00B473FA" w:rsidRPr="00880703" w:rsidRDefault="00B473FA" w:rsidP="00B473FA">
      <w:pPr>
        <w:spacing w:line="240" w:lineRule="auto"/>
        <w:ind w:left="360"/>
        <w:rPr>
          <w:b/>
          <w:szCs w:val="24"/>
        </w:rPr>
      </w:pPr>
    </w:p>
    <w:p w:rsidR="00B473FA" w:rsidRPr="00880703" w:rsidRDefault="00B473FA" w:rsidP="00B473FA">
      <w:pPr>
        <w:numPr>
          <w:ilvl w:val="0"/>
          <w:numId w:val="166"/>
        </w:numPr>
        <w:rPr>
          <w:szCs w:val="24"/>
        </w:rPr>
      </w:pPr>
      <w:r w:rsidRPr="00880703">
        <w:rPr>
          <w:szCs w:val="24"/>
        </w:rPr>
        <w:t>in order to assist Member States to define the organisational and resource implications for them, give this Board the initial task of bringing forward a timetable for the work and a more detailed description of the construction and administration of the tests, including:</w:t>
      </w:r>
    </w:p>
    <w:p w:rsidR="00B473FA" w:rsidRPr="00880703" w:rsidRDefault="00B473FA" w:rsidP="00B473FA">
      <w:pPr>
        <w:numPr>
          <w:ilvl w:val="1"/>
          <w:numId w:val="166"/>
        </w:numPr>
        <w:rPr>
          <w:szCs w:val="24"/>
        </w:rPr>
      </w:pPr>
      <w:r w:rsidRPr="00880703">
        <w:rPr>
          <w:szCs w:val="24"/>
        </w:rPr>
        <w:t>sample size;</w:t>
      </w:r>
    </w:p>
    <w:p w:rsidR="00B473FA" w:rsidRPr="00880703" w:rsidRDefault="00B473FA" w:rsidP="00B473FA">
      <w:pPr>
        <w:numPr>
          <w:ilvl w:val="1"/>
          <w:numId w:val="166"/>
        </w:numPr>
        <w:rPr>
          <w:szCs w:val="24"/>
        </w:rPr>
      </w:pPr>
      <w:r w:rsidRPr="00880703">
        <w:rPr>
          <w:szCs w:val="24"/>
        </w:rPr>
        <w:t>preferred testing method, and</w:t>
      </w:r>
    </w:p>
    <w:p w:rsidR="00B473FA" w:rsidRPr="00880703" w:rsidRDefault="00B473FA" w:rsidP="00B473FA">
      <w:pPr>
        <w:numPr>
          <w:ilvl w:val="1"/>
          <w:numId w:val="166"/>
        </w:numPr>
        <w:rPr>
          <w:szCs w:val="24"/>
        </w:rPr>
      </w:pPr>
      <w:r w:rsidRPr="00880703">
        <w:rPr>
          <w:szCs w:val="24"/>
        </w:rPr>
        <w:t>preferred arrangements for administering the tests</w:t>
      </w:r>
      <w:r w:rsidRPr="00880703">
        <w:rPr>
          <w:b/>
          <w:szCs w:val="24"/>
        </w:rPr>
        <w:t xml:space="preserve">, </w:t>
      </w:r>
      <w:r w:rsidRPr="00880703">
        <w:rPr>
          <w:szCs w:val="24"/>
        </w:rPr>
        <w:t xml:space="preserve">taking the possibilities of </w:t>
      </w:r>
      <w:r w:rsidRPr="00880703">
        <w:rPr>
          <w:szCs w:val="24"/>
        </w:rPr>
        <w:br/>
        <w:t>e-testing into account;</w:t>
      </w:r>
    </w:p>
    <w:p w:rsidR="00B473FA" w:rsidRPr="00880703" w:rsidRDefault="00B473FA" w:rsidP="00B473FA">
      <w:pPr>
        <w:numPr>
          <w:ilvl w:val="1"/>
          <w:numId w:val="166"/>
        </w:numPr>
        <w:rPr>
          <w:szCs w:val="24"/>
        </w:rPr>
      </w:pPr>
      <w:r w:rsidRPr="00880703">
        <w:rPr>
          <w:szCs w:val="24"/>
        </w:rPr>
        <w:t>the minimum sample size that should determine whether a test for a particular language shall be made available to Member States;</w:t>
      </w:r>
    </w:p>
    <w:p w:rsidR="00B473FA" w:rsidRPr="00880703" w:rsidRDefault="00B473FA" w:rsidP="00B473FA">
      <w:pPr>
        <w:spacing w:line="240" w:lineRule="auto"/>
        <w:ind w:left="360"/>
        <w:rPr>
          <w:b/>
          <w:szCs w:val="24"/>
        </w:rPr>
      </w:pPr>
    </w:p>
    <w:p w:rsidR="00B473FA" w:rsidRPr="00880703" w:rsidRDefault="00B473FA" w:rsidP="00B473FA">
      <w:pPr>
        <w:numPr>
          <w:ilvl w:val="0"/>
          <w:numId w:val="163"/>
        </w:numPr>
        <w:rPr>
          <w:szCs w:val="24"/>
        </w:rPr>
      </w:pPr>
      <w:r w:rsidRPr="00880703">
        <w:rPr>
          <w:szCs w:val="24"/>
        </w:rPr>
        <w:t xml:space="preserve">report back </w:t>
      </w:r>
      <w:r w:rsidR="00C509B5" w:rsidRPr="00880703">
        <w:rPr>
          <w:b/>
          <w:szCs w:val="24"/>
        </w:rPr>
        <w:t>in writing</w:t>
      </w:r>
      <w:r w:rsidR="00C509B5" w:rsidRPr="00880703">
        <w:rPr>
          <w:szCs w:val="24"/>
        </w:rPr>
        <w:t xml:space="preserve"> </w:t>
      </w:r>
      <w:r w:rsidRPr="00880703">
        <w:rPr>
          <w:szCs w:val="24"/>
        </w:rPr>
        <w:t>to the Council by the end of 2006 on the progress of work and, if appropriate, on any issues outstanding;</w:t>
      </w:r>
    </w:p>
    <w:p w:rsidR="00B473FA" w:rsidRPr="00880703" w:rsidRDefault="00B473FA" w:rsidP="00B473FA">
      <w:pPr>
        <w:rPr>
          <w:szCs w:val="24"/>
        </w:rPr>
      </w:pPr>
    </w:p>
    <w:p w:rsidR="00B473FA" w:rsidRPr="00880703" w:rsidRDefault="00B473FA" w:rsidP="00B473FA">
      <w:pPr>
        <w:rPr>
          <w:szCs w:val="24"/>
        </w:rPr>
      </w:pPr>
    </w:p>
    <w:p w:rsidR="00B473FA" w:rsidRPr="00880703" w:rsidRDefault="00B473FA" w:rsidP="00B473FA">
      <w:pPr>
        <w:rPr>
          <w:szCs w:val="24"/>
        </w:rPr>
      </w:pPr>
      <w:r w:rsidRPr="00880703">
        <w:rPr>
          <w:szCs w:val="24"/>
        </w:rPr>
        <w:t>INVITES Member States to:</w:t>
      </w:r>
    </w:p>
    <w:p w:rsidR="00B473FA" w:rsidRPr="00880703" w:rsidRDefault="00B473FA" w:rsidP="00B473FA">
      <w:pPr>
        <w:spacing w:line="240" w:lineRule="auto"/>
        <w:rPr>
          <w:szCs w:val="24"/>
        </w:rPr>
      </w:pPr>
    </w:p>
    <w:p w:rsidR="00B473FA" w:rsidRPr="00880703" w:rsidRDefault="00B473FA" w:rsidP="00B473FA">
      <w:pPr>
        <w:numPr>
          <w:ilvl w:val="0"/>
          <w:numId w:val="163"/>
        </w:numPr>
        <w:spacing w:line="240" w:lineRule="auto"/>
        <w:rPr>
          <w:b/>
          <w:szCs w:val="24"/>
        </w:rPr>
      </w:pPr>
      <w:r w:rsidRPr="00880703">
        <w:rPr>
          <w:szCs w:val="24"/>
        </w:rPr>
        <w:t>take all necessary steps to carry forward the process of establishing</w:t>
      </w:r>
      <w:r w:rsidRPr="00880703">
        <w:rPr>
          <w:b/>
          <w:szCs w:val="24"/>
        </w:rPr>
        <w:t xml:space="preserve"> </w:t>
      </w:r>
      <w:r w:rsidRPr="00880703">
        <w:rPr>
          <w:szCs w:val="24"/>
        </w:rPr>
        <w:t>the EILC.</w:t>
      </w:r>
    </w:p>
    <w:p w:rsidR="00B473FA" w:rsidRPr="00880703" w:rsidRDefault="00B473FA" w:rsidP="00B473FA">
      <w:pPr>
        <w:spacing w:line="240" w:lineRule="auto"/>
        <w:ind w:left="360"/>
        <w:rPr>
          <w:b/>
          <w:szCs w:val="24"/>
        </w:rPr>
      </w:pPr>
    </w:p>
    <w:p w:rsidR="00B473FA" w:rsidRPr="00880703" w:rsidRDefault="00B473FA" w:rsidP="00B473FA">
      <w:pPr>
        <w:spacing w:line="240" w:lineRule="auto"/>
        <w:rPr>
          <w:color w:val="999999"/>
          <w:szCs w:val="24"/>
        </w:rPr>
      </w:pPr>
    </w:p>
    <w:p w:rsidR="00C90199" w:rsidRPr="00880703" w:rsidRDefault="00C90199" w:rsidP="00B473FA">
      <w:pPr>
        <w:jc w:val="center"/>
        <w:rPr>
          <w:szCs w:val="24"/>
          <w:u w:val="single"/>
        </w:rPr>
      </w:pPr>
    </w:p>
    <w:p w:rsidR="00B473FA" w:rsidRPr="00880703" w:rsidRDefault="00B473FA" w:rsidP="00B473FA">
      <w:pPr>
        <w:jc w:val="center"/>
        <w:rPr>
          <w:szCs w:val="24"/>
          <w:u w:val="single"/>
        </w:rPr>
      </w:pPr>
      <w:r w:rsidRPr="00880703">
        <w:rPr>
          <w:szCs w:val="24"/>
          <w:u w:val="single"/>
        </w:rPr>
        <w:t>___________________</w:t>
      </w:r>
      <w:bookmarkStart w:id="19" w:name="_Toc19612546"/>
      <w:bookmarkEnd w:id="19"/>
    </w:p>
    <w:p w:rsidR="002B28C5" w:rsidRPr="00880703" w:rsidRDefault="002B28C5">
      <w:pPr>
        <w:spacing w:line="240" w:lineRule="auto"/>
      </w:pPr>
    </w:p>
    <w:sectPr w:rsidR="002B28C5" w:rsidRPr="00880703">
      <w:footerReference w:type="default" r:id="rId9"/>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A65" w:rsidRPr="00880703" w:rsidRDefault="00636A65">
      <w:r w:rsidRPr="00880703">
        <w:separator/>
      </w:r>
    </w:p>
  </w:endnote>
  <w:endnote w:type="continuationSeparator" w:id="0">
    <w:p w:rsidR="00636A65" w:rsidRPr="00880703" w:rsidRDefault="00636A65">
      <w:r w:rsidRPr="00880703">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3B" w:rsidRPr="00880703" w:rsidRDefault="00B4683B">
    <w:pPr>
      <w:pStyle w:val="Sidfot"/>
      <w:pBdr>
        <w:bottom w:val="single" w:sz="4" w:space="1" w:color="auto"/>
      </w:pBdr>
      <w:spacing w:after="60"/>
    </w:pPr>
  </w:p>
  <w:p w:rsidR="00B4683B" w:rsidRPr="00880703" w:rsidRDefault="00B4683B">
    <w:pPr>
      <w:pStyle w:val="Sidfot"/>
    </w:pPr>
    <w:bookmarkStart w:id="12" w:name="CoteFooter"/>
    <w:bookmarkEnd w:id="12"/>
    <w:r w:rsidRPr="00880703">
      <w:t>8300/06</w:t>
    </w:r>
    <w:r w:rsidRPr="00880703">
      <w:tab/>
    </w:r>
    <w:bookmarkStart w:id="13" w:name="SuplCote"/>
    <w:bookmarkEnd w:id="13"/>
    <w:r w:rsidRPr="00880703">
      <w:tab/>
    </w:r>
    <w:bookmarkStart w:id="14" w:name="Init"/>
    <w:bookmarkEnd w:id="14"/>
    <w:r w:rsidRPr="00880703">
      <w:t>GN/ag</w:t>
    </w:r>
    <w:r w:rsidRPr="00880703">
      <w:tab/>
    </w:r>
    <w:r w:rsidRPr="00880703">
      <w:rPr>
        <w:rStyle w:val="Sidnummer"/>
      </w:rPr>
      <w:fldChar w:fldCharType="begin" w:fldLock="1"/>
    </w:r>
    <w:r w:rsidRPr="00880703">
      <w:rPr>
        <w:rStyle w:val="Sidnummer"/>
      </w:rPr>
      <w:instrText xml:space="preserve"> PAGE </w:instrText>
    </w:r>
    <w:r w:rsidRPr="00880703">
      <w:rPr>
        <w:rStyle w:val="Sidnummer"/>
      </w:rPr>
      <w:fldChar w:fldCharType="separate"/>
    </w:r>
    <w:r w:rsidR="00BB0A55" w:rsidRPr="00880703">
      <w:rPr>
        <w:rStyle w:val="Sidnummer"/>
      </w:rPr>
      <w:t>2</w:t>
    </w:r>
    <w:r w:rsidRPr="00880703">
      <w:rPr>
        <w:rStyle w:val="Sidnummer"/>
      </w:rPr>
      <w:fldChar w:fldCharType="end"/>
    </w:r>
  </w:p>
  <w:p w:rsidR="00B4683B" w:rsidRPr="00880703" w:rsidRDefault="00B4683B">
    <w:pPr>
      <w:pStyle w:val="Sidfot"/>
      <w:tabs>
        <w:tab w:val="clear" w:pos="7371"/>
      </w:tabs>
      <w:spacing w:line="280" w:lineRule="exact"/>
    </w:pPr>
    <w:r w:rsidRPr="00880703">
      <w:tab/>
    </w:r>
    <w:bookmarkStart w:id="15" w:name="DG"/>
    <w:bookmarkEnd w:id="15"/>
    <w:r w:rsidRPr="00880703">
      <w:t>DG I</w:t>
    </w:r>
    <w:r w:rsidRPr="00880703">
      <w:tab/>
    </w:r>
    <w:bookmarkStart w:id="16" w:name="FooterCoteSec"/>
    <w:r w:rsidRPr="00880703">
      <w:rPr>
        <w:b/>
        <w:position w:val="-4"/>
        <w:sz w:val="36"/>
      </w:rPr>
      <w:t xml:space="preserve"> </w:t>
    </w:r>
    <w:bookmarkEnd w:id="16"/>
    <w:r w:rsidRPr="00880703">
      <w:rPr>
        <w:b/>
        <w:position w:val="-4"/>
        <w:sz w:val="36"/>
      </w:rPr>
      <w:t>LIMITE</w:t>
    </w:r>
    <w:r w:rsidRPr="00880703">
      <w:rPr>
        <w:b/>
        <w:position w:val="-4"/>
        <w:sz w:val="36"/>
      </w:rPr>
      <w:t> </w:t>
    </w:r>
    <w:bookmarkStart w:id="17" w:name="Langue"/>
    <w:r w:rsidRPr="00880703">
      <w:rPr>
        <w:b/>
        <w:position w:val="-4"/>
        <w:sz w:val="36"/>
      </w:rPr>
      <w:t>EN</w:t>
    </w:r>
    <w:bookmarkEnd w:id="1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B5F" w:rsidRPr="00880703" w:rsidRDefault="00600B5F">
    <w:pPr>
      <w:pStyle w:val="Sidfot"/>
      <w:pBdr>
        <w:bottom w:val="single" w:sz="4" w:space="1" w:color="auto"/>
      </w:pBdr>
      <w:spacing w:after="60"/>
    </w:pPr>
  </w:p>
  <w:p w:rsidR="00600B5F" w:rsidRPr="00880703" w:rsidRDefault="00A92924">
    <w:pPr>
      <w:pStyle w:val="Sidfot"/>
    </w:pPr>
    <w:r w:rsidRPr="00880703">
      <w:t>8300</w:t>
    </w:r>
    <w:r w:rsidR="00600B5F" w:rsidRPr="00880703">
      <w:t>/06</w:t>
    </w:r>
    <w:r w:rsidR="00600B5F" w:rsidRPr="00880703">
      <w:tab/>
    </w:r>
    <w:r w:rsidR="00600B5F" w:rsidRPr="00880703">
      <w:tab/>
      <w:t>GN/</w:t>
    </w:r>
    <w:r w:rsidRPr="00880703">
      <w:t>ag</w:t>
    </w:r>
    <w:r w:rsidR="00600B5F" w:rsidRPr="00880703">
      <w:tab/>
    </w:r>
    <w:r w:rsidR="00600B5F" w:rsidRPr="00880703">
      <w:rPr>
        <w:rStyle w:val="Sidnummer"/>
      </w:rPr>
      <w:fldChar w:fldCharType="begin" w:fldLock="1"/>
    </w:r>
    <w:r w:rsidR="00600B5F" w:rsidRPr="00880703">
      <w:rPr>
        <w:rStyle w:val="Sidnummer"/>
      </w:rPr>
      <w:instrText xml:space="preserve"> PAGE </w:instrText>
    </w:r>
    <w:r w:rsidR="00600B5F" w:rsidRPr="00880703">
      <w:rPr>
        <w:rStyle w:val="Sidnummer"/>
      </w:rPr>
      <w:fldChar w:fldCharType="separate"/>
    </w:r>
    <w:r w:rsidR="00BB0A55" w:rsidRPr="00880703">
      <w:rPr>
        <w:rStyle w:val="Sidnummer"/>
      </w:rPr>
      <w:t>4</w:t>
    </w:r>
    <w:r w:rsidR="00600B5F" w:rsidRPr="00880703">
      <w:rPr>
        <w:rStyle w:val="Sidnummer"/>
      </w:rPr>
      <w:fldChar w:fldCharType="end"/>
    </w:r>
  </w:p>
  <w:p w:rsidR="00600B5F" w:rsidRPr="00880703" w:rsidRDefault="00600B5F">
    <w:pPr>
      <w:pStyle w:val="Sidfot"/>
      <w:tabs>
        <w:tab w:val="clear" w:pos="7371"/>
      </w:tabs>
      <w:spacing w:line="280" w:lineRule="exact"/>
    </w:pPr>
    <w:r w:rsidRPr="00880703">
      <w:tab/>
      <w:t>DG I</w:t>
    </w:r>
    <w:r w:rsidRPr="00880703">
      <w:tab/>
    </w:r>
    <w:r w:rsidR="002C27C5" w:rsidRPr="00880703">
      <w:rPr>
        <w:b/>
        <w:position w:val="-4"/>
        <w:sz w:val="36"/>
      </w:rPr>
      <w:t xml:space="preserve">LIMITE </w:t>
    </w:r>
    <w:r w:rsidRPr="00880703">
      <w:rPr>
        <w:b/>
        <w:position w:val="-4"/>
        <w:sz w:val="36"/>
      </w:rPr>
      <w:t> </w:t>
    </w:r>
    <w:r w:rsidRPr="00880703">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A65" w:rsidRPr="00880703" w:rsidRDefault="00636A65">
      <w:pPr>
        <w:pStyle w:val="Fotnotstext"/>
      </w:pPr>
      <w:r w:rsidRPr="00880703">
        <w:separator/>
      </w:r>
    </w:p>
  </w:footnote>
  <w:footnote w:type="continuationSeparator" w:id="0">
    <w:p w:rsidR="00636A65" w:rsidRPr="00880703" w:rsidRDefault="00636A65">
      <w:pPr>
        <w:pStyle w:val="Fotnotstext"/>
      </w:pPr>
      <w:r w:rsidRPr="00880703">
        <w:separator/>
      </w:r>
    </w:p>
  </w:footnote>
  <w:footnote w:id="1">
    <w:p w:rsidR="002C27C5" w:rsidRPr="00880703" w:rsidRDefault="002C27C5">
      <w:pPr>
        <w:pStyle w:val="Fotnotstext"/>
      </w:pPr>
      <w:r w:rsidRPr="00880703">
        <w:rPr>
          <w:rStyle w:val="Fotnotsreferens"/>
        </w:rPr>
        <w:footnoteRef/>
      </w:r>
      <w:r w:rsidRPr="00880703">
        <w:t xml:space="preserve"> </w:t>
      </w:r>
      <w:r w:rsidRPr="00880703">
        <w:tab/>
        <w:t>Council Conclusions of 24 May 2005 on new indicators in education and training, OJ C 141, 10.6.2005, p.7.</w:t>
      </w:r>
    </w:p>
  </w:footnote>
  <w:footnote w:id="2">
    <w:p w:rsidR="00A92924" w:rsidRPr="00880703" w:rsidRDefault="00A92924" w:rsidP="00A92924">
      <w:pPr>
        <w:pStyle w:val="Fotnotstext"/>
        <w:rPr>
          <w:szCs w:val="24"/>
        </w:rPr>
      </w:pPr>
      <w:r w:rsidRPr="00880703">
        <w:rPr>
          <w:rStyle w:val="Fotnotsreferens"/>
        </w:rPr>
        <w:footnoteRef/>
      </w:r>
      <w:r w:rsidRPr="00880703">
        <w:t xml:space="preserve"> </w:t>
      </w:r>
      <w:r w:rsidRPr="00880703">
        <w:rPr>
          <w:i/>
        </w:rPr>
        <w:tab/>
      </w:r>
      <w:r w:rsidRPr="00880703">
        <w:rPr>
          <w:szCs w:val="24"/>
        </w:rPr>
        <w:t>See the EP CULT Committee's draft report (</w:t>
      </w:r>
      <w:r w:rsidRPr="00880703">
        <w:rPr>
          <w:i/>
          <w:szCs w:val="24"/>
        </w:rPr>
        <w:t>rapporteur: Manolis Mavromatis</w:t>
      </w:r>
      <w:r w:rsidRPr="00880703">
        <w:rPr>
          <w:szCs w:val="24"/>
        </w:rPr>
        <w:t>) on measures to promote multilingualism and language learning in the European Union: European Indicator of Language Competence (PE 369.872v01-00 and PE 370.196v01.00).</w:t>
      </w:r>
    </w:p>
  </w:footnote>
  <w:footnote w:id="3">
    <w:p w:rsidR="00126299" w:rsidRPr="00880703" w:rsidRDefault="00126299" w:rsidP="00126299">
      <w:pPr>
        <w:pStyle w:val="Fotnotstext"/>
      </w:pPr>
      <w:r w:rsidRPr="00880703">
        <w:rPr>
          <w:rStyle w:val="Fotnotsreferens"/>
        </w:rPr>
        <w:footnoteRef/>
      </w:r>
      <w:r w:rsidRPr="00880703">
        <w:t xml:space="preserve"> </w:t>
      </w:r>
      <w:r w:rsidRPr="00880703">
        <w:tab/>
        <w:t>ISCED = International Standard Classification of Education, which is based on a series of levels and widely used as an instrument for gathering comparable indicators and statistics of education between different countries. Level 2 corresponds to lower secondary education, level 3 to upper secondary.</w:t>
      </w:r>
    </w:p>
    <w:p w:rsidR="00126299" w:rsidRPr="00880703" w:rsidRDefault="00126299" w:rsidP="00126299">
      <w:pPr>
        <w:pStyle w:val="Fotnotstext"/>
      </w:pPr>
    </w:p>
  </w:footnote>
  <w:footnote w:id="4">
    <w:p w:rsidR="00A92924" w:rsidRPr="00880703" w:rsidRDefault="00A92924">
      <w:pPr>
        <w:pStyle w:val="Fotnotstext"/>
      </w:pPr>
      <w:r w:rsidRPr="00880703">
        <w:rPr>
          <w:rStyle w:val="Fotnotsreferens"/>
        </w:rPr>
        <w:footnoteRef/>
      </w:r>
      <w:r w:rsidRPr="00880703">
        <w:t xml:space="preserve"> </w:t>
      </w:r>
      <w:r w:rsidRPr="00880703">
        <w:tab/>
      </w:r>
      <w:r w:rsidRPr="00880703">
        <w:rPr>
          <w:b/>
        </w:rPr>
        <w:t>Bold</w:t>
      </w:r>
      <w:r w:rsidRPr="00880703">
        <w:t xml:space="preserve"> is used to indicate the </w:t>
      </w:r>
      <w:r w:rsidR="001A24A9" w:rsidRPr="00880703">
        <w:t>mos</w:t>
      </w:r>
      <w:r w:rsidR="00804CBF" w:rsidRPr="00880703">
        <w:t>t</w:t>
      </w:r>
      <w:r w:rsidRPr="00880703">
        <w:t xml:space="preserve"> recent changes to the previous version (in doc. 7256/06).</w:t>
      </w:r>
    </w:p>
  </w:footnote>
  <w:footnote w:id="5">
    <w:p w:rsidR="00B473FA" w:rsidRPr="00880703" w:rsidRDefault="00B473FA" w:rsidP="00B473FA">
      <w:pPr>
        <w:pStyle w:val="Fotnotstext"/>
      </w:pPr>
      <w:r w:rsidRPr="00880703">
        <w:rPr>
          <w:rStyle w:val="Fotnotsreferens"/>
        </w:rPr>
        <w:footnoteRef/>
      </w:r>
      <w:r w:rsidRPr="00880703">
        <w:tab/>
        <w:t>Doc.  SN 100/1/00 REV 1, paragraph 27.</w:t>
      </w:r>
    </w:p>
  </w:footnote>
  <w:footnote w:id="6">
    <w:p w:rsidR="00B473FA" w:rsidRPr="00880703" w:rsidRDefault="00B473FA" w:rsidP="00B473FA">
      <w:r w:rsidRPr="00880703">
        <w:rPr>
          <w:rStyle w:val="Fotnotsreferens"/>
        </w:rPr>
        <w:footnoteRef/>
      </w:r>
      <w:r w:rsidRPr="00880703">
        <w:tab/>
        <w:t>OJ C 50, 23.2.2002, p.1.</w:t>
      </w:r>
    </w:p>
  </w:footnote>
  <w:footnote w:id="7">
    <w:p w:rsidR="00B473FA" w:rsidRPr="00880703" w:rsidRDefault="00B473FA" w:rsidP="00B473FA">
      <w:pPr>
        <w:pStyle w:val="Fotnotstext"/>
        <w:rPr>
          <w:b/>
        </w:rPr>
      </w:pPr>
      <w:r w:rsidRPr="00880703">
        <w:rPr>
          <w:rStyle w:val="Fotnotsreferens"/>
        </w:rPr>
        <w:footnoteRef/>
      </w:r>
      <w:r w:rsidRPr="00880703">
        <w:tab/>
        <w:t>SN 100/1/02 REV 1.</w:t>
      </w:r>
    </w:p>
  </w:footnote>
  <w:footnote w:id="8">
    <w:p w:rsidR="00B473FA" w:rsidRPr="00880703" w:rsidRDefault="00B473FA" w:rsidP="00B473FA">
      <w:pPr>
        <w:pStyle w:val="Fotnotstext"/>
        <w:rPr>
          <w:i/>
        </w:rPr>
      </w:pPr>
      <w:r w:rsidRPr="00880703">
        <w:rPr>
          <w:rStyle w:val="Fotnotsreferens"/>
        </w:rPr>
        <w:footnoteRef/>
      </w:r>
      <w:r w:rsidRPr="00880703">
        <w:tab/>
        <w:t>adopted by the Education Council on 14 February 2002 (OJ C 142, 14.6.2002, p.1).</w:t>
      </w:r>
    </w:p>
  </w:footnote>
  <w:footnote w:id="9">
    <w:p w:rsidR="00B473FA" w:rsidRPr="00880703" w:rsidRDefault="00B473FA" w:rsidP="00B473FA">
      <w:pPr>
        <w:pStyle w:val="Fotnotstext"/>
      </w:pPr>
      <w:r w:rsidRPr="00880703">
        <w:rPr>
          <w:rStyle w:val="Fotnotsreferens"/>
        </w:rPr>
        <w:footnoteRef/>
      </w:r>
      <w:r w:rsidRPr="00880703">
        <w:tab/>
        <w:t>OJ C 141, 10.6.2005, p.7.</w:t>
      </w:r>
    </w:p>
  </w:footnote>
  <w:footnote w:id="10">
    <w:p w:rsidR="00B473FA" w:rsidRPr="00880703" w:rsidRDefault="00B473FA" w:rsidP="00B473FA">
      <w:pPr>
        <w:pStyle w:val="Fotnotstext"/>
      </w:pPr>
      <w:r w:rsidRPr="00880703">
        <w:rPr>
          <w:rStyle w:val="Fotnotsreferens"/>
        </w:rPr>
        <w:footnoteRef/>
      </w:r>
      <w:r w:rsidRPr="00880703">
        <w:tab/>
        <w:t>doc. 11704/05 - COM (2005) 356 final</w:t>
      </w:r>
    </w:p>
  </w:footnote>
  <w:footnote w:id="11">
    <w:p w:rsidR="00B473FA" w:rsidRPr="00880703" w:rsidRDefault="00B473FA" w:rsidP="00B473FA">
      <w:pPr>
        <w:pStyle w:val="Fotnotstext"/>
      </w:pPr>
      <w:r w:rsidRPr="00880703">
        <w:rPr>
          <w:rStyle w:val="Fotnotsreferens"/>
        </w:rPr>
        <w:footnoteRef/>
      </w:r>
      <w:r w:rsidRPr="00880703">
        <w:tab/>
        <w:t>doc. 13425/05 - COM (2005) 548 final</w:t>
      </w:r>
    </w:p>
  </w:footnote>
  <w:footnote w:id="12">
    <w:p w:rsidR="00B473FA" w:rsidRPr="00880703" w:rsidRDefault="00B473FA" w:rsidP="00B473FA">
      <w:pPr>
        <w:pStyle w:val="Fotnotstext"/>
      </w:pPr>
      <w:r w:rsidRPr="00880703">
        <w:rPr>
          <w:rStyle w:val="Fotnotsreferens"/>
        </w:rPr>
        <w:footnoteRef/>
      </w:r>
      <w:r w:rsidRPr="00880703">
        <w:tab/>
        <w:t>doc. 14908/05 - COM</w:t>
      </w:r>
      <w:r w:rsidR="00A92924" w:rsidRPr="00880703">
        <w:t xml:space="preserve"> </w:t>
      </w:r>
      <w:r w:rsidRPr="00880703">
        <w:t>(2005) 596 final</w:t>
      </w:r>
    </w:p>
  </w:footnote>
  <w:footnote w:id="13">
    <w:p w:rsidR="002061DF" w:rsidRPr="00880703" w:rsidRDefault="002061DF" w:rsidP="002061DF">
      <w:pPr>
        <w:pStyle w:val="Fotnotstext"/>
      </w:pPr>
      <w:r w:rsidRPr="00880703">
        <w:rPr>
          <w:rStyle w:val="Fotnotsreferens"/>
        </w:rPr>
        <w:footnoteRef/>
      </w:r>
      <w:r w:rsidRPr="00880703">
        <w:t xml:space="preserve"> </w:t>
      </w:r>
      <w:r w:rsidRPr="00880703">
        <w:tab/>
      </w:r>
      <w:r w:rsidR="003B65B5" w:rsidRPr="00880703">
        <w:rPr>
          <w:u w:val="single"/>
        </w:rPr>
        <w:t>BE, HU, IT</w:t>
      </w:r>
      <w:r w:rsidRPr="00880703">
        <w:t>: reservations on the</w:t>
      </w:r>
      <w:r w:rsidR="001A24A9" w:rsidRPr="00880703">
        <w:t xml:space="preserve"> issue of</w:t>
      </w:r>
      <w:r w:rsidRPr="00880703">
        <w:t xml:space="preserve"> </w:t>
      </w:r>
      <w:r w:rsidR="00582EA5" w:rsidRPr="00880703">
        <w:t xml:space="preserve">the </w:t>
      </w:r>
      <w:r w:rsidRPr="00880703">
        <w:t>level at which testing should be carried out.</w:t>
      </w:r>
    </w:p>
    <w:p w:rsidR="003B65B5" w:rsidRPr="00880703" w:rsidRDefault="003B65B5" w:rsidP="002061DF">
      <w:pPr>
        <w:pStyle w:val="Fotnotstext"/>
        <w:numPr>
          <w:ilvl w:val="0"/>
          <w:numId w:val="169"/>
        </w:numPr>
      </w:pPr>
      <w:r w:rsidRPr="00880703">
        <w:t xml:space="preserve">They </w:t>
      </w:r>
      <w:r w:rsidR="00126299" w:rsidRPr="00880703">
        <w:t xml:space="preserve">suggest testing </w:t>
      </w:r>
      <w:r w:rsidRPr="00880703">
        <w:t>both the first and second foreign languages</w:t>
      </w:r>
      <w:r w:rsidR="00126299" w:rsidRPr="00880703">
        <w:t xml:space="preserve"> at ISCED 3</w:t>
      </w:r>
      <w:r w:rsidRPr="00880703">
        <w:t>.</w:t>
      </w:r>
    </w:p>
    <w:p w:rsidR="002061DF" w:rsidRPr="00880703" w:rsidRDefault="00126299" w:rsidP="002061DF">
      <w:pPr>
        <w:pStyle w:val="Fotnotstext"/>
        <w:numPr>
          <w:ilvl w:val="0"/>
          <w:numId w:val="169"/>
        </w:numPr>
      </w:pPr>
      <w:r w:rsidRPr="00880703">
        <w:t>S</w:t>
      </w:r>
      <w:r w:rsidR="002061DF" w:rsidRPr="00880703">
        <w:t xml:space="preserve">ince ISCED </w:t>
      </w:r>
      <w:r w:rsidR="003B65B5" w:rsidRPr="00880703">
        <w:t xml:space="preserve">level </w:t>
      </w:r>
      <w:r w:rsidR="002061DF" w:rsidRPr="00880703">
        <w:t>2 ends earlier in Hungary</w:t>
      </w:r>
      <w:r w:rsidR="003B65B5" w:rsidRPr="00880703">
        <w:t xml:space="preserve">, </w:t>
      </w:r>
      <w:r w:rsidR="003B65B5" w:rsidRPr="00880703">
        <w:rPr>
          <w:u w:val="single"/>
        </w:rPr>
        <w:t>HU</w:t>
      </w:r>
      <w:r w:rsidR="003B65B5" w:rsidRPr="00880703">
        <w:t xml:space="preserve"> </w:t>
      </w:r>
      <w:r w:rsidR="002061DF" w:rsidRPr="00880703">
        <w:t>suggest</w:t>
      </w:r>
      <w:r w:rsidR="003B65B5" w:rsidRPr="00880703">
        <w:t>s</w:t>
      </w:r>
      <w:r w:rsidR="002061DF" w:rsidRPr="00880703">
        <w:t xml:space="preserve"> adding</w:t>
      </w:r>
      <w:r w:rsidRPr="00880703">
        <w:t xml:space="preserve"> at the end of the sentence</w:t>
      </w:r>
      <w:r w:rsidR="002061DF" w:rsidRPr="00880703">
        <w:t>: "</w:t>
      </w:r>
      <w:r w:rsidR="002C27C5" w:rsidRPr="00880703">
        <w:t>…</w:t>
      </w:r>
      <w:r w:rsidR="002061DF" w:rsidRPr="00880703">
        <w:rPr>
          <w:i/>
        </w:rPr>
        <w:t>or at the end of grade 9 in countries where ISCED level 2 ends after 8 years of schooling."</w:t>
      </w:r>
    </w:p>
    <w:p w:rsidR="002061DF" w:rsidRPr="00880703" w:rsidRDefault="002061DF" w:rsidP="005B44BB">
      <w:pPr>
        <w:pStyle w:val="Fotnotstext"/>
        <w:ind w:firstLine="0"/>
        <w:rPr>
          <w:b/>
        </w:rPr>
      </w:pPr>
      <w:r w:rsidRPr="00880703">
        <w:rPr>
          <w:u w:val="single"/>
        </w:rPr>
        <w:t>SE</w:t>
      </w:r>
      <w:r w:rsidR="002C27C5" w:rsidRPr="00880703">
        <w:rPr>
          <w:u w:val="single"/>
        </w:rPr>
        <w:t xml:space="preserve">: </w:t>
      </w:r>
      <w:r w:rsidR="002C27C5" w:rsidRPr="00880703">
        <w:rPr>
          <w:b/>
        </w:rPr>
        <w:t>scrutiny reservation. F</w:t>
      </w:r>
      <w:r w:rsidR="005B44BB" w:rsidRPr="00880703">
        <w:t>inds the compromise already too far-reaching, since</w:t>
      </w:r>
      <w:r w:rsidR="00126299" w:rsidRPr="00880703">
        <w:t xml:space="preserve"> more flexibility on the levels </w:t>
      </w:r>
      <w:r w:rsidRPr="00880703">
        <w:t xml:space="preserve">will </w:t>
      </w:r>
      <w:r w:rsidR="00126299" w:rsidRPr="00880703">
        <w:t xml:space="preserve">make it </w:t>
      </w:r>
      <w:r w:rsidR="005B44BB" w:rsidRPr="00880703">
        <w:t>difficult</w:t>
      </w:r>
      <w:r w:rsidRPr="00880703">
        <w:t xml:space="preserve"> to draw valid comparisons. </w:t>
      </w:r>
    </w:p>
  </w:footnote>
  <w:footnote w:id="14">
    <w:p w:rsidR="00B473FA" w:rsidRPr="00880703" w:rsidRDefault="00B473FA" w:rsidP="00B473FA">
      <w:pPr>
        <w:pStyle w:val="Fotnotstext"/>
        <w:rPr>
          <w:szCs w:val="24"/>
        </w:rPr>
      </w:pPr>
      <w:r w:rsidRPr="00880703">
        <w:rPr>
          <w:rStyle w:val="Fotnotsreferens"/>
        </w:rPr>
        <w:footnoteRef/>
      </w:r>
      <w:r w:rsidRPr="00880703">
        <w:tab/>
      </w:r>
      <w:r w:rsidRPr="00880703">
        <w:rPr>
          <w:i/>
        </w:rPr>
        <w:t>"Common European Framework of Reference for Languages: Learning, teaching, assessment"</w:t>
      </w:r>
      <w:r w:rsidRPr="00880703">
        <w:rPr>
          <w:b/>
          <w:i/>
        </w:rPr>
        <w:t>,</w:t>
      </w:r>
      <w:r w:rsidRPr="00880703">
        <w:rPr>
          <w:b/>
        </w:rPr>
        <w:t xml:space="preserve"> </w:t>
      </w:r>
      <w:r w:rsidRPr="00880703">
        <w:t xml:space="preserve">as developed by the Council of Europe. See webpage at: </w:t>
      </w:r>
      <w:r w:rsidRPr="00880703">
        <w:rPr>
          <w:color w:val="0000FF"/>
          <w:szCs w:val="24"/>
          <w:u w:val="single"/>
        </w:rPr>
        <w:t>http://culture2.coe.int/portfolio/inc.asp?L=E&amp;M=$t/208-1-0-</w:t>
      </w:r>
      <w:r w:rsidR="002061DF" w:rsidRPr="00880703">
        <w:rPr>
          <w:color w:val="0000FF"/>
          <w:szCs w:val="24"/>
          <w:u w:val="single"/>
        </w:rPr>
        <w:t>1</w:t>
      </w:r>
      <w:r w:rsidRPr="00880703">
        <w:rPr>
          <w:color w:val="0000FF"/>
          <w:szCs w:val="24"/>
          <w:u w:val="single"/>
        </w:rPr>
        <w:t>/main_pages/../documents_intro/common_framework.html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8097C00"/>
    <w:multiLevelType w:val="hybridMultilevel"/>
    <w:tmpl w:val="E17E593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3" w15:restartNumberingAfterBreak="0">
    <w:nsid w:val="0C2B7369"/>
    <w:multiLevelType w:val="hybridMultilevel"/>
    <w:tmpl w:val="EC2AA074"/>
    <w:lvl w:ilvl="0" w:tplc="08090005">
      <w:start w:val="1"/>
      <w:numFmt w:val="bullet"/>
      <w:lvlText w:val=""/>
      <w:lvlJc w:val="left"/>
      <w:pPr>
        <w:tabs>
          <w:tab w:val="num" w:pos="720"/>
        </w:tabs>
        <w:ind w:left="720" w:hanging="360"/>
      </w:pPr>
      <w:rPr>
        <w:rFonts w:ascii="Wingdings" w:hAnsi="Wingdings" w:hint="default"/>
      </w:rPr>
    </w:lvl>
    <w:lvl w:ilvl="1" w:tplc="080C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7" w15:restartNumberingAfterBreak="0">
    <w:nsid w:val="1B582747"/>
    <w:multiLevelType w:val="hybridMultilevel"/>
    <w:tmpl w:val="01E274B2"/>
    <w:lvl w:ilvl="0" w:tplc="080C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9"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0"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2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4"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6" w15:restartNumberingAfterBreak="0">
    <w:nsid w:val="31333E6C"/>
    <w:multiLevelType w:val="hybridMultilevel"/>
    <w:tmpl w:val="11263BA8"/>
    <w:lvl w:ilvl="0" w:tplc="83942870">
      <w:start w:val="1"/>
      <w:numFmt w:val="bullet"/>
      <w:pStyle w:val="ind"/>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8"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30"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31" w15:restartNumberingAfterBreak="0">
    <w:nsid w:val="3CB11A12"/>
    <w:multiLevelType w:val="hybridMultilevel"/>
    <w:tmpl w:val="2BC0C75E"/>
    <w:lvl w:ilvl="0" w:tplc="FFFFFFFF">
      <w:start w:val="1"/>
      <w:numFmt w:val="bullet"/>
      <w:lvlText w:val=""/>
      <w:lvlJc w:val="left"/>
      <w:pPr>
        <w:tabs>
          <w:tab w:val="num" w:pos="927"/>
        </w:tabs>
        <w:ind w:left="927" w:hanging="360"/>
      </w:pPr>
      <w:rPr>
        <w:rFonts w:ascii="Symbol" w:hAnsi="Symbol" w:hint="default"/>
        <w:color w:val="auto"/>
      </w:rPr>
    </w:lvl>
    <w:lvl w:ilvl="1" w:tplc="FFFFFFFF">
      <w:start w:val="1"/>
      <w:numFmt w:val="bullet"/>
      <w:lvlText w:val="o"/>
      <w:lvlJc w:val="left"/>
      <w:pPr>
        <w:tabs>
          <w:tab w:val="num" w:pos="514"/>
        </w:tabs>
        <w:ind w:left="514" w:hanging="360"/>
      </w:pPr>
      <w:rPr>
        <w:rFonts w:ascii="Courier New" w:hAnsi="Courier New" w:cs="Courier New" w:hint="default"/>
      </w:rPr>
    </w:lvl>
    <w:lvl w:ilvl="2" w:tplc="FFFFFFFF">
      <w:start w:val="1"/>
      <w:numFmt w:val="bullet"/>
      <w:lvlText w:val=""/>
      <w:lvlJc w:val="left"/>
      <w:pPr>
        <w:tabs>
          <w:tab w:val="num" w:pos="1234"/>
        </w:tabs>
        <w:ind w:left="1234" w:hanging="360"/>
      </w:pPr>
      <w:rPr>
        <w:rFonts w:ascii="Wingdings" w:hAnsi="Wingdings" w:hint="default"/>
      </w:rPr>
    </w:lvl>
    <w:lvl w:ilvl="3" w:tplc="FFFFFFFF">
      <w:start w:val="1"/>
      <w:numFmt w:val="bullet"/>
      <w:lvlText w:val=""/>
      <w:lvlJc w:val="left"/>
      <w:pPr>
        <w:tabs>
          <w:tab w:val="num" w:pos="1954"/>
        </w:tabs>
        <w:ind w:left="1954" w:hanging="360"/>
      </w:pPr>
      <w:rPr>
        <w:rFonts w:ascii="Symbol" w:hAnsi="Symbol" w:hint="default"/>
      </w:rPr>
    </w:lvl>
    <w:lvl w:ilvl="4" w:tplc="FFFFFFFF" w:tentative="1">
      <w:start w:val="1"/>
      <w:numFmt w:val="bullet"/>
      <w:lvlText w:val="o"/>
      <w:lvlJc w:val="left"/>
      <w:pPr>
        <w:tabs>
          <w:tab w:val="num" w:pos="2674"/>
        </w:tabs>
        <w:ind w:left="2674" w:hanging="360"/>
      </w:pPr>
      <w:rPr>
        <w:rFonts w:ascii="Courier New" w:hAnsi="Courier New" w:cs="Courier New" w:hint="default"/>
      </w:rPr>
    </w:lvl>
    <w:lvl w:ilvl="5" w:tplc="FFFFFFFF" w:tentative="1">
      <w:start w:val="1"/>
      <w:numFmt w:val="bullet"/>
      <w:lvlText w:val=""/>
      <w:lvlJc w:val="left"/>
      <w:pPr>
        <w:tabs>
          <w:tab w:val="num" w:pos="3394"/>
        </w:tabs>
        <w:ind w:left="3394" w:hanging="360"/>
      </w:pPr>
      <w:rPr>
        <w:rFonts w:ascii="Wingdings" w:hAnsi="Wingdings" w:hint="default"/>
      </w:rPr>
    </w:lvl>
    <w:lvl w:ilvl="6" w:tplc="FFFFFFFF" w:tentative="1">
      <w:start w:val="1"/>
      <w:numFmt w:val="bullet"/>
      <w:lvlText w:val=""/>
      <w:lvlJc w:val="left"/>
      <w:pPr>
        <w:tabs>
          <w:tab w:val="num" w:pos="4114"/>
        </w:tabs>
        <w:ind w:left="4114" w:hanging="360"/>
      </w:pPr>
      <w:rPr>
        <w:rFonts w:ascii="Symbol" w:hAnsi="Symbol" w:hint="default"/>
      </w:rPr>
    </w:lvl>
    <w:lvl w:ilvl="7" w:tplc="FFFFFFFF" w:tentative="1">
      <w:start w:val="1"/>
      <w:numFmt w:val="bullet"/>
      <w:lvlText w:val="o"/>
      <w:lvlJc w:val="left"/>
      <w:pPr>
        <w:tabs>
          <w:tab w:val="num" w:pos="4834"/>
        </w:tabs>
        <w:ind w:left="4834" w:hanging="360"/>
      </w:pPr>
      <w:rPr>
        <w:rFonts w:ascii="Courier New" w:hAnsi="Courier New" w:cs="Courier New" w:hint="default"/>
      </w:rPr>
    </w:lvl>
    <w:lvl w:ilvl="8" w:tplc="FFFFFFFF" w:tentative="1">
      <w:start w:val="1"/>
      <w:numFmt w:val="bullet"/>
      <w:lvlText w:val=""/>
      <w:lvlJc w:val="left"/>
      <w:pPr>
        <w:tabs>
          <w:tab w:val="num" w:pos="5554"/>
        </w:tabs>
        <w:ind w:left="5554" w:hanging="360"/>
      </w:pPr>
      <w:rPr>
        <w:rFonts w:ascii="Wingdings" w:hAnsi="Wingdings" w:hint="default"/>
      </w:rPr>
    </w:lvl>
  </w:abstractNum>
  <w:abstractNum w:abstractNumId="32"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33"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4"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5"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6"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9" w15:restartNumberingAfterBreak="0">
    <w:nsid w:val="4E4206BD"/>
    <w:multiLevelType w:val="hybridMultilevel"/>
    <w:tmpl w:val="0AB64EC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41"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42" w15:restartNumberingAfterBreak="0">
    <w:nsid w:val="52C93737"/>
    <w:multiLevelType w:val="hybridMultilevel"/>
    <w:tmpl w:val="C9869516"/>
    <w:lvl w:ilvl="0" w:tplc="3D8A3BB4">
      <w:start w:val="1"/>
      <w:numFmt w:val="bullet"/>
      <w:lvlText w:val=""/>
      <w:lvlJc w:val="left"/>
      <w:pPr>
        <w:tabs>
          <w:tab w:val="num" w:pos="360"/>
        </w:tabs>
        <w:ind w:left="360" w:hanging="360"/>
      </w:pPr>
      <w:rPr>
        <w:rFonts w:ascii="Symbol" w:hAnsi="Symbol" w:hint="default"/>
      </w:rPr>
    </w:lvl>
    <w:lvl w:ilvl="1" w:tplc="080C0003" w:tentative="1">
      <w:start w:val="1"/>
      <w:numFmt w:val="bullet"/>
      <w:lvlText w:val="o"/>
      <w:lvlJc w:val="left"/>
      <w:pPr>
        <w:tabs>
          <w:tab w:val="num" w:pos="1080"/>
        </w:tabs>
        <w:ind w:left="1080" w:hanging="360"/>
      </w:pPr>
      <w:rPr>
        <w:rFonts w:ascii="Courier New" w:hAnsi="Courier New" w:cs="Courier New" w:hint="default"/>
      </w:rPr>
    </w:lvl>
    <w:lvl w:ilvl="2" w:tplc="080C0005" w:tentative="1">
      <w:start w:val="1"/>
      <w:numFmt w:val="bullet"/>
      <w:lvlText w:val=""/>
      <w:lvlJc w:val="left"/>
      <w:pPr>
        <w:tabs>
          <w:tab w:val="num" w:pos="1800"/>
        </w:tabs>
        <w:ind w:left="1800" w:hanging="360"/>
      </w:pPr>
      <w:rPr>
        <w:rFonts w:ascii="Wingdings" w:hAnsi="Wingdings" w:hint="default"/>
      </w:rPr>
    </w:lvl>
    <w:lvl w:ilvl="3" w:tplc="080C0001" w:tentative="1">
      <w:start w:val="1"/>
      <w:numFmt w:val="bullet"/>
      <w:lvlText w:val=""/>
      <w:lvlJc w:val="left"/>
      <w:pPr>
        <w:tabs>
          <w:tab w:val="num" w:pos="2520"/>
        </w:tabs>
        <w:ind w:left="2520" w:hanging="360"/>
      </w:pPr>
      <w:rPr>
        <w:rFonts w:ascii="Symbol" w:hAnsi="Symbol" w:hint="default"/>
      </w:rPr>
    </w:lvl>
    <w:lvl w:ilvl="4" w:tplc="080C0003" w:tentative="1">
      <w:start w:val="1"/>
      <w:numFmt w:val="bullet"/>
      <w:lvlText w:val="o"/>
      <w:lvlJc w:val="left"/>
      <w:pPr>
        <w:tabs>
          <w:tab w:val="num" w:pos="3240"/>
        </w:tabs>
        <w:ind w:left="3240" w:hanging="360"/>
      </w:pPr>
      <w:rPr>
        <w:rFonts w:ascii="Courier New" w:hAnsi="Courier New" w:cs="Courier New" w:hint="default"/>
      </w:rPr>
    </w:lvl>
    <w:lvl w:ilvl="5" w:tplc="080C0005" w:tentative="1">
      <w:start w:val="1"/>
      <w:numFmt w:val="bullet"/>
      <w:lvlText w:val=""/>
      <w:lvlJc w:val="left"/>
      <w:pPr>
        <w:tabs>
          <w:tab w:val="num" w:pos="3960"/>
        </w:tabs>
        <w:ind w:left="3960" w:hanging="360"/>
      </w:pPr>
      <w:rPr>
        <w:rFonts w:ascii="Wingdings" w:hAnsi="Wingdings" w:hint="default"/>
      </w:rPr>
    </w:lvl>
    <w:lvl w:ilvl="6" w:tplc="080C0001" w:tentative="1">
      <w:start w:val="1"/>
      <w:numFmt w:val="bullet"/>
      <w:lvlText w:val=""/>
      <w:lvlJc w:val="left"/>
      <w:pPr>
        <w:tabs>
          <w:tab w:val="num" w:pos="4680"/>
        </w:tabs>
        <w:ind w:left="4680" w:hanging="360"/>
      </w:pPr>
      <w:rPr>
        <w:rFonts w:ascii="Symbol" w:hAnsi="Symbol" w:hint="default"/>
      </w:rPr>
    </w:lvl>
    <w:lvl w:ilvl="7" w:tplc="080C0003" w:tentative="1">
      <w:start w:val="1"/>
      <w:numFmt w:val="bullet"/>
      <w:lvlText w:val="o"/>
      <w:lvlJc w:val="left"/>
      <w:pPr>
        <w:tabs>
          <w:tab w:val="num" w:pos="5400"/>
        </w:tabs>
        <w:ind w:left="5400" w:hanging="360"/>
      </w:pPr>
      <w:rPr>
        <w:rFonts w:ascii="Courier New" w:hAnsi="Courier New" w:cs="Courier New" w:hint="default"/>
      </w:rPr>
    </w:lvl>
    <w:lvl w:ilvl="8" w:tplc="080C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601289D"/>
    <w:multiLevelType w:val="hybridMultilevel"/>
    <w:tmpl w:val="72EE6EDE"/>
    <w:lvl w:ilvl="0" w:tplc="3D8A3BB4">
      <w:start w:val="1"/>
      <w:numFmt w:val="bullet"/>
      <w:lvlText w:val=""/>
      <w:lvlJc w:val="left"/>
      <w:pPr>
        <w:tabs>
          <w:tab w:val="num" w:pos="927"/>
        </w:tabs>
        <w:ind w:left="927" w:hanging="360"/>
      </w:pPr>
      <w:rPr>
        <w:rFonts w:ascii="Symbol" w:hAnsi="Symbol" w:hint="default"/>
      </w:rPr>
    </w:lvl>
    <w:lvl w:ilvl="1" w:tplc="080C0003" w:tentative="1">
      <w:start w:val="1"/>
      <w:numFmt w:val="bullet"/>
      <w:lvlText w:val="o"/>
      <w:lvlJc w:val="left"/>
      <w:pPr>
        <w:tabs>
          <w:tab w:val="num" w:pos="1647"/>
        </w:tabs>
        <w:ind w:left="1647" w:hanging="360"/>
      </w:pPr>
      <w:rPr>
        <w:rFonts w:ascii="Courier New" w:hAnsi="Courier New" w:cs="Courier New" w:hint="default"/>
      </w:rPr>
    </w:lvl>
    <w:lvl w:ilvl="2" w:tplc="080C0005" w:tentative="1">
      <w:start w:val="1"/>
      <w:numFmt w:val="bullet"/>
      <w:lvlText w:val=""/>
      <w:lvlJc w:val="left"/>
      <w:pPr>
        <w:tabs>
          <w:tab w:val="num" w:pos="2367"/>
        </w:tabs>
        <w:ind w:left="2367" w:hanging="360"/>
      </w:pPr>
      <w:rPr>
        <w:rFonts w:ascii="Wingdings" w:hAnsi="Wingdings" w:hint="default"/>
      </w:rPr>
    </w:lvl>
    <w:lvl w:ilvl="3" w:tplc="080C0001" w:tentative="1">
      <w:start w:val="1"/>
      <w:numFmt w:val="bullet"/>
      <w:lvlText w:val=""/>
      <w:lvlJc w:val="left"/>
      <w:pPr>
        <w:tabs>
          <w:tab w:val="num" w:pos="3087"/>
        </w:tabs>
        <w:ind w:left="3087" w:hanging="360"/>
      </w:pPr>
      <w:rPr>
        <w:rFonts w:ascii="Symbol" w:hAnsi="Symbol" w:hint="default"/>
      </w:rPr>
    </w:lvl>
    <w:lvl w:ilvl="4" w:tplc="080C0003" w:tentative="1">
      <w:start w:val="1"/>
      <w:numFmt w:val="bullet"/>
      <w:lvlText w:val="o"/>
      <w:lvlJc w:val="left"/>
      <w:pPr>
        <w:tabs>
          <w:tab w:val="num" w:pos="3807"/>
        </w:tabs>
        <w:ind w:left="3807" w:hanging="360"/>
      </w:pPr>
      <w:rPr>
        <w:rFonts w:ascii="Courier New" w:hAnsi="Courier New" w:cs="Courier New" w:hint="default"/>
      </w:rPr>
    </w:lvl>
    <w:lvl w:ilvl="5" w:tplc="080C0005" w:tentative="1">
      <w:start w:val="1"/>
      <w:numFmt w:val="bullet"/>
      <w:lvlText w:val=""/>
      <w:lvlJc w:val="left"/>
      <w:pPr>
        <w:tabs>
          <w:tab w:val="num" w:pos="4527"/>
        </w:tabs>
        <w:ind w:left="4527" w:hanging="360"/>
      </w:pPr>
      <w:rPr>
        <w:rFonts w:ascii="Wingdings" w:hAnsi="Wingdings" w:hint="default"/>
      </w:rPr>
    </w:lvl>
    <w:lvl w:ilvl="6" w:tplc="080C0001" w:tentative="1">
      <w:start w:val="1"/>
      <w:numFmt w:val="bullet"/>
      <w:lvlText w:val=""/>
      <w:lvlJc w:val="left"/>
      <w:pPr>
        <w:tabs>
          <w:tab w:val="num" w:pos="5247"/>
        </w:tabs>
        <w:ind w:left="5247" w:hanging="360"/>
      </w:pPr>
      <w:rPr>
        <w:rFonts w:ascii="Symbol" w:hAnsi="Symbol" w:hint="default"/>
      </w:rPr>
    </w:lvl>
    <w:lvl w:ilvl="7" w:tplc="080C0003" w:tentative="1">
      <w:start w:val="1"/>
      <w:numFmt w:val="bullet"/>
      <w:lvlText w:val="o"/>
      <w:lvlJc w:val="left"/>
      <w:pPr>
        <w:tabs>
          <w:tab w:val="num" w:pos="5967"/>
        </w:tabs>
        <w:ind w:left="5967" w:hanging="360"/>
      </w:pPr>
      <w:rPr>
        <w:rFonts w:ascii="Courier New" w:hAnsi="Courier New" w:cs="Courier New" w:hint="default"/>
      </w:rPr>
    </w:lvl>
    <w:lvl w:ilvl="8" w:tplc="080C0005" w:tentative="1">
      <w:start w:val="1"/>
      <w:numFmt w:val="bullet"/>
      <w:lvlText w:val=""/>
      <w:lvlJc w:val="left"/>
      <w:pPr>
        <w:tabs>
          <w:tab w:val="num" w:pos="6687"/>
        </w:tabs>
        <w:ind w:left="6687" w:hanging="360"/>
      </w:pPr>
      <w:rPr>
        <w:rFonts w:ascii="Wingdings" w:hAnsi="Wingdings" w:hint="default"/>
      </w:rPr>
    </w:lvl>
  </w:abstractNum>
  <w:abstractNum w:abstractNumId="44"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45"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8"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9"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50"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51" w15:restartNumberingAfterBreak="0">
    <w:nsid w:val="6AAF04FF"/>
    <w:multiLevelType w:val="singleLevel"/>
    <w:tmpl w:val="0409000F"/>
    <w:lvl w:ilvl="0">
      <w:start w:val="1"/>
      <w:numFmt w:val="decimal"/>
      <w:lvlText w:val="%1."/>
      <w:lvlJc w:val="left"/>
      <w:pPr>
        <w:tabs>
          <w:tab w:val="num" w:pos="360"/>
        </w:tabs>
        <w:ind w:left="360" w:hanging="360"/>
      </w:pPr>
    </w:lvl>
  </w:abstractNum>
  <w:abstractNum w:abstractNumId="52"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53" w15:restartNumberingAfterBreak="0">
    <w:nsid w:val="6F7C2874"/>
    <w:multiLevelType w:val="hybridMultilevel"/>
    <w:tmpl w:val="333026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2A6134D"/>
    <w:multiLevelType w:val="hybridMultilevel"/>
    <w:tmpl w:val="2DB86C42"/>
    <w:lvl w:ilvl="0" w:tplc="3D8A3BB4">
      <w:start w:val="1"/>
      <w:numFmt w:val="bullet"/>
      <w:lvlText w:val=""/>
      <w:lvlJc w:val="left"/>
      <w:pPr>
        <w:tabs>
          <w:tab w:val="num" w:pos="360"/>
        </w:tabs>
        <w:ind w:left="360" w:hanging="360"/>
      </w:pPr>
      <w:rPr>
        <w:rFonts w:ascii="Symbol" w:hAnsi="Symbol" w:hint="default"/>
      </w:rPr>
    </w:lvl>
    <w:lvl w:ilvl="1" w:tplc="080C0003" w:tentative="1">
      <w:start w:val="1"/>
      <w:numFmt w:val="bullet"/>
      <w:lvlText w:val="o"/>
      <w:lvlJc w:val="left"/>
      <w:pPr>
        <w:tabs>
          <w:tab w:val="num" w:pos="1080"/>
        </w:tabs>
        <w:ind w:left="1080" w:hanging="360"/>
      </w:pPr>
      <w:rPr>
        <w:rFonts w:ascii="Courier New" w:hAnsi="Courier New" w:cs="Courier New" w:hint="default"/>
      </w:rPr>
    </w:lvl>
    <w:lvl w:ilvl="2" w:tplc="080C0005" w:tentative="1">
      <w:start w:val="1"/>
      <w:numFmt w:val="bullet"/>
      <w:lvlText w:val=""/>
      <w:lvlJc w:val="left"/>
      <w:pPr>
        <w:tabs>
          <w:tab w:val="num" w:pos="1800"/>
        </w:tabs>
        <w:ind w:left="1800" w:hanging="360"/>
      </w:pPr>
      <w:rPr>
        <w:rFonts w:ascii="Wingdings" w:hAnsi="Wingdings" w:hint="default"/>
      </w:rPr>
    </w:lvl>
    <w:lvl w:ilvl="3" w:tplc="080C0001" w:tentative="1">
      <w:start w:val="1"/>
      <w:numFmt w:val="bullet"/>
      <w:lvlText w:val=""/>
      <w:lvlJc w:val="left"/>
      <w:pPr>
        <w:tabs>
          <w:tab w:val="num" w:pos="2520"/>
        </w:tabs>
        <w:ind w:left="2520" w:hanging="360"/>
      </w:pPr>
      <w:rPr>
        <w:rFonts w:ascii="Symbol" w:hAnsi="Symbol" w:hint="default"/>
      </w:rPr>
    </w:lvl>
    <w:lvl w:ilvl="4" w:tplc="080C0003" w:tentative="1">
      <w:start w:val="1"/>
      <w:numFmt w:val="bullet"/>
      <w:lvlText w:val="o"/>
      <w:lvlJc w:val="left"/>
      <w:pPr>
        <w:tabs>
          <w:tab w:val="num" w:pos="3240"/>
        </w:tabs>
        <w:ind w:left="3240" w:hanging="360"/>
      </w:pPr>
      <w:rPr>
        <w:rFonts w:ascii="Courier New" w:hAnsi="Courier New" w:cs="Courier New" w:hint="default"/>
      </w:rPr>
    </w:lvl>
    <w:lvl w:ilvl="5" w:tplc="080C0005" w:tentative="1">
      <w:start w:val="1"/>
      <w:numFmt w:val="bullet"/>
      <w:lvlText w:val=""/>
      <w:lvlJc w:val="left"/>
      <w:pPr>
        <w:tabs>
          <w:tab w:val="num" w:pos="3960"/>
        </w:tabs>
        <w:ind w:left="3960" w:hanging="360"/>
      </w:pPr>
      <w:rPr>
        <w:rFonts w:ascii="Wingdings" w:hAnsi="Wingdings" w:hint="default"/>
      </w:rPr>
    </w:lvl>
    <w:lvl w:ilvl="6" w:tplc="080C0001" w:tentative="1">
      <w:start w:val="1"/>
      <w:numFmt w:val="bullet"/>
      <w:lvlText w:val=""/>
      <w:lvlJc w:val="left"/>
      <w:pPr>
        <w:tabs>
          <w:tab w:val="num" w:pos="4680"/>
        </w:tabs>
        <w:ind w:left="4680" w:hanging="360"/>
      </w:pPr>
      <w:rPr>
        <w:rFonts w:ascii="Symbol" w:hAnsi="Symbol" w:hint="default"/>
      </w:rPr>
    </w:lvl>
    <w:lvl w:ilvl="7" w:tplc="080C0003" w:tentative="1">
      <w:start w:val="1"/>
      <w:numFmt w:val="bullet"/>
      <w:lvlText w:val="o"/>
      <w:lvlJc w:val="left"/>
      <w:pPr>
        <w:tabs>
          <w:tab w:val="num" w:pos="5400"/>
        </w:tabs>
        <w:ind w:left="5400" w:hanging="360"/>
      </w:pPr>
      <w:rPr>
        <w:rFonts w:ascii="Courier New" w:hAnsi="Courier New" w:cs="Courier New" w:hint="default"/>
      </w:rPr>
    </w:lvl>
    <w:lvl w:ilvl="8" w:tplc="080C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004892996">
    <w:abstractNumId w:val="9"/>
  </w:num>
  <w:num w:numId="2" w16cid:durableId="1353192639">
    <w:abstractNumId w:val="7"/>
  </w:num>
  <w:num w:numId="3" w16cid:durableId="479617074">
    <w:abstractNumId w:val="6"/>
  </w:num>
  <w:num w:numId="4" w16cid:durableId="450510966">
    <w:abstractNumId w:val="5"/>
  </w:num>
  <w:num w:numId="5" w16cid:durableId="1017467733">
    <w:abstractNumId w:val="4"/>
  </w:num>
  <w:num w:numId="6" w16cid:durableId="592009381">
    <w:abstractNumId w:val="8"/>
  </w:num>
  <w:num w:numId="7" w16cid:durableId="1874883836">
    <w:abstractNumId w:val="3"/>
  </w:num>
  <w:num w:numId="8" w16cid:durableId="1104615868">
    <w:abstractNumId w:val="2"/>
  </w:num>
  <w:num w:numId="9" w16cid:durableId="1792747223">
    <w:abstractNumId w:val="1"/>
  </w:num>
  <w:num w:numId="10" w16cid:durableId="788819783">
    <w:abstractNumId w:val="0"/>
  </w:num>
  <w:num w:numId="11" w16cid:durableId="1098602259">
    <w:abstractNumId w:val="29"/>
  </w:num>
  <w:num w:numId="12" w16cid:durableId="846335295">
    <w:abstractNumId w:val="50"/>
  </w:num>
  <w:num w:numId="13" w16cid:durableId="1838494255">
    <w:abstractNumId w:val="48"/>
  </w:num>
  <w:num w:numId="14" w16cid:durableId="1741169162">
    <w:abstractNumId w:val="36"/>
  </w:num>
  <w:num w:numId="15" w16cid:durableId="386491642">
    <w:abstractNumId w:val="15"/>
  </w:num>
  <w:num w:numId="16" w16cid:durableId="517699890">
    <w:abstractNumId w:val="38"/>
  </w:num>
  <w:num w:numId="17" w16cid:durableId="918755704">
    <w:abstractNumId w:val="24"/>
  </w:num>
  <w:num w:numId="18" w16cid:durableId="1215578929">
    <w:abstractNumId w:val="18"/>
  </w:num>
  <w:num w:numId="19" w16cid:durableId="1832717572">
    <w:abstractNumId w:val="16"/>
  </w:num>
  <w:num w:numId="20" w16cid:durableId="378627923">
    <w:abstractNumId w:val="16"/>
  </w:num>
  <w:num w:numId="21" w16cid:durableId="684018411">
    <w:abstractNumId w:val="16"/>
  </w:num>
  <w:num w:numId="22" w16cid:durableId="1561749352">
    <w:abstractNumId w:val="16"/>
  </w:num>
  <w:num w:numId="23" w16cid:durableId="1278220700">
    <w:abstractNumId w:val="16"/>
  </w:num>
  <w:num w:numId="24" w16cid:durableId="799765191">
    <w:abstractNumId w:val="16"/>
  </w:num>
  <w:num w:numId="25" w16cid:durableId="528376798">
    <w:abstractNumId w:val="16"/>
  </w:num>
  <w:num w:numId="26" w16cid:durableId="2006669369">
    <w:abstractNumId w:val="16"/>
  </w:num>
  <w:num w:numId="27" w16cid:durableId="962685920">
    <w:abstractNumId w:val="16"/>
  </w:num>
  <w:num w:numId="28" w16cid:durableId="844054603">
    <w:abstractNumId w:val="16"/>
  </w:num>
  <w:num w:numId="29" w16cid:durableId="994265166">
    <w:abstractNumId w:val="16"/>
  </w:num>
  <w:num w:numId="30" w16cid:durableId="765275039">
    <w:abstractNumId w:val="16"/>
  </w:num>
  <w:num w:numId="31" w16cid:durableId="951204415">
    <w:abstractNumId w:val="16"/>
  </w:num>
  <w:num w:numId="32" w16cid:durableId="867525943">
    <w:abstractNumId w:val="16"/>
  </w:num>
  <w:num w:numId="33" w16cid:durableId="762145568">
    <w:abstractNumId w:val="16"/>
  </w:num>
  <w:num w:numId="34" w16cid:durableId="2126607384">
    <w:abstractNumId w:val="16"/>
  </w:num>
  <w:num w:numId="35" w16cid:durableId="2111386688">
    <w:abstractNumId w:val="16"/>
  </w:num>
  <w:num w:numId="36" w16cid:durableId="798648162">
    <w:abstractNumId w:val="16"/>
  </w:num>
  <w:num w:numId="37" w16cid:durableId="1967740017">
    <w:abstractNumId w:val="45"/>
  </w:num>
  <w:num w:numId="38" w16cid:durableId="664868491">
    <w:abstractNumId w:val="47"/>
  </w:num>
  <w:num w:numId="39" w16cid:durableId="59603276">
    <w:abstractNumId w:val="37"/>
  </w:num>
  <w:num w:numId="40" w16cid:durableId="835803825">
    <w:abstractNumId w:val="41"/>
  </w:num>
  <w:num w:numId="41" w16cid:durableId="2108688958">
    <w:abstractNumId w:val="28"/>
  </w:num>
  <w:num w:numId="42" w16cid:durableId="564341844">
    <w:abstractNumId w:val="55"/>
  </w:num>
  <w:num w:numId="43" w16cid:durableId="1256548780">
    <w:abstractNumId w:val="35"/>
  </w:num>
  <w:num w:numId="44" w16cid:durableId="821312983">
    <w:abstractNumId w:val="27"/>
  </w:num>
  <w:num w:numId="45" w16cid:durableId="413861996">
    <w:abstractNumId w:val="30"/>
  </w:num>
  <w:num w:numId="46" w16cid:durableId="1240672109">
    <w:abstractNumId w:val="52"/>
  </w:num>
  <w:num w:numId="47" w16cid:durableId="1090664766">
    <w:abstractNumId w:val="12"/>
  </w:num>
  <w:num w:numId="48" w16cid:durableId="1303736563">
    <w:abstractNumId w:val="19"/>
  </w:num>
  <w:num w:numId="49" w16cid:durableId="2074349632">
    <w:abstractNumId w:val="16"/>
  </w:num>
  <w:num w:numId="50" w16cid:durableId="308898161">
    <w:abstractNumId w:val="16"/>
  </w:num>
  <w:num w:numId="51" w16cid:durableId="1586306263">
    <w:abstractNumId w:val="16"/>
  </w:num>
  <w:num w:numId="52" w16cid:durableId="669724549">
    <w:abstractNumId w:val="16"/>
  </w:num>
  <w:num w:numId="53" w16cid:durableId="1182355349">
    <w:abstractNumId w:val="16"/>
  </w:num>
  <w:num w:numId="54" w16cid:durableId="1032802105">
    <w:abstractNumId w:val="16"/>
  </w:num>
  <w:num w:numId="55" w16cid:durableId="2001887419">
    <w:abstractNumId w:val="16"/>
  </w:num>
  <w:num w:numId="56" w16cid:durableId="824779630">
    <w:abstractNumId w:val="16"/>
  </w:num>
  <w:num w:numId="57" w16cid:durableId="1566838542">
    <w:abstractNumId w:val="16"/>
  </w:num>
  <w:num w:numId="58" w16cid:durableId="990788858">
    <w:abstractNumId w:val="55"/>
  </w:num>
  <w:num w:numId="59" w16cid:durableId="1961035362">
    <w:abstractNumId w:val="35"/>
  </w:num>
  <w:num w:numId="60" w16cid:durableId="385110389">
    <w:abstractNumId w:val="27"/>
  </w:num>
  <w:num w:numId="61" w16cid:durableId="778450781">
    <w:abstractNumId w:val="30"/>
  </w:num>
  <w:num w:numId="62" w16cid:durableId="704258879">
    <w:abstractNumId w:val="52"/>
  </w:num>
  <w:num w:numId="63" w16cid:durableId="1578369512">
    <w:abstractNumId w:val="12"/>
  </w:num>
  <w:num w:numId="64" w16cid:durableId="1138575462">
    <w:abstractNumId w:val="19"/>
  </w:num>
  <w:num w:numId="65" w16cid:durableId="763960319">
    <w:abstractNumId w:val="25"/>
  </w:num>
  <w:num w:numId="66" w16cid:durableId="1174105138">
    <w:abstractNumId w:val="14"/>
  </w:num>
  <w:num w:numId="67" w16cid:durableId="303856700">
    <w:abstractNumId w:val="24"/>
  </w:num>
  <w:num w:numId="68" w16cid:durableId="1764719208">
    <w:abstractNumId w:val="33"/>
  </w:num>
  <w:num w:numId="69" w16cid:durableId="722673810">
    <w:abstractNumId w:val="22"/>
  </w:num>
  <w:num w:numId="70" w16cid:durableId="742871170">
    <w:abstractNumId w:val="23"/>
  </w:num>
  <w:num w:numId="71" w16cid:durableId="1439180980">
    <w:abstractNumId w:val="22"/>
  </w:num>
  <w:num w:numId="72" w16cid:durableId="682777772">
    <w:abstractNumId w:val="16"/>
  </w:num>
  <w:num w:numId="73" w16cid:durableId="2077892980">
    <w:abstractNumId w:val="16"/>
  </w:num>
  <w:num w:numId="74" w16cid:durableId="464005880">
    <w:abstractNumId w:val="16"/>
  </w:num>
  <w:num w:numId="75" w16cid:durableId="838160319">
    <w:abstractNumId w:val="16"/>
  </w:num>
  <w:num w:numId="76" w16cid:durableId="501697675">
    <w:abstractNumId w:val="16"/>
  </w:num>
  <w:num w:numId="77" w16cid:durableId="974414094">
    <w:abstractNumId w:val="16"/>
  </w:num>
  <w:num w:numId="78" w16cid:durableId="673410870">
    <w:abstractNumId w:val="16"/>
  </w:num>
  <w:num w:numId="79" w16cid:durableId="734664767">
    <w:abstractNumId w:val="16"/>
  </w:num>
  <w:num w:numId="80" w16cid:durableId="1306157454">
    <w:abstractNumId w:val="16"/>
  </w:num>
  <w:num w:numId="81" w16cid:durableId="1411192733">
    <w:abstractNumId w:val="55"/>
  </w:num>
  <w:num w:numId="82" w16cid:durableId="450363927">
    <w:abstractNumId w:val="19"/>
  </w:num>
  <w:num w:numId="83" w16cid:durableId="1416853155">
    <w:abstractNumId w:val="35"/>
  </w:num>
  <w:num w:numId="84" w16cid:durableId="461660131">
    <w:abstractNumId w:val="27"/>
  </w:num>
  <w:num w:numId="85" w16cid:durableId="1403211858">
    <w:abstractNumId w:val="22"/>
  </w:num>
  <w:num w:numId="86" w16cid:durableId="687678892">
    <w:abstractNumId w:val="23"/>
  </w:num>
  <w:num w:numId="87" w16cid:durableId="1924366125">
    <w:abstractNumId w:val="22"/>
  </w:num>
  <w:num w:numId="88" w16cid:durableId="668942637">
    <w:abstractNumId w:val="12"/>
  </w:num>
  <w:num w:numId="89" w16cid:durableId="505823242">
    <w:abstractNumId w:val="52"/>
  </w:num>
  <w:num w:numId="90" w16cid:durableId="124543825">
    <w:abstractNumId w:val="32"/>
  </w:num>
  <w:num w:numId="91" w16cid:durableId="1400519130">
    <w:abstractNumId w:val="33"/>
  </w:num>
  <w:num w:numId="92" w16cid:durableId="697389067">
    <w:abstractNumId w:val="23"/>
  </w:num>
  <w:num w:numId="93" w16cid:durableId="1955790923">
    <w:abstractNumId w:val="19"/>
  </w:num>
  <w:num w:numId="94" w16cid:durableId="2097970279">
    <w:abstractNumId w:val="35"/>
  </w:num>
  <w:num w:numId="95" w16cid:durableId="1644461543">
    <w:abstractNumId w:val="55"/>
  </w:num>
  <w:num w:numId="96" w16cid:durableId="1844784360">
    <w:abstractNumId w:val="30"/>
  </w:num>
  <w:num w:numId="97" w16cid:durableId="181667766">
    <w:abstractNumId w:val="21"/>
  </w:num>
  <w:num w:numId="98" w16cid:durableId="299114364">
    <w:abstractNumId w:val="21"/>
  </w:num>
  <w:num w:numId="99" w16cid:durableId="564339955">
    <w:abstractNumId w:val="21"/>
  </w:num>
  <w:num w:numId="100" w16cid:durableId="1183743216">
    <w:abstractNumId w:val="21"/>
  </w:num>
  <w:num w:numId="101" w16cid:durableId="1341271627">
    <w:abstractNumId w:val="21"/>
  </w:num>
  <w:num w:numId="102" w16cid:durableId="914365623">
    <w:abstractNumId w:val="21"/>
  </w:num>
  <w:num w:numId="103" w16cid:durableId="1123310168">
    <w:abstractNumId w:val="21"/>
  </w:num>
  <w:num w:numId="104" w16cid:durableId="522398620">
    <w:abstractNumId w:val="21"/>
  </w:num>
  <w:num w:numId="105" w16cid:durableId="916094942">
    <w:abstractNumId w:val="21"/>
  </w:num>
  <w:num w:numId="106" w16cid:durableId="862867261">
    <w:abstractNumId w:val="21"/>
  </w:num>
  <w:num w:numId="107" w16cid:durableId="239827959">
    <w:abstractNumId w:val="21"/>
  </w:num>
  <w:num w:numId="108" w16cid:durableId="85810228">
    <w:abstractNumId w:val="21"/>
  </w:num>
  <w:num w:numId="109" w16cid:durableId="550838">
    <w:abstractNumId w:val="21"/>
  </w:num>
  <w:num w:numId="110" w16cid:durableId="134569231">
    <w:abstractNumId w:val="16"/>
  </w:num>
  <w:num w:numId="111" w16cid:durableId="1665429658">
    <w:abstractNumId w:val="16"/>
  </w:num>
  <w:num w:numId="112" w16cid:durableId="268466798">
    <w:abstractNumId w:val="16"/>
  </w:num>
  <w:num w:numId="113" w16cid:durableId="859701475">
    <w:abstractNumId w:val="16"/>
  </w:num>
  <w:num w:numId="114" w16cid:durableId="1002051179">
    <w:abstractNumId w:val="16"/>
  </w:num>
  <w:num w:numId="115" w16cid:durableId="1266840785">
    <w:abstractNumId w:val="16"/>
  </w:num>
  <w:num w:numId="116" w16cid:durableId="1248615160">
    <w:abstractNumId w:val="16"/>
  </w:num>
  <w:num w:numId="117" w16cid:durableId="511458154">
    <w:abstractNumId w:val="16"/>
  </w:num>
  <w:num w:numId="118" w16cid:durableId="34278606">
    <w:abstractNumId w:val="16"/>
  </w:num>
  <w:num w:numId="119" w16cid:durableId="1900818996">
    <w:abstractNumId w:val="16"/>
  </w:num>
  <w:num w:numId="120" w16cid:durableId="1094013004">
    <w:abstractNumId w:val="16"/>
  </w:num>
  <w:num w:numId="121" w16cid:durableId="1118330715">
    <w:abstractNumId w:val="16"/>
  </w:num>
  <w:num w:numId="122" w16cid:durableId="1782261129">
    <w:abstractNumId w:val="16"/>
  </w:num>
  <w:num w:numId="123" w16cid:durableId="1042485280">
    <w:abstractNumId w:val="16"/>
  </w:num>
  <w:num w:numId="124" w16cid:durableId="1386951047">
    <w:abstractNumId w:val="16"/>
  </w:num>
  <w:num w:numId="125" w16cid:durableId="1158184200">
    <w:abstractNumId w:val="16"/>
  </w:num>
  <w:num w:numId="126" w16cid:durableId="1766607708">
    <w:abstractNumId w:val="16"/>
  </w:num>
  <w:num w:numId="127" w16cid:durableId="1351490224">
    <w:abstractNumId w:val="16"/>
  </w:num>
  <w:num w:numId="128" w16cid:durableId="2133477677">
    <w:abstractNumId w:val="32"/>
  </w:num>
  <w:num w:numId="129" w16cid:durableId="2103795244">
    <w:abstractNumId w:val="27"/>
  </w:num>
  <w:num w:numId="130" w16cid:durableId="51732535">
    <w:abstractNumId w:val="16"/>
  </w:num>
  <w:num w:numId="131" w16cid:durableId="1674455794">
    <w:abstractNumId w:val="16"/>
  </w:num>
  <w:num w:numId="132" w16cid:durableId="998273072">
    <w:abstractNumId w:val="16"/>
  </w:num>
  <w:num w:numId="133" w16cid:durableId="937563225">
    <w:abstractNumId w:val="16"/>
  </w:num>
  <w:num w:numId="134" w16cid:durableId="1076132024">
    <w:abstractNumId w:val="16"/>
  </w:num>
  <w:num w:numId="135" w16cid:durableId="2009599234">
    <w:abstractNumId w:val="16"/>
  </w:num>
  <w:num w:numId="136" w16cid:durableId="870806496">
    <w:abstractNumId w:val="16"/>
  </w:num>
  <w:num w:numId="137" w16cid:durableId="950209124">
    <w:abstractNumId w:val="16"/>
  </w:num>
  <w:num w:numId="138" w16cid:durableId="1144663995">
    <w:abstractNumId w:val="16"/>
  </w:num>
  <w:num w:numId="139" w16cid:durableId="1680960949">
    <w:abstractNumId w:val="55"/>
  </w:num>
  <w:num w:numId="140" w16cid:durableId="2037610909">
    <w:abstractNumId w:val="19"/>
  </w:num>
  <w:num w:numId="141" w16cid:durableId="1359698123">
    <w:abstractNumId w:val="35"/>
  </w:num>
  <w:num w:numId="142" w16cid:durableId="686057189">
    <w:abstractNumId w:val="30"/>
  </w:num>
  <w:num w:numId="143" w16cid:durableId="731536413">
    <w:abstractNumId w:val="33"/>
  </w:num>
  <w:num w:numId="144" w16cid:durableId="212891411">
    <w:abstractNumId w:val="52"/>
  </w:num>
  <w:num w:numId="145" w16cid:durableId="1722290384">
    <w:abstractNumId w:val="32"/>
  </w:num>
  <w:num w:numId="146" w16cid:durableId="799149502">
    <w:abstractNumId w:val="22"/>
  </w:num>
  <w:num w:numId="147" w16cid:durableId="1692220138">
    <w:abstractNumId w:val="23"/>
  </w:num>
  <w:num w:numId="148" w16cid:durableId="1765540157">
    <w:abstractNumId w:val="12"/>
  </w:num>
  <w:num w:numId="149" w16cid:durableId="974991758">
    <w:abstractNumId w:val="16"/>
  </w:num>
  <w:num w:numId="150" w16cid:durableId="1130905605">
    <w:abstractNumId w:val="44"/>
  </w:num>
  <w:num w:numId="151" w16cid:durableId="980115501">
    <w:abstractNumId w:val="40"/>
  </w:num>
  <w:num w:numId="152" w16cid:durableId="1991053724">
    <w:abstractNumId w:val="23"/>
  </w:num>
  <w:num w:numId="153" w16cid:durableId="977762698">
    <w:abstractNumId w:val="46"/>
  </w:num>
  <w:num w:numId="154" w16cid:durableId="1789012394">
    <w:abstractNumId w:val="46"/>
  </w:num>
  <w:num w:numId="155" w16cid:durableId="619335262">
    <w:abstractNumId w:val="46"/>
  </w:num>
  <w:num w:numId="156" w16cid:durableId="1076897898">
    <w:abstractNumId w:val="46"/>
  </w:num>
  <w:num w:numId="157" w16cid:durableId="373696645">
    <w:abstractNumId w:val="20"/>
  </w:num>
  <w:num w:numId="158" w16cid:durableId="704712998">
    <w:abstractNumId w:val="20"/>
  </w:num>
  <w:num w:numId="159" w16cid:durableId="69011031">
    <w:abstractNumId w:val="20"/>
  </w:num>
  <w:num w:numId="160" w16cid:durableId="1798840675">
    <w:abstractNumId w:val="20"/>
  </w:num>
  <w:num w:numId="161" w16cid:durableId="448161688">
    <w:abstractNumId w:val="34"/>
  </w:num>
  <w:num w:numId="162" w16cid:durableId="2007706108">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1345550490">
    <w:abstractNumId w:val="39"/>
  </w:num>
  <w:num w:numId="164" w16cid:durableId="1967347320">
    <w:abstractNumId w:val="13"/>
  </w:num>
  <w:num w:numId="165" w16cid:durableId="2071028233">
    <w:abstractNumId w:val="53"/>
  </w:num>
  <w:num w:numId="166" w16cid:durableId="1164129302">
    <w:abstractNumId w:val="11"/>
  </w:num>
  <w:num w:numId="167" w16cid:durableId="1905143996">
    <w:abstractNumId w:val="26"/>
  </w:num>
  <w:num w:numId="168" w16cid:durableId="1473131564">
    <w:abstractNumId w:val="17"/>
  </w:num>
  <w:num w:numId="169" w16cid:durableId="650445588">
    <w:abstractNumId w:val="43"/>
  </w:num>
  <w:num w:numId="170" w16cid:durableId="1234848826">
    <w:abstractNumId w:val="54"/>
  </w:num>
  <w:num w:numId="171" w16cid:durableId="249236394">
    <w:abstractNumId w:val="51"/>
  </w:num>
  <w:num w:numId="172" w16cid:durableId="725421133">
    <w:abstractNumId w:val="31"/>
  </w:num>
  <w:num w:numId="173" w16cid:durableId="11005486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C5"/>
    <w:rsid w:val="000078CC"/>
    <w:rsid w:val="00083FBC"/>
    <w:rsid w:val="000B5FD4"/>
    <w:rsid w:val="000D0EE9"/>
    <w:rsid w:val="00126299"/>
    <w:rsid w:val="0014406C"/>
    <w:rsid w:val="001535ED"/>
    <w:rsid w:val="00171F08"/>
    <w:rsid w:val="001A24A9"/>
    <w:rsid w:val="002061DF"/>
    <w:rsid w:val="0022170F"/>
    <w:rsid w:val="002B28C5"/>
    <w:rsid w:val="002C1CEE"/>
    <w:rsid w:val="002C27C5"/>
    <w:rsid w:val="002D0849"/>
    <w:rsid w:val="00304DEB"/>
    <w:rsid w:val="00323DF1"/>
    <w:rsid w:val="0033581F"/>
    <w:rsid w:val="00365A1E"/>
    <w:rsid w:val="0037786A"/>
    <w:rsid w:val="00397E85"/>
    <w:rsid w:val="003A0B86"/>
    <w:rsid w:val="003B65B5"/>
    <w:rsid w:val="003D12D6"/>
    <w:rsid w:val="003F7522"/>
    <w:rsid w:val="00400F92"/>
    <w:rsid w:val="00445F2C"/>
    <w:rsid w:val="005115B2"/>
    <w:rsid w:val="00582EA5"/>
    <w:rsid w:val="005B44BB"/>
    <w:rsid w:val="005D11D1"/>
    <w:rsid w:val="005F793E"/>
    <w:rsid w:val="00600B5F"/>
    <w:rsid w:val="00636A65"/>
    <w:rsid w:val="0069311C"/>
    <w:rsid w:val="006A0D97"/>
    <w:rsid w:val="00741C9A"/>
    <w:rsid w:val="00754CB7"/>
    <w:rsid w:val="0076789D"/>
    <w:rsid w:val="007B0D74"/>
    <w:rsid w:val="007C0836"/>
    <w:rsid w:val="0080110A"/>
    <w:rsid w:val="00804CBF"/>
    <w:rsid w:val="00804DB0"/>
    <w:rsid w:val="00820D9C"/>
    <w:rsid w:val="00880703"/>
    <w:rsid w:val="00892608"/>
    <w:rsid w:val="008D3B70"/>
    <w:rsid w:val="008E7632"/>
    <w:rsid w:val="00922095"/>
    <w:rsid w:val="009700CD"/>
    <w:rsid w:val="00986359"/>
    <w:rsid w:val="009D15C2"/>
    <w:rsid w:val="00A83A74"/>
    <w:rsid w:val="00A8452C"/>
    <w:rsid w:val="00A9225C"/>
    <w:rsid w:val="00A92924"/>
    <w:rsid w:val="00B104EA"/>
    <w:rsid w:val="00B30B83"/>
    <w:rsid w:val="00B4683B"/>
    <w:rsid w:val="00B473FA"/>
    <w:rsid w:val="00B83B5F"/>
    <w:rsid w:val="00B845E7"/>
    <w:rsid w:val="00B97461"/>
    <w:rsid w:val="00BB0A55"/>
    <w:rsid w:val="00C502FD"/>
    <w:rsid w:val="00C509B5"/>
    <w:rsid w:val="00C61C08"/>
    <w:rsid w:val="00C90199"/>
    <w:rsid w:val="00CE51DE"/>
    <w:rsid w:val="00D31A71"/>
    <w:rsid w:val="00D35FDB"/>
    <w:rsid w:val="00D40257"/>
    <w:rsid w:val="00D97143"/>
    <w:rsid w:val="00DD54E0"/>
    <w:rsid w:val="00DE1D55"/>
    <w:rsid w:val="00E45613"/>
    <w:rsid w:val="00EC7A91"/>
    <w:rsid w:val="00F030A6"/>
    <w:rsid w:val="00F477D6"/>
    <w:rsid w:val="00FA264E"/>
    <w:rsid w:val="00FF21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EAA0857C-4F0E-43DA-9DC7-7729A130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tyle>
  <w:style w:type="table" w:default="1" w:styleId="Normaltabell">
    <w:name w:val="Normal Table"/>
    <w:tblPr>
      <w:tblInd w:w="0" w:type="dxa"/>
      <w:tblCellMar>
        <w:top w:w="0" w:type="dxa"/>
        <w:left w:w="108" w:type="dxa"/>
        <w:bottom w:w="0" w:type="dxa"/>
        <w:right w:w="108" w:type="dxa"/>
      </w:tblCellMar>
    </w:tblPr>
  </w:style>
  <w:style w:type="numbering" w:default="1" w:styleId="Ingenlista">
    <w:name w:val="No List"/>
  </w:style>
  <w:style w:type="paragraph" w:styleId="Sidfot">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rPr>
      <w:b/>
      <w:vertAlign w:val="superscript"/>
    </w:rPr>
  </w:style>
  <w:style w:type="paragraph" w:styleId="Fotnotstext">
    <w:name w:val="footnote text"/>
    <w:aliases w:val="Schriftart: 9 pt,Schriftart: 10 pt,Schriftart: 8 pt,WB-Fußnotentext"/>
    <w:basedOn w:val="Normal"/>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pPr>
      <w:tabs>
        <w:tab w:val="left" w:pos="1134"/>
        <w:tab w:val="right" w:leader="dot" w:pos="9639"/>
      </w:tabs>
      <w:ind w:left="1134" w:right="567" w:hanging="567"/>
    </w:pPr>
  </w:style>
  <w:style w:type="paragraph" w:styleId="Innehll3">
    <w:name w:val="toc 3"/>
    <w:basedOn w:val="Normal"/>
    <w:next w:val="Normal"/>
    <w:pPr>
      <w:tabs>
        <w:tab w:val="left" w:pos="1701"/>
        <w:tab w:val="right" w:leader="dot" w:pos="9639"/>
      </w:tabs>
      <w:ind w:left="1701" w:right="567" w:hanging="567"/>
    </w:pPr>
  </w:style>
  <w:style w:type="paragraph" w:styleId="Innehll4">
    <w:name w:val="toc 4"/>
    <w:basedOn w:val="Normal"/>
    <w:next w:val="Normal"/>
    <w:pPr>
      <w:tabs>
        <w:tab w:val="left" w:pos="2268"/>
        <w:tab w:val="right" w:pos="9639"/>
      </w:tabs>
      <w:ind w:left="2268" w:right="567" w:hanging="567"/>
    </w:pPr>
  </w:style>
  <w:style w:type="paragraph" w:styleId="Innehll5">
    <w:name w:val="toc 5"/>
    <w:basedOn w:val="Normal"/>
    <w:next w:val="Normal"/>
    <w:pPr>
      <w:tabs>
        <w:tab w:val="left" w:pos="2835"/>
        <w:tab w:val="right" w:leader="dot" w:pos="9639"/>
      </w:tabs>
      <w:ind w:left="2835" w:right="567" w:hanging="567"/>
    </w:pPr>
  </w:style>
  <w:style w:type="paragraph" w:styleId="Innehll6">
    <w:name w:val="toc 6"/>
    <w:basedOn w:val="Normal"/>
    <w:next w:val="Normal"/>
    <w:pPr>
      <w:tabs>
        <w:tab w:val="left" w:pos="3402"/>
        <w:tab w:val="right" w:leader="dot" w:pos="9639"/>
      </w:tabs>
      <w:ind w:left="3402" w:right="567" w:hanging="567"/>
    </w:pPr>
  </w:style>
  <w:style w:type="paragraph" w:styleId="Innehll7">
    <w:name w:val="toc 7"/>
    <w:basedOn w:val="Normal"/>
    <w:next w:val="Normal"/>
    <w:pPr>
      <w:tabs>
        <w:tab w:val="left" w:pos="3969"/>
        <w:tab w:val="right" w:leader="dot" w:pos="9639"/>
      </w:tabs>
      <w:ind w:left="3969" w:right="567" w:hanging="567"/>
    </w:pPr>
  </w:style>
  <w:style w:type="paragraph" w:styleId="Innehll8">
    <w:name w:val="toc 8"/>
    <w:basedOn w:val="Normal"/>
    <w:next w:val="Normal"/>
    <w:pPr>
      <w:tabs>
        <w:tab w:val="left" w:pos="4536"/>
        <w:tab w:val="right" w:leader="dot" w:pos="9639"/>
      </w:tabs>
      <w:ind w:left="4536" w:right="567" w:hanging="567"/>
    </w:pPr>
  </w:style>
  <w:style w:type="paragraph" w:styleId="Innehll9">
    <w:name w:val="toc 9"/>
    <w:basedOn w:val="Normal"/>
    <w:next w:val="Normal"/>
    <w:pPr>
      <w:tabs>
        <w:tab w:val="left" w:pos="5103"/>
        <w:tab w:val="right" w:leader="dot" w:pos="9639"/>
      </w:tabs>
      <w:ind w:left="5103" w:right="567" w:hanging="567"/>
    </w:pPr>
  </w:style>
  <w:style w:type="paragraph" w:styleId="Slutnotstext">
    <w:name w:val="endnote text"/>
    <w:basedOn w:val="Normal"/>
    <w:pPr>
      <w:tabs>
        <w:tab w:val="left" w:pos="567"/>
      </w:tabs>
      <w:spacing w:line="240" w:lineRule="auto"/>
      <w:ind w:left="567" w:hanging="567"/>
    </w:pPr>
  </w:style>
  <w:style w:type="character" w:styleId="Slutnotsreferens">
    <w:name w:val="endnote reference"/>
    <w:basedOn w:val="Standardstycketeckensnitt"/>
    <w:rPr>
      <w:b/>
      <w:vertAlign w:val="superscript"/>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rsid w:val="003D12D6"/>
    <w:rPr>
      <w:color w:val="FF0000"/>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rsid w:val="00892608"/>
    <w:pPr>
      <w:shd w:val="clear" w:color="auto" w:fill="000080"/>
    </w:pPr>
    <w:rPr>
      <w:rFonts w:ascii="Tahoma" w:hAnsi="Tahoma" w:cs="Tahoma"/>
    </w:rPr>
  </w:style>
  <w:style w:type="paragraph" w:customStyle="1" w:styleId="ind">
    <w:name w:val="ind"/>
    <w:basedOn w:val="Normal"/>
    <w:rsid w:val="00B473FA"/>
    <w:pPr>
      <w:numPr>
        <w:numId w:val="1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1717</Words>
  <Characters>8878</Characters>
  <Application>Microsoft Office Word</Application>
  <DocSecurity>4</DocSecurity>
  <Lines>233</Lines>
  <Paragraphs>94</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2006-04-27T08:43:00Z</cp:lastPrinted>
  <dcterms:created xsi:type="dcterms:W3CDTF">2025-12-16T23:05:00Z</dcterms:created>
  <dcterms:modified xsi:type="dcterms:W3CDTF">2025-12-16T23:05:00Z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ipControlLengthPage">
    <vt:lpwstr/>
  </property>
</Properties>
</file>