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73361-54E6-4C1C-9B64-3EF6B526DBE3}"/>
</file>

<file path=customXml/itemProps2.xml><?xml version="1.0" encoding="utf-8"?>
<ds:datastoreItem xmlns:ds="http://schemas.openxmlformats.org/officeDocument/2006/customXml" ds:itemID="{1B9214B2-B08D-4AE2-A55A-6E93E39B75AE}"/>
</file>

<file path=customXml/itemProps3.xml><?xml version="1.0" encoding="utf-8"?>
<ds:datastoreItem xmlns:ds="http://schemas.openxmlformats.org/officeDocument/2006/customXml" ds:itemID="{5D95AFCB-5953-48DD-81E1-B40AF3A038E6}"/>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