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6650" w:rsidRPr="00B11BD3" w:rsidRDefault="00196650" w:rsidP="00E80BD8">
      <w:pPr>
        <w:pStyle w:val="Hemstlrubrik"/>
      </w:pPr>
      <w:r w:rsidRPr="00B11BD3">
        <w:t>Förslag till riksdagsbeslut</w:t>
      </w:r>
    </w:p>
    <w:p w:rsidR="00735744" w:rsidRPr="00B11BD3" w:rsidRDefault="00735744">
      <w:pPr>
        <w:pStyle w:val="Hemstlatt"/>
        <w:numPr>
          <w:ilvl w:val="0"/>
          <w:numId w:val="1"/>
        </w:numPr>
      </w:pPr>
      <w:r w:rsidRPr="00B11BD3">
        <w:t>Riksdagen beslutar att avslå regeringens förslag dels om nya mål för politikområdet Skatt, tull och exekution, dels om upphävande av nuvarande mål för politikområdet.</w:t>
      </w:r>
    </w:p>
    <w:p w:rsidR="00735744" w:rsidRPr="00B11BD3" w:rsidRDefault="00735744">
      <w:pPr>
        <w:pStyle w:val="Hemstlatt"/>
        <w:numPr>
          <w:ilvl w:val="0"/>
          <w:numId w:val="1"/>
        </w:numPr>
      </w:pPr>
      <w:r w:rsidRPr="00B11BD3">
        <w:t>Riksdagen anvisar med följande ändring i förhållande till regeringens förslag anslag 3:1 under utgiftsområde 3 Skatt, tull och ex</w:t>
      </w:r>
      <w:r w:rsidRPr="00B11BD3">
        <w:t>e</w:t>
      </w:r>
      <w:r w:rsidRPr="00B11BD3">
        <w:t>kution enligt uppställning:</w:t>
      </w:r>
    </w:p>
    <w:tbl>
      <w:tblPr>
        <w:tblW w:w="5557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1957"/>
        <w:gridCol w:w="1627"/>
        <w:gridCol w:w="1321"/>
      </w:tblGrid>
      <w:tr w:rsidR="006769E9" w:rsidRPr="00B11BD3">
        <w:trPr>
          <w:trHeight w:val="420"/>
        </w:trPr>
        <w:tc>
          <w:tcPr>
            <w:tcW w:w="65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:rsidR="00735744" w:rsidRPr="00B11BD3" w:rsidRDefault="00735744">
            <w:pPr>
              <w:spacing w:line="200" w:lineRule="exact"/>
              <w:rPr>
                <w:b/>
                <w:bCs/>
                <w:color w:val="000000"/>
                <w:sz w:val="16"/>
                <w:szCs w:val="16"/>
              </w:rPr>
            </w:pPr>
            <w:r w:rsidRPr="00B11BD3">
              <w:rPr>
                <w:b/>
                <w:bCs/>
                <w:color w:val="000000"/>
                <w:sz w:val="16"/>
                <w:szCs w:val="16"/>
              </w:rPr>
              <w:t>UO 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:rsidR="00735744" w:rsidRPr="00B11BD3" w:rsidRDefault="00735744">
            <w:pPr>
              <w:spacing w:line="200" w:lineRule="exact"/>
              <w:rPr>
                <w:b/>
                <w:bCs/>
                <w:color w:val="000000"/>
                <w:sz w:val="16"/>
                <w:szCs w:val="16"/>
              </w:rPr>
            </w:pPr>
            <w:r w:rsidRPr="00B11BD3">
              <w:rPr>
                <w:b/>
                <w:bCs/>
                <w:color w:val="000000"/>
                <w:sz w:val="16"/>
                <w:szCs w:val="16"/>
              </w:rPr>
              <w:t>Skatt, tull och exekution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:rsidR="00735744" w:rsidRPr="00B11BD3" w:rsidRDefault="00735744">
            <w:pPr>
              <w:spacing w:line="200" w:lineRule="exact"/>
              <w:rPr>
                <w:b/>
                <w:bCs/>
                <w:color w:val="000000"/>
                <w:sz w:val="16"/>
                <w:szCs w:val="16"/>
              </w:rPr>
            </w:pPr>
            <w:r w:rsidRPr="00B11BD3">
              <w:rPr>
                <w:b/>
                <w:sz w:val="16"/>
                <w:szCs w:val="16"/>
              </w:rPr>
              <w:t>Regeringens förslag (tkr)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:rsidR="00735744" w:rsidRPr="00B11BD3" w:rsidRDefault="00735744">
            <w:pPr>
              <w:spacing w:line="200" w:lineRule="exact"/>
              <w:rPr>
                <w:b/>
                <w:bCs/>
                <w:color w:val="000000"/>
                <w:sz w:val="16"/>
                <w:szCs w:val="16"/>
              </w:rPr>
            </w:pPr>
            <w:r w:rsidRPr="00B11BD3">
              <w:rPr>
                <w:b/>
                <w:bCs/>
                <w:color w:val="000000"/>
                <w:sz w:val="16"/>
                <w:szCs w:val="16"/>
              </w:rPr>
              <w:t xml:space="preserve">Förändring </w:t>
            </w:r>
            <w:r w:rsidRPr="00B11BD3">
              <w:rPr>
                <w:b/>
                <w:sz w:val="16"/>
                <w:szCs w:val="16"/>
              </w:rPr>
              <w:t>(tkr)</w:t>
            </w:r>
          </w:p>
        </w:tc>
      </w:tr>
      <w:tr w:rsidR="006769E9" w:rsidRPr="00B11BD3">
        <w:trPr>
          <w:trHeight w:val="319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735744" w:rsidRPr="00B11BD3" w:rsidRDefault="00735744">
            <w:pPr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B11BD3">
              <w:rPr>
                <w:color w:val="000000"/>
                <w:sz w:val="16"/>
                <w:szCs w:val="16"/>
              </w:rPr>
              <w:t>3:1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735744" w:rsidRPr="00B11BD3" w:rsidRDefault="00735744">
            <w:pPr>
              <w:spacing w:before="60" w:line="200" w:lineRule="exact"/>
              <w:rPr>
                <w:color w:val="000000"/>
                <w:sz w:val="16"/>
                <w:szCs w:val="16"/>
              </w:rPr>
            </w:pPr>
            <w:r w:rsidRPr="00B11BD3">
              <w:rPr>
                <w:color w:val="000000"/>
                <w:sz w:val="16"/>
                <w:szCs w:val="16"/>
              </w:rPr>
              <w:t>Skatteverket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735744" w:rsidRPr="00B11BD3" w:rsidRDefault="00735744">
            <w:pPr>
              <w:spacing w:before="60"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B11BD3">
              <w:rPr>
                <w:color w:val="000000"/>
                <w:sz w:val="16"/>
                <w:szCs w:val="16"/>
              </w:rPr>
              <w:t>6 241 700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735744" w:rsidRPr="00B11BD3" w:rsidRDefault="00735744">
            <w:pPr>
              <w:spacing w:before="60"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B11BD3">
              <w:rPr>
                <w:color w:val="000000"/>
                <w:sz w:val="16"/>
                <w:szCs w:val="16"/>
              </w:rPr>
              <w:t>75 000</w:t>
            </w:r>
          </w:p>
        </w:tc>
      </w:tr>
      <w:tr w:rsidR="006769E9" w:rsidRPr="00B11BD3">
        <w:trPr>
          <w:trHeight w:val="319"/>
        </w:trPr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744" w:rsidRPr="00B11BD3" w:rsidRDefault="00735744">
            <w:pPr>
              <w:spacing w:before="60" w:line="200" w:lineRule="exac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744" w:rsidRPr="00B11BD3" w:rsidRDefault="00735744">
            <w:pPr>
              <w:spacing w:before="60" w:line="200" w:lineRule="exact"/>
              <w:rPr>
                <w:b/>
                <w:bCs/>
                <w:color w:val="000000"/>
                <w:sz w:val="16"/>
                <w:szCs w:val="16"/>
              </w:rPr>
            </w:pPr>
            <w:r w:rsidRPr="00B11BD3">
              <w:rPr>
                <w:b/>
                <w:bCs/>
                <w:color w:val="000000"/>
                <w:sz w:val="16"/>
                <w:szCs w:val="16"/>
              </w:rPr>
              <w:t>Summa: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744" w:rsidRPr="00B11BD3" w:rsidRDefault="00735744">
            <w:pPr>
              <w:spacing w:before="60" w:line="20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744" w:rsidRPr="00B11BD3" w:rsidRDefault="00735744">
            <w:pPr>
              <w:spacing w:before="60" w:line="20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1BD3">
              <w:rPr>
                <w:b/>
                <w:bCs/>
                <w:color w:val="000000"/>
                <w:sz w:val="16"/>
                <w:szCs w:val="16"/>
              </w:rPr>
              <w:t>75 000</w:t>
            </w:r>
          </w:p>
        </w:tc>
      </w:tr>
    </w:tbl>
    <w:p w:rsidR="00735744" w:rsidRPr="00B11BD3" w:rsidRDefault="00735744"/>
    <w:p w:rsidR="00E84F25" w:rsidRPr="00B11BD3" w:rsidRDefault="002E41A4" w:rsidP="00EB04A1">
      <w:pPr>
        <w:pStyle w:val="Rubrik1"/>
        <w:spacing w:before="240"/>
      </w:pPr>
      <w:r w:rsidRPr="00B11BD3">
        <w:t>Motivering</w:t>
      </w:r>
    </w:p>
    <w:p w:rsidR="002E41A4" w:rsidRPr="00B11BD3" w:rsidRDefault="002E41A4" w:rsidP="002E41A4">
      <w:r w:rsidRPr="00B11BD3">
        <w:t>Förtroendet för skattesystemet och förtroendet för att Skatteverket kan</w:t>
      </w:r>
      <w:r w:rsidR="00265A76" w:rsidRPr="00B11BD3">
        <w:t xml:space="preserve"> </w:t>
      </w:r>
      <w:r w:rsidRPr="00B11BD3">
        <w:t>säke</w:t>
      </w:r>
      <w:r w:rsidRPr="00B11BD3">
        <w:t>r</w:t>
      </w:r>
      <w:r w:rsidRPr="00B11BD3">
        <w:t>ställa att enskilda och företag betalar den skatt de skall är av betydelse för att målen för verksamheten skall kunna uppnås. Ut</w:t>
      </w:r>
      <w:r w:rsidR="00775A61" w:rsidRPr="00B11BD3">
        <w:t>gångspunkten för skatteko</w:t>
      </w:r>
      <w:r w:rsidR="00775A61" w:rsidRPr="00B11BD3">
        <w:t>n</w:t>
      </w:r>
      <w:r w:rsidR="00775A61" w:rsidRPr="00B11BD3">
        <w:t>troll</w:t>
      </w:r>
      <w:r w:rsidRPr="00B11BD3">
        <w:t>verksamheten är att den skall vara synlig och inriktad på att ge största möjliga preventiva effekt.</w:t>
      </w:r>
      <w:r w:rsidR="00773566" w:rsidRPr="00B11BD3">
        <w:t xml:space="preserve"> De mål för politikområdet</w:t>
      </w:r>
      <w:r w:rsidR="00F3130C" w:rsidRPr="00B11BD3">
        <w:t xml:space="preserve"> Skatt, tull och exekution</w:t>
      </w:r>
      <w:r w:rsidR="00773566" w:rsidRPr="00B11BD3">
        <w:t xml:space="preserve"> som den dåvarande riksdagen beslöt om med anledning av 2006 års budge</w:t>
      </w:r>
      <w:r w:rsidR="00773566" w:rsidRPr="00B11BD3">
        <w:t>t</w:t>
      </w:r>
      <w:r w:rsidR="00773566" w:rsidRPr="00B11BD3">
        <w:t>proposition bör ligga fast.</w:t>
      </w:r>
      <w:r w:rsidR="00E154CA" w:rsidRPr="00B11BD3">
        <w:t xml:space="preserve"> Riksdagen bör därför avslå regeringens förslag om nya mål för politikområdet Skatt, tull och exekution.</w:t>
      </w:r>
    </w:p>
    <w:p w:rsidR="002E41A4" w:rsidRPr="00B11BD3" w:rsidRDefault="002E41A4" w:rsidP="002E41A4">
      <w:pPr>
        <w:pStyle w:val="Normaltindrag"/>
      </w:pPr>
      <w:r w:rsidRPr="00B11BD3">
        <w:t>För Skatteverket gäller vidare att säkerställa att fastställda skatter och a</w:t>
      </w:r>
      <w:r w:rsidRPr="00B11BD3">
        <w:t>v</w:t>
      </w:r>
      <w:r w:rsidRPr="00B11BD3">
        <w:t>gifter betalas och att det görs inom utsatt tid. Att bekämpa skatteundandr</w:t>
      </w:r>
      <w:r w:rsidRPr="00B11BD3">
        <w:t>a</w:t>
      </w:r>
      <w:r w:rsidRPr="00B11BD3">
        <w:t xml:space="preserve">gande och skattefusk är en viktig uppgift för samhället och inte minst </w:t>
      </w:r>
      <w:r w:rsidR="006F13B4" w:rsidRPr="00B11BD3">
        <w:t xml:space="preserve">för </w:t>
      </w:r>
      <w:r w:rsidRPr="00B11BD3">
        <w:t>Skatteverket. Även om uppbördsförlusterna räknade i procent är låg</w:t>
      </w:r>
      <w:r w:rsidR="000C2D65" w:rsidRPr="00B11BD3">
        <w:t>a</w:t>
      </w:r>
      <w:r w:rsidRPr="00B11BD3">
        <w:t xml:space="preserve"> och</w:t>
      </w:r>
      <w:r w:rsidR="000C2D65" w:rsidRPr="00B11BD3">
        <w:t xml:space="preserve"> har</w:t>
      </w:r>
      <w:r w:rsidRPr="00B11BD3">
        <w:t xml:space="preserve"> </w:t>
      </w:r>
      <w:r w:rsidRPr="00B11BD3">
        <w:lastRenderedPageBreak/>
        <w:t>haft en gynnsam utveckling de senaste åren, handlar det om mycket stora belopp i kronor räknat.</w:t>
      </w:r>
    </w:p>
    <w:p w:rsidR="002E41A4" w:rsidRPr="00B11BD3" w:rsidRDefault="002E41A4" w:rsidP="002E41A4">
      <w:pPr>
        <w:pStyle w:val="Normaltindrag"/>
      </w:pPr>
      <w:r w:rsidRPr="00B11BD3">
        <w:t>Medborgares och företags förtroende för skattesystemet och Skatteverket bygger även på att regelverk och handläggningsprocedurer är rationella, ty</w:t>
      </w:r>
      <w:r w:rsidRPr="00B11BD3">
        <w:t>d</w:t>
      </w:r>
      <w:r w:rsidRPr="00B11BD3">
        <w:t>liga och förståeliga. Många fel i exempelvis deklarationer måste fortfarande rättas till. Till viss del kan dessa fel bero på komplicerad lagstiftning, alltför krångliga regler, svåra blanketter eller information som är svår för den enski</w:t>
      </w:r>
      <w:r w:rsidRPr="00B11BD3">
        <w:t>l</w:t>
      </w:r>
      <w:r w:rsidRPr="00B11BD3">
        <w:t>de att förstå. Regelförenklingar är därför av största vikt för såväl enskilda som företag och för det interna arbetet inom Skatteverket.</w:t>
      </w:r>
    </w:p>
    <w:p w:rsidR="002E41A4" w:rsidRPr="00B11BD3" w:rsidRDefault="002E41A4" w:rsidP="002E41A4">
      <w:pPr>
        <w:pStyle w:val="Normaltindrag"/>
      </w:pPr>
      <w:r w:rsidRPr="00B11BD3">
        <w:t>Mot denna bakgrund anser Vänsterpartiet att Skatteverkets anslag bör til</w:t>
      </w:r>
      <w:r w:rsidRPr="00B11BD3">
        <w:t>l</w:t>
      </w:r>
      <w:r w:rsidRPr="00B11BD3">
        <w:t xml:space="preserve">föras medel som säkerställer att myndigheten även fortsättningsvis kan </w:t>
      </w:r>
      <w:r w:rsidR="00CC3CF5" w:rsidRPr="00B11BD3">
        <w:t>erbj</w:t>
      </w:r>
      <w:r w:rsidR="00CC3CF5" w:rsidRPr="00B11BD3">
        <w:t>u</w:t>
      </w:r>
      <w:r w:rsidR="00CC3CF5" w:rsidRPr="00B11BD3">
        <w:t>da en bra service till allmänhet och företag. Det är också viktigt att få me</w:t>
      </w:r>
      <w:r w:rsidR="00CC3CF5" w:rsidRPr="00B11BD3">
        <w:t>d</w:t>
      </w:r>
      <w:r w:rsidR="00CC3CF5" w:rsidRPr="00B11BD3">
        <w:t xml:space="preserve">borgarna att känna </w:t>
      </w:r>
      <w:r w:rsidR="00310550" w:rsidRPr="00B11BD3">
        <w:t xml:space="preserve">förtroende för rättssäkerhet och rättstrygghet i systemet. </w:t>
      </w:r>
      <w:r w:rsidR="00775A61" w:rsidRPr="00B11BD3">
        <w:t xml:space="preserve">Vårt förslag är </w:t>
      </w:r>
      <w:r w:rsidR="00310550" w:rsidRPr="00B11BD3">
        <w:t xml:space="preserve">därför </w:t>
      </w:r>
      <w:r w:rsidR="00775A61" w:rsidRPr="00B11BD3">
        <w:t>att anslaget</w:t>
      </w:r>
      <w:r w:rsidR="006F13B4" w:rsidRPr="00B11BD3">
        <w:t xml:space="preserve"> till Skatteverket</w:t>
      </w:r>
      <w:r w:rsidR="00310550" w:rsidRPr="00B11BD3">
        <w:t>s verksamhet</w:t>
      </w:r>
      <w:r w:rsidR="006F13B4" w:rsidRPr="00B11BD3">
        <w:t xml:space="preserve"> höjs med 75</w:t>
      </w:r>
      <w:r w:rsidR="00265A76" w:rsidRPr="00B11BD3">
        <w:t> </w:t>
      </w:r>
      <w:r w:rsidR="00775A61" w:rsidRPr="00B11BD3">
        <w:t>miljoner kronor.</w:t>
      </w:r>
      <w:r w:rsidR="00E80BD8" w:rsidRPr="00B11BD3">
        <w:t xml:space="preserve"> Detta vill vi att riksdagen som sin mening skall ge rege</w:t>
      </w:r>
      <w:r w:rsidR="00E80BD8" w:rsidRPr="00B11BD3">
        <w:t>r</w:t>
      </w:r>
      <w:r w:rsidR="00E80BD8" w:rsidRPr="00B11BD3">
        <w:t>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11BD3">
        <w:trPr>
          <w:cantSplit/>
        </w:trPr>
        <w:tc>
          <w:tcPr>
            <w:tcW w:w="3046" w:type="dxa"/>
          </w:tcPr>
          <w:p w:rsidR="00735744" w:rsidRPr="00B11BD3" w:rsidRDefault="00735744">
            <w:pPr>
              <w:pStyle w:val="UnderskriftDatum"/>
              <w:spacing w:before="240"/>
            </w:pPr>
            <w:r w:rsidRPr="00B11BD3">
              <w:t>Stockholm den 26 oktober 2006</w:t>
            </w:r>
          </w:p>
        </w:tc>
        <w:tc>
          <w:tcPr>
            <w:tcW w:w="3047" w:type="dxa"/>
          </w:tcPr>
          <w:p w:rsidR="00735744" w:rsidRPr="00B11BD3" w:rsidRDefault="00735744">
            <w:pPr>
              <w:pStyle w:val="Underskrifter"/>
              <w:spacing w:before="240"/>
            </w:pPr>
          </w:p>
        </w:tc>
      </w:tr>
      <w:tr w:rsidR="00000000" w:rsidRPr="00B11BD3">
        <w:trPr>
          <w:cantSplit/>
        </w:trPr>
        <w:tc>
          <w:tcPr>
            <w:tcW w:w="3046" w:type="dxa"/>
          </w:tcPr>
          <w:p w:rsidR="00735744" w:rsidRPr="00B11BD3" w:rsidRDefault="00735744">
            <w:pPr>
              <w:pStyle w:val="Underskrifter"/>
            </w:pPr>
            <w:r w:rsidRPr="00B11BD3">
              <w:t>Lars Ohly (v)</w:t>
            </w:r>
          </w:p>
        </w:tc>
        <w:tc>
          <w:tcPr>
            <w:tcW w:w="3046" w:type="dxa"/>
          </w:tcPr>
          <w:p w:rsidR="00735744" w:rsidRPr="00B11BD3" w:rsidRDefault="00735744">
            <w:pPr>
              <w:pStyle w:val="Underskrifter"/>
            </w:pPr>
          </w:p>
        </w:tc>
      </w:tr>
      <w:tr w:rsidR="00000000" w:rsidRPr="00B11BD3">
        <w:trPr>
          <w:cantSplit/>
        </w:trPr>
        <w:tc>
          <w:tcPr>
            <w:tcW w:w="3046" w:type="dxa"/>
          </w:tcPr>
          <w:p w:rsidR="00735744" w:rsidRPr="00B11BD3" w:rsidRDefault="00735744">
            <w:pPr>
              <w:pStyle w:val="Underskrifter"/>
            </w:pPr>
            <w:r w:rsidRPr="00B11BD3">
              <w:t>Wiwi-Anne Johansson (v)</w:t>
            </w:r>
          </w:p>
        </w:tc>
        <w:tc>
          <w:tcPr>
            <w:tcW w:w="3046" w:type="dxa"/>
          </w:tcPr>
          <w:p w:rsidR="00735744" w:rsidRPr="00B11BD3" w:rsidRDefault="00735744">
            <w:pPr>
              <w:pStyle w:val="Underskrifter"/>
            </w:pPr>
            <w:r w:rsidRPr="00B11BD3">
              <w:t>Elina Linna (v)</w:t>
            </w:r>
          </w:p>
        </w:tc>
      </w:tr>
      <w:tr w:rsidR="00000000" w:rsidRPr="00B11BD3">
        <w:trPr>
          <w:cantSplit/>
        </w:trPr>
        <w:tc>
          <w:tcPr>
            <w:tcW w:w="3046" w:type="dxa"/>
          </w:tcPr>
          <w:p w:rsidR="00735744" w:rsidRPr="00B11BD3" w:rsidRDefault="00735744">
            <w:pPr>
              <w:pStyle w:val="Underskrifter"/>
            </w:pPr>
            <w:r w:rsidRPr="00B11BD3">
              <w:t>Peter Pedersen (v)</w:t>
            </w:r>
          </w:p>
        </w:tc>
        <w:tc>
          <w:tcPr>
            <w:tcW w:w="3046" w:type="dxa"/>
          </w:tcPr>
          <w:p w:rsidR="00735744" w:rsidRPr="00B11BD3" w:rsidRDefault="00735744">
            <w:pPr>
              <w:pStyle w:val="Underskrifter"/>
            </w:pPr>
            <w:r w:rsidRPr="00B11BD3">
              <w:t>Kent Persson (v)</w:t>
            </w:r>
          </w:p>
        </w:tc>
      </w:tr>
      <w:tr w:rsidR="00000000" w:rsidRPr="00B11BD3">
        <w:trPr>
          <w:cantSplit/>
        </w:trPr>
        <w:tc>
          <w:tcPr>
            <w:tcW w:w="3046" w:type="dxa"/>
          </w:tcPr>
          <w:p w:rsidR="00735744" w:rsidRPr="00B11BD3" w:rsidRDefault="00735744">
            <w:pPr>
              <w:pStyle w:val="Underskrifter"/>
            </w:pPr>
            <w:r w:rsidRPr="00B11BD3">
              <w:t>Alice Åström (v)</w:t>
            </w:r>
          </w:p>
        </w:tc>
        <w:tc>
          <w:tcPr>
            <w:tcW w:w="3046" w:type="dxa"/>
          </w:tcPr>
          <w:p w:rsidR="00735744" w:rsidRPr="00B11BD3" w:rsidRDefault="00735744">
            <w:pPr>
              <w:pStyle w:val="Underskrifter"/>
            </w:pPr>
            <w:r w:rsidRPr="00B11BD3">
              <w:t>Marie Engström (v)</w:t>
            </w:r>
          </w:p>
        </w:tc>
      </w:tr>
    </w:tbl>
    <w:p w:rsidR="00C2244D" w:rsidRPr="00B11BD3" w:rsidRDefault="00C2244D" w:rsidP="000C2D65">
      <w:pPr>
        <w:pStyle w:val="Normaltindrag"/>
      </w:pPr>
    </w:p>
    <w:sectPr w:rsidR="00C2244D" w:rsidRPr="00B11BD3" w:rsidSect="000C2D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5744" w:rsidRPr="00B11BD3" w:rsidRDefault="00735744">
      <w:r w:rsidRPr="00B11BD3">
        <w:separator/>
      </w:r>
    </w:p>
  </w:endnote>
  <w:endnote w:type="continuationSeparator" w:id="0">
    <w:p w:rsidR="00735744" w:rsidRPr="00B11BD3" w:rsidRDefault="00735744">
      <w:r w:rsidRPr="00B11B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2D65" w:rsidRPr="00B11BD3" w:rsidRDefault="00B11BD3" w:rsidP="000C2D65">
    <w:pPr>
      <w:pStyle w:val="Sidfot"/>
    </w:pPr>
    <w:r w:rsidRPr="00B11B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19980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D65" w:rsidRDefault="0073574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C2D6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C2D65" w:rsidRDefault="00735744">
                    <w:pPr>
                      <w:pStyle w:val="NormalS5sidnrV"/>
                    </w:pPr>
                    <w:r>
                      <w:fldChar w:fldCharType="begin"/>
                    </w:r>
                    <w:r w:rsidR="000C2D6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D03" w:rsidRPr="00B11BD3" w:rsidRDefault="00B11BD3" w:rsidP="000C2D65">
    <w:pPr>
      <w:pStyle w:val="Sidfot"/>
    </w:pPr>
    <w:r w:rsidRPr="00B11B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00640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D65" w:rsidRDefault="007357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C2D6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C2D6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2D65" w:rsidRDefault="007357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C2D65">
                      <w:instrText xml:space="preserve"> PAGE *\charformat</w:instrText>
                    </w:r>
                    <w:r>
                      <w:fldChar w:fldCharType="separate"/>
                    </w:r>
                    <w:r w:rsidR="000C2D6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D03" w:rsidRPr="00B11BD3" w:rsidRDefault="00B11BD3" w:rsidP="000C2D65">
    <w:pPr>
      <w:pStyle w:val="Sidfot"/>
    </w:pPr>
    <w:r w:rsidRPr="00B11B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91860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D65" w:rsidRDefault="007357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C2D6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2D65" w:rsidRDefault="007357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C2D6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5744" w:rsidRPr="00B11BD3" w:rsidRDefault="00735744">
      <w:r w:rsidRPr="00B11BD3">
        <w:separator/>
      </w:r>
    </w:p>
  </w:footnote>
  <w:footnote w:type="continuationSeparator" w:id="0">
    <w:p w:rsidR="00735744" w:rsidRPr="00B11BD3" w:rsidRDefault="00735744">
      <w:r w:rsidRPr="00B11B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2D65" w:rsidRPr="00B11BD3" w:rsidRDefault="00B11BD3" w:rsidP="000C2D65">
    <w:pPr>
      <w:pStyle w:val="Sidhuvud"/>
    </w:pPr>
    <w:r w:rsidRPr="00B11B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50661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D65" w:rsidRDefault="0073574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C2D6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F6048">
                            <w:t>2006/07</w:t>
                          </w:r>
                          <w:r>
                            <w:fldChar w:fldCharType="end"/>
                          </w:r>
                          <w:r w:rsidR="000C2D65">
                            <w:t>:</w:t>
                          </w:r>
                          <w:r>
                            <w:fldChar w:fldCharType="begin"/>
                          </w:r>
                          <w:r w:rsidR="000C2D6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F6048">
                            <w:t>Sk289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C2D65" w:rsidRDefault="00735744">
                    <w:pPr>
                      <w:pStyle w:val="KantRubrikS5V"/>
                    </w:pPr>
                    <w:r>
                      <w:fldChar w:fldCharType="begin"/>
                    </w:r>
                    <w:r w:rsidR="000C2D6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F6048">
                      <w:t>2006/07</w:t>
                    </w:r>
                    <w:r>
                      <w:fldChar w:fldCharType="end"/>
                    </w:r>
                    <w:r w:rsidR="000C2D65">
                      <w:t>:</w:t>
                    </w:r>
                    <w:r>
                      <w:fldChar w:fldCharType="begin"/>
                    </w:r>
                    <w:r w:rsidR="000C2D6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F6048">
                      <w:t>Sk289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D03" w:rsidRPr="00B11BD3" w:rsidRDefault="00B11BD3" w:rsidP="000C2D65">
    <w:pPr>
      <w:pStyle w:val="Sidhuvud"/>
    </w:pPr>
    <w:r w:rsidRPr="00B11B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522293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D65" w:rsidRDefault="0073574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C2D6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F6048">
                            <w:t>2006/07</w:t>
                          </w:r>
                          <w:r>
                            <w:fldChar w:fldCharType="end"/>
                          </w:r>
                          <w:r w:rsidR="000C2D65">
                            <w:t>:</w:t>
                          </w:r>
                          <w:r>
                            <w:fldChar w:fldCharType="begin"/>
                          </w:r>
                          <w:r w:rsidR="000C2D6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F6048">
                            <w:t>Sk289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C2D65" w:rsidRDefault="0073574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C2D6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F6048">
                      <w:t>2006/07</w:t>
                    </w:r>
                    <w:r>
                      <w:fldChar w:fldCharType="end"/>
                    </w:r>
                    <w:r w:rsidR="000C2D65">
                      <w:t>:</w:t>
                    </w:r>
                    <w:r>
                      <w:fldChar w:fldCharType="begin"/>
                    </w:r>
                    <w:r w:rsidR="000C2D6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F6048">
                      <w:t>Sk289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744" w:rsidRPr="00B11BD3" w:rsidRDefault="00735744">
    <w:pPr>
      <w:pStyle w:val="FSHNormal"/>
      <w:tabs>
        <w:tab w:val="right" w:pos="5840"/>
      </w:tabs>
    </w:pPr>
    <w:r w:rsidRPr="00B11BD3">
      <w:br/>
    </w:r>
    <w:r w:rsidRPr="00B11BD3">
      <w:fldChar w:fldCharType="begin" w:fldLock="1"/>
    </w:r>
    <w:r w:rsidRPr="00B11BD3">
      <w:instrText xml:space="preserve"> DOCPROPERTY</w:instrText>
    </w:r>
    <w:r w:rsidRPr="00B11BD3">
      <w:rPr>
        <w:sz w:val="18"/>
      </w:rPr>
      <w:instrText xml:space="preserve"> "YearUser" *\charformat </w:instrText>
    </w:r>
    <w:r w:rsidRPr="00B11BD3">
      <w:fldChar w:fldCharType="separate"/>
    </w:r>
    <w:r w:rsidRPr="00B11BD3">
      <w:t>2006/07</w:t>
    </w:r>
    <w:r w:rsidRPr="00B11BD3">
      <w:fldChar w:fldCharType="end"/>
    </w:r>
    <w:r w:rsidRPr="00B11BD3">
      <w:t xml:space="preserve"> </w:t>
    </w:r>
    <w:r w:rsidRPr="00B11BD3">
      <w:tab/>
      <w:t xml:space="preserve">mnr: </w:t>
    </w:r>
    <w:r w:rsidRPr="00B11BD3">
      <w:fldChar w:fldCharType="begin" w:fldLock="1"/>
    </w:r>
    <w:r w:rsidRPr="00B11BD3">
      <w:instrText xml:space="preserve"> DOCPROPERTY</w:instrText>
    </w:r>
    <w:r w:rsidRPr="00B11BD3">
      <w:rPr>
        <w:sz w:val="18"/>
      </w:rPr>
      <w:instrText xml:space="preserve"> "Motionsnummer" *\charformat </w:instrText>
    </w:r>
    <w:r w:rsidRPr="00B11BD3">
      <w:fldChar w:fldCharType="separate"/>
    </w:r>
    <w:r w:rsidRPr="00B11BD3">
      <w:t>Sk289</w:t>
    </w:r>
    <w:r w:rsidRPr="00B11BD3">
      <w:fldChar w:fldCharType="end"/>
    </w:r>
    <w:r w:rsidRPr="00B11BD3">
      <w:br/>
    </w:r>
    <w:r w:rsidRPr="00B11BD3">
      <w:fldChar w:fldCharType="begin" w:fldLock="1"/>
    </w:r>
    <w:r w:rsidRPr="00B11BD3">
      <w:instrText xml:space="preserve"> DOCPROPERTY</w:instrText>
    </w:r>
    <w:r w:rsidRPr="00B11BD3">
      <w:rPr>
        <w:sz w:val="18"/>
      </w:rPr>
      <w:instrText xml:space="preserve"> "Samling" *\charformat </w:instrText>
    </w:r>
    <w:r w:rsidRPr="00B11BD3">
      <w:fldChar w:fldCharType="end"/>
    </w:r>
    <w:r w:rsidRPr="00B11BD3">
      <w:tab/>
      <w:t xml:space="preserve">pnr: </w:t>
    </w:r>
    <w:r w:rsidRPr="00B11BD3">
      <w:fldChar w:fldCharType="begin" w:fldLock="1"/>
    </w:r>
    <w:r w:rsidRPr="00B11BD3">
      <w:instrText xml:space="preserve"> DOCPROPERTY</w:instrText>
    </w:r>
    <w:r w:rsidRPr="00B11BD3">
      <w:rPr>
        <w:sz w:val="18"/>
      </w:rPr>
      <w:instrText xml:space="preserve"> "Partinummer" *\charformat </w:instrText>
    </w:r>
    <w:r w:rsidRPr="00B11BD3">
      <w:fldChar w:fldCharType="separate"/>
    </w:r>
    <w:r w:rsidRPr="00B11BD3">
      <w:t>v671</w:t>
    </w:r>
    <w:r w:rsidRPr="00B11BD3">
      <w:fldChar w:fldCharType="end"/>
    </w:r>
  </w:p>
  <w:p w:rsidR="00735744" w:rsidRPr="00B11BD3" w:rsidRDefault="00735744">
    <w:pPr>
      <w:pStyle w:val="FSHRub1"/>
    </w:pPr>
    <w:r w:rsidRPr="00B11BD3">
      <w:t>Motion till riksdagen</w:t>
    </w:r>
    <w:r w:rsidRPr="00B11BD3">
      <w:br/>
    </w:r>
    <w:r w:rsidRPr="00B11BD3">
      <w:fldChar w:fldCharType="begin" w:fldLock="1"/>
    </w:r>
    <w:r w:rsidRPr="00B11BD3">
      <w:instrText xml:space="preserve"> DOCPROPERTY "YearUser" *\charformat </w:instrText>
    </w:r>
    <w:r w:rsidRPr="00B11BD3">
      <w:fldChar w:fldCharType="separate"/>
    </w:r>
    <w:r w:rsidRPr="00B11BD3">
      <w:t>2006/07</w:t>
    </w:r>
    <w:r w:rsidRPr="00B11BD3">
      <w:fldChar w:fldCharType="end"/>
    </w:r>
    <w:r w:rsidRPr="00B11BD3">
      <w:t>:</w:t>
    </w:r>
    <w:r w:rsidRPr="00B11BD3">
      <w:fldChar w:fldCharType="begin" w:fldLock="1"/>
    </w:r>
    <w:r w:rsidRPr="00B11BD3">
      <w:instrText xml:space="preserve"> DOCPROPERTY "Motionsnummer" *\charformat </w:instrText>
    </w:r>
    <w:r w:rsidRPr="00B11BD3">
      <w:fldChar w:fldCharType="separate"/>
    </w:r>
    <w:r w:rsidRPr="00B11BD3">
      <w:t>Sk289</w:t>
    </w:r>
    <w:r w:rsidRPr="00B11BD3">
      <w:fldChar w:fldCharType="end"/>
    </w:r>
  </w:p>
  <w:p w:rsidR="00735744" w:rsidRPr="00B11BD3" w:rsidRDefault="00735744">
    <w:pPr>
      <w:pStyle w:val="FSHNormalS5"/>
    </w:pPr>
    <w:r w:rsidRPr="00B11BD3">
      <w:fldChar w:fldCharType="begin" w:fldLock="1"/>
    </w:r>
    <w:r w:rsidRPr="00B11BD3">
      <w:instrText xml:space="preserve"> DOCPROPERTY "MotionarText" *\charformat </w:instrText>
    </w:r>
    <w:r w:rsidRPr="00B11BD3">
      <w:fldChar w:fldCharType="separate"/>
    </w:r>
    <w:r w:rsidRPr="00B11BD3">
      <w:t>av Lars Ohly m.fl. (v)</w:t>
    </w:r>
    <w:r w:rsidRPr="00B11BD3">
      <w:fldChar w:fldCharType="end"/>
    </w:r>
    <w:r w:rsidRPr="00B11BD3">
      <w:br/>
    </w:r>
    <w:r w:rsidRPr="00B11BD3">
      <w:fldChar w:fldCharType="begin" w:fldLock="1"/>
    </w:r>
    <w:r w:rsidRPr="00B11BD3">
      <w:instrText xml:space="preserve"> DOCPROPERTY "SvarFrasKort" *\charformat </w:instrText>
    </w:r>
    <w:r w:rsidRPr="00B11BD3">
      <w:fldChar w:fldCharType="end"/>
    </w:r>
  </w:p>
  <w:p w:rsidR="00735744" w:rsidRPr="00B11BD3" w:rsidRDefault="00735744">
    <w:pPr>
      <w:pStyle w:val="FSHTitel"/>
    </w:pPr>
    <w:r w:rsidRPr="00B11BD3">
      <w:fldChar w:fldCharType="begin" w:fldLock="1"/>
    </w:r>
    <w:r w:rsidRPr="00B11BD3">
      <w:instrText xml:space="preserve"> DOCPROPERTY</w:instrText>
    </w:r>
    <w:r w:rsidRPr="00B11BD3">
      <w:rPr>
        <w:sz w:val="18"/>
      </w:rPr>
      <w:instrText xml:space="preserve"> "RubrikSvar" *\charformat </w:instrText>
    </w:r>
    <w:r w:rsidRPr="00B11BD3">
      <w:fldChar w:fldCharType="separate"/>
    </w:r>
    <w:r w:rsidRPr="00B11BD3">
      <w:t>Utgiftsområde 3 Skatt, tull och exekution</w:t>
    </w:r>
    <w:r w:rsidRPr="00B11BD3">
      <w:fldChar w:fldCharType="end"/>
    </w:r>
  </w:p>
  <w:p w:rsidR="00735744" w:rsidRPr="00B11BD3" w:rsidRDefault="00735744">
    <w:pPr>
      <w:pStyle w:val="Normal00"/>
    </w:pPr>
  </w:p>
  <w:p w:rsidR="000C2D65" w:rsidRPr="00B11BD3" w:rsidRDefault="000C2D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2D95389"/>
    <w:multiLevelType w:val="hybridMultilevel"/>
    <w:tmpl w:val="415CE6AC"/>
    <w:lvl w:ilvl="0" w:tplc="4C42DA6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782181">
    <w:abstractNumId w:val="14"/>
  </w:num>
  <w:num w:numId="2" w16cid:durableId="43993071">
    <w:abstractNumId w:val="10"/>
  </w:num>
  <w:num w:numId="3" w16cid:durableId="1464227333">
    <w:abstractNumId w:val="12"/>
  </w:num>
  <w:num w:numId="4" w16cid:durableId="1137062743">
    <w:abstractNumId w:val="13"/>
  </w:num>
  <w:num w:numId="5" w16cid:durableId="1098790679">
    <w:abstractNumId w:val="8"/>
  </w:num>
  <w:num w:numId="6" w16cid:durableId="773204950">
    <w:abstractNumId w:val="3"/>
  </w:num>
  <w:num w:numId="7" w16cid:durableId="1751926343">
    <w:abstractNumId w:val="2"/>
  </w:num>
  <w:num w:numId="8" w16cid:durableId="1366250581">
    <w:abstractNumId w:val="1"/>
  </w:num>
  <w:num w:numId="9" w16cid:durableId="409697421">
    <w:abstractNumId w:val="0"/>
  </w:num>
  <w:num w:numId="10" w16cid:durableId="1925140012">
    <w:abstractNumId w:val="9"/>
  </w:num>
  <w:num w:numId="11" w16cid:durableId="626743187">
    <w:abstractNumId w:val="7"/>
  </w:num>
  <w:num w:numId="12" w16cid:durableId="1723558465">
    <w:abstractNumId w:val="6"/>
  </w:num>
  <w:num w:numId="13" w16cid:durableId="2070422141">
    <w:abstractNumId w:val="5"/>
  </w:num>
  <w:num w:numId="14" w16cid:durableId="1180584470">
    <w:abstractNumId w:val="4"/>
  </w:num>
  <w:num w:numId="15" w16cid:durableId="2063016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7"/>
    <w:docVar w:name="PersonGUIDs" w:val="{F1A2565D-4D2F-4887-9B1D-3D7BE825DA8C},{93F71F64-B3B2-464F-BCC5-C49DA1B8F0E4},{8B923F15-4996-4696-A089-6A5BE8BF8E1B},{B0181D35-2F7D-4D23-BD15-5E0324552287},{CBCE2632-605E-484A-97AC-47C334EA7100},{7E0BF71E-CD03-4DBF-9F51-3B5B798F2741},{494960E9-BA36-4AC1-BBDB-126FB51B6387}"/>
  </w:docVars>
  <w:rsids>
    <w:rsidRoot w:val="00B11BD3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000E"/>
    <w:rsid w:val="000B2040"/>
    <w:rsid w:val="000C2D65"/>
    <w:rsid w:val="000E431D"/>
    <w:rsid w:val="000E48DA"/>
    <w:rsid w:val="000E5207"/>
    <w:rsid w:val="000F5ADD"/>
    <w:rsid w:val="00100531"/>
    <w:rsid w:val="00103497"/>
    <w:rsid w:val="0010382E"/>
    <w:rsid w:val="00141F09"/>
    <w:rsid w:val="001573D0"/>
    <w:rsid w:val="00166D90"/>
    <w:rsid w:val="00170803"/>
    <w:rsid w:val="00177CC2"/>
    <w:rsid w:val="0019171D"/>
    <w:rsid w:val="001921C4"/>
    <w:rsid w:val="001923A4"/>
    <w:rsid w:val="00196650"/>
    <w:rsid w:val="001A25D5"/>
    <w:rsid w:val="001A2624"/>
    <w:rsid w:val="001A2A2B"/>
    <w:rsid w:val="001E0043"/>
    <w:rsid w:val="00201DFB"/>
    <w:rsid w:val="00204A63"/>
    <w:rsid w:val="00212FF1"/>
    <w:rsid w:val="0022132D"/>
    <w:rsid w:val="00230193"/>
    <w:rsid w:val="00244D0B"/>
    <w:rsid w:val="0025068A"/>
    <w:rsid w:val="00265A76"/>
    <w:rsid w:val="002818D3"/>
    <w:rsid w:val="00284BDF"/>
    <w:rsid w:val="002911A7"/>
    <w:rsid w:val="002943C8"/>
    <w:rsid w:val="00295E6D"/>
    <w:rsid w:val="002A2A6B"/>
    <w:rsid w:val="002B5C2F"/>
    <w:rsid w:val="002C2373"/>
    <w:rsid w:val="002D11A8"/>
    <w:rsid w:val="002D6AB6"/>
    <w:rsid w:val="002E41A4"/>
    <w:rsid w:val="00310550"/>
    <w:rsid w:val="00314F87"/>
    <w:rsid w:val="0032051D"/>
    <w:rsid w:val="003303B5"/>
    <w:rsid w:val="003366E9"/>
    <w:rsid w:val="00342FB4"/>
    <w:rsid w:val="0036065A"/>
    <w:rsid w:val="00364260"/>
    <w:rsid w:val="003866EC"/>
    <w:rsid w:val="00391AF5"/>
    <w:rsid w:val="003B418B"/>
    <w:rsid w:val="003F100A"/>
    <w:rsid w:val="00445271"/>
    <w:rsid w:val="00447A04"/>
    <w:rsid w:val="004527C3"/>
    <w:rsid w:val="004849D1"/>
    <w:rsid w:val="00487F7A"/>
    <w:rsid w:val="004971B2"/>
    <w:rsid w:val="004A0504"/>
    <w:rsid w:val="004B5278"/>
    <w:rsid w:val="004D21E3"/>
    <w:rsid w:val="004E38D9"/>
    <w:rsid w:val="005000F2"/>
    <w:rsid w:val="00531020"/>
    <w:rsid w:val="00545150"/>
    <w:rsid w:val="00545421"/>
    <w:rsid w:val="0055072A"/>
    <w:rsid w:val="005525A5"/>
    <w:rsid w:val="00553A54"/>
    <w:rsid w:val="005544CE"/>
    <w:rsid w:val="005B145B"/>
    <w:rsid w:val="005C5970"/>
    <w:rsid w:val="005D3F50"/>
    <w:rsid w:val="00601C6D"/>
    <w:rsid w:val="00603CD4"/>
    <w:rsid w:val="00634212"/>
    <w:rsid w:val="006346C1"/>
    <w:rsid w:val="00653DD0"/>
    <w:rsid w:val="00667A78"/>
    <w:rsid w:val="006775EB"/>
    <w:rsid w:val="006B6262"/>
    <w:rsid w:val="006D0178"/>
    <w:rsid w:val="006F13B4"/>
    <w:rsid w:val="00720512"/>
    <w:rsid w:val="00727C6F"/>
    <w:rsid w:val="00735744"/>
    <w:rsid w:val="00740D6D"/>
    <w:rsid w:val="00743F76"/>
    <w:rsid w:val="00751F83"/>
    <w:rsid w:val="00770030"/>
    <w:rsid w:val="00773566"/>
    <w:rsid w:val="00774959"/>
    <w:rsid w:val="00775A61"/>
    <w:rsid w:val="007852B2"/>
    <w:rsid w:val="00794149"/>
    <w:rsid w:val="00797DB3"/>
    <w:rsid w:val="007B67A7"/>
    <w:rsid w:val="007C6092"/>
    <w:rsid w:val="007E119E"/>
    <w:rsid w:val="00846903"/>
    <w:rsid w:val="00856FC9"/>
    <w:rsid w:val="008E3347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1BD3"/>
    <w:rsid w:val="00B13BF0"/>
    <w:rsid w:val="00B33C81"/>
    <w:rsid w:val="00B34666"/>
    <w:rsid w:val="00B43D03"/>
    <w:rsid w:val="00B67E5B"/>
    <w:rsid w:val="00B90212"/>
    <w:rsid w:val="00BA4894"/>
    <w:rsid w:val="00BA6BE0"/>
    <w:rsid w:val="00BB6D75"/>
    <w:rsid w:val="00BD43A8"/>
    <w:rsid w:val="00C1285C"/>
    <w:rsid w:val="00C2244D"/>
    <w:rsid w:val="00C27B7D"/>
    <w:rsid w:val="00C32A06"/>
    <w:rsid w:val="00C41F1B"/>
    <w:rsid w:val="00C43AA1"/>
    <w:rsid w:val="00C44394"/>
    <w:rsid w:val="00C47382"/>
    <w:rsid w:val="00C533BA"/>
    <w:rsid w:val="00C902E9"/>
    <w:rsid w:val="00C92208"/>
    <w:rsid w:val="00CA46AD"/>
    <w:rsid w:val="00CA70B8"/>
    <w:rsid w:val="00CB5B24"/>
    <w:rsid w:val="00CC3CF5"/>
    <w:rsid w:val="00CD4B2B"/>
    <w:rsid w:val="00CE3037"/>
    <w:rsid w:val="00CF7A43"/>
    <w:rsid w:val="00D01775"/>
    <w:rsid w:val="00D1174F"/>
    <w:rsid w:val="00D1289C"/>
    <w:rsid w:val="00D44527"/>
    <w:rsid w:val="00D50D9F"/>
    <w:rsid w:val="00D52681"/>
    <w:rsid w:val="00D53D04"/>
    <w:rsid w:val="00D55EF7"/>
    <w:rsid w:val="00DA5020"/>
    <w:rsid w:val="00DC0DF0"/>
    <w:rsid w:val="00DC6C70"/>
    <w:rsid w:val="00DF5ACD"/>
    <w:rsid w:val="00E154CA"/>
    <w:rsid w:val="00E213B8"/>
    <w:rsid w:val="00E22893"/>
    <w:rsid w:val="00E349C2"/>
    <w:rsid w:val="00E360DE"/>
    <w:rsid w:val="00E5074A"/>
    <w:rsid w:val="00E521CB"/>
    <w:rsid w:val="00E728F6"/>
    <w:rsid w:val="00E75D28"/>
    <w:rsid w:val="00E80BD8"/>
    <w:rsid w:val="00E84F25"/>
    <w:rsid w:val="00EB04A1"/>
    <w:rsid w:val="00EB69A9"/>
    <w:rsid w:val="00EC007B"/>
    <w:rsid w:val="00F21B30"/>
    <w:rsid w:val="00F273EA"/>
    <w:rsid w:val="00F3130C"/>
    <w:rsid w:val="00F317B1"/>
    <w:rsid w:val="00F42935"/>
    <w:rsid w:val="00F42CB9"/>
    <w:rsid w:val="00F73E9E"/>
    <w:rsid w:val="00F87D14"/>
    <w:rsid w:val="00FA3374"/>
    <w:rsid w:val="00FB1953"/>
    <w:rsid w:val="00FB2435"/>
    <w:rsid w:val="00FB6490"/>
    <w:rsid w:val="00FC53D4"/>
    <w:rsid w:val="00FC7246"/>
    <w:rsid w:val="00FC7E79"/>
    <w:rsid w:val="00FD2531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86783F0-9B38-4FD4-B429-123F879F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C2D65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2255</Characters>
  <Application>Microsoft Office Word</Application>
  <DocSecurity>4</DocSecurity>
  <Lines>60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v671</vt:lpstr>
    </vt:vector>
  </TitlesOfParts>
  <Company>Riksdagen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v671</dc:title>
  <dc:subject>v671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2006-12-12T12:21:00Z</cp:lastPrinted>
  <dcterms:created xsi:type="dcterms:W3CDTF">2025-12-17T01:23:00Z</dcterms:created>
  <dcterms:modified xsi:type="dcterms:W3CDTF">2025-12-17T01:23:00Z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mot2000_460_2006-10-17</vt:lpwstr>
  </property>
  <property fmtid="{D5CDD505-2E9C-101B-9397-08002B2CF9AE}" pid="3" name="version">
    <vt:lpwstr>mot2000_460_2006-10-17</vt:lpwstr>
  </property>
  <property fmtid="{D5CDD505-2E9C-101B-9397-08002B2CF9AE}" pid="4" name="dokumenttyp">
    <vt:lpwstr>motion</vt:lpwstr>
  </property>
  <property fmtid="{D5CDD505-2E9C-101B-9397-08002B2CF9AE}" pid="5" name="Sekr">
    <vt:lpwstr>LBL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Utgiftsområde 3 Skatt, tull och exekution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3 Skatt, tull och exekution</vt:lpwstr>
  </property>
  <property fmtid="{D5CDD505-2E9C-101B-9397-08002B2CF9AE}" pid="15" name="MotTyp">
    <vt:lpwstr>Partimotion</vt:lpwstr>
  </property>
  <property fmtid="{D5CDD505-2E9C-101B-9397-08002B2CF9AE}" pid="16" name="MotTypXML">
    <vt:lpwstr>parti</vt:lpwstr>
  </property>
  <property fmtid="{D5CDD505-2E9C-101B-9397-08002B2CF9AE}" pid="17" name="Partinummer">
    <vt:lpwstr>v671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 1</vt:lpwstr>
  </property>
  <property fmtid="{D5CDD505-2E9C-101B-9397-08002B2CF9AE}" pid="24" name="AntalMot">
    <vt:lpwstr>Antal: 7</vt:lpwstr>
  </property>
  <property fmtid="{D5CDD505-2E9C-101B-9397-08002B2CF9AE}" pid="25" name="MotionarText">
    <vt:lpwstr>av Lars Ohly m.fl. (v)</vt:lpwstr>
  </property>
  <property fmtid="{D5CDD505-2E9C-101B-9397-08002B2CF9AE}" pid="26" name="MotionarLista">
    <vt:lpwstr>Ohly, Lars (v)\Johansson, Wiwi-Anne (v)\Linna, Elina (v)\Pedersen, Peter (v)\Persson, Kent (v)\Åström, Alice (v)\Engström, Marie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Ohly (v), Wiwi-Anne Johansson (v), Elina Linna (v), Peter Pedersen (v), Kent Persson (v), Alice Åström (v), Marie Engström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ir1226aa</vt:lpwstr>
  </property>
  <property fmtid="{D5CDD505-2E9C-101B-9397-08002B2CF9AE}" pid="46" name="MotionID">
    <vt:lpwstr>20062007000000000118000006710080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20062007000000000118000006710080</vt:lpwstr>
  </property>
  <property fmtid="{D5CDD505-2E9C-101B-9397-08002B2CF9AE}" pid="50" name="nummer">
    <vt:lpwstr>289</vt:lpwstr>
  </property>
  <property fmtid="{D5CDD505-2E9C-101B-9397-08002B2CF9AE}" pid="51" name="utskottsbeteckning">
    <vt:lpwstr>Sk</vt:lpwstr>
  </property>
  <property fmtid="{D5CDD505-2E9C-101B-9397-08002B2CF9AE}" pid="52" name="GlobalUID">
    <vt:lpwstr>{499D7CE9-6841-47FC-A29D-59A986EE4965}</vt:lpwstr>
  </property>
  <property fmtid="{D5CDD505-2E9C-101B-9397-08002B2CF9AE}" pid="53" name="Överföringar">
    <vt:i4>0</vt:i4>
  </property>
  <property fmtid="{D5CDD505-2E9C-101B-9397-08002B2CF9AE}" pid="54" name="Checksum">
    <vt:lpwstr>*0003431944196*</vt:lpwstr>
  </property>
  <property fmtid="{D5CDD505-2E9C-101B-9397-08002B2CF9AE}" pid="55" name="urixOrigin">
    <vt:lpwstr>070307 09:34:25.153</vt:lpwstr>
  </property>
  <property fmtid="{D5CDD505-2E9C-101B-9397-08002B2CF9AE}" pid="56" name="skuggnummer">
    <vt:lpwstr>1367</vt:lpwstr>
  </property>
  <property fmtid="{D5CDD505-2E9C-101B-9397-08002B2CF9AE}" pid="57" name="urixVersion">
    <vt:lpwstr>3.1.4.1</vt:lpwstr>
  </property>
  <property fmtid="{D5CDD505-2E9C-101B-9397-08002B2CF9AE}" pid="58" name="urixGuid">
    <vt:lpwstr>{8F7166D7-82B5-483F-9DAC-FD3BE81E31C4}</vt:lpwstr>
  </property>
</Properties>
</file>