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2E793" w14:textId="77777777" w:rsidR="00FB32B9" w:rsidRDefault="000524DD" w:rsidP="00FB32B9">
      <w:pPr>
        <w:pStyle w:val="UDrubrik"/>
        <w:tabs>
          <w:tab w:val="left" w:pos="1701"/>
          <w:tab w:val="left" w:pos="1985"/>
        </w:tabs>
        <w:rPr>
          <w:rFonts w:cs="Arial"/>
          <w:sz w:val="28"/>
        </w:rPr>
      </w:pPr>
      <w:bookmarkStart w:id="0" w:name="_GoBack"/>
      <w:bookmarkEnd w:id="0"/>
    </w:p>
    <w:p w14:paraId="6A62E794" w14:textId="77777777" w:rsidR="00FB32B9" w:rsidRDefault="000524DD" w:rsidP="00FB32B9">
      <w:pPr>
        <w:pStyle w:val="UDrubrik"/>
        <w:tabs>
          <w:tab w:val="left" w:pos="1701"/>
          <w:tab w:val="left" w:pos="1985"/>
        </w:tabs>
        <w:rPr>
          <w:rFonts w:cs="Arial"/>
          <w:sz w:val="28"/>
        </w:rPr>
      </w:pPr>
    </w:p>
    <w:p w14:paraId="6A62E795" w14:textId="77777777" w:rsidR="00FB32B9" w:rsidRDefault="000524DD" w:rsidP="00FB32B9">
      <w:pPr>
        <w:pStyle w:val="UDrubrik"/>
        <w:tabs>
          <w:tab w:val="left" w:pos="1701"/>
          <w:tab w:val="left" w:pos="1985"/>
        </w:tabs>
        <w:rPr>
          <w:rFonts w:cs="Arial"/>
          <w:sz w:val="28"/>
        </w:rPr>
      </w:pPr>
    </w:p>
    <w:p w14:paraId="6A62E796" w14:textId="77777777" w:rsidR="00FB32B9" w:rsidRDefault="000524DD" w:rsidP="00FB32B9">
      <w:pPr>
        <w:pStyle w:val="UDrubrik"/>
        <w:tabs>
          <w:tab w:val="left" w:pos="1701"/>
          <w:tab w:val="left" w:pos="1985"/>
        </w:tabs>
        <w:rPr>
          <w:rFonts w:cs="Arial"/>
          <w:sz w:val="28"/>
        </w:rPr>
      </w:pPr>
    </w:p>
    <w:p w14:paraId="6A62E797" w14:textId="1F758760" w:rsidR="00FB32B9" w:rsidRDefault="00C34CFB" w:rsidP="00FB32B9">
      <w:pPr>
        <w:pStyle w:val="UDrubrik"/>
        <w:tabs>
          <w:tab w:val="left" w:pos="1701"/>
          <w:tab w:val="left" w:pos="1985"/>
        </w:tabs>
        <w:rPr>
          <w:rFonts w:cs="Arial"/>
          <w:sz w:val="28"/>
        </w:rPr>
      </w:pPr>
      <w:r>
        <w:rPr>
          <w:rFonts w:cs="Arial"/>
          <w:sz w:val="28"/>
        </w:rPr>
        <w:t xml:space="preserve">Troliga A-punkter inför kommande rådsmöten som </w:t>
      </w:r>
      <w:r w:rsidR="00E55BA5">
        <w:rPr>
          <w:rFonts w:cs="Arial"/>
          <w:sz w:val="28"/>
        </w:rPr>
        <w:t>godkände</w:t>
      </w:r>
      <w:r>
        <w:rPr>
          <w:rFonts w:cs="Arial"/>
          <w:sz w:val="28"/>
        </w:rPr>
        <w:t xml:space="preserve">s vid Coreper II </w:t>
      </w:r>
      <w:r w:rsidR="00E55BA5">
        <w:rPr>
          <w:rFonts w:cs="Arial"/>
          <w:sz w:val="28"/>
        </w:rPr>
        <w:t>onsdagen den 16 december 2015, vecka 51</w:t>
      </w:r>
      <w:r>
        <w:rPr>
          <w:rFonts w:cs="Arial"/>
          <w:sz w:val="28"/>
        </w:rPr>
        <w:t>.</w:t>
      </w:r>
    </w:p>
    <w:p w14:paraId="6A62E798" w14:textId="77777777" w:rsidR="00FB32B9" w:rsidRDefault="000524DD" w:rsidP="00FB32B9">
      <w:pPr>
        <w:pStyle w:val="Brdtext"/>
      </w:pPr>
    </w:p>
    <w:p w14:paraId="6A62E799" w14:textId="228508A1" w:rsidR="00FB32B9" w:rsidRDefault="00C34CFB" w:rsidP="00FB32B9">
      <w:pPr>
        <w:pStyle w:val="Brdtext"/>
      </w:pPr>
      <w:r>
        <w:t xml:space="preserve">Överlämnas för skriftligt samråd till </w:t>
      </w:r>
      <w:r w:rsidR="00E55BA5">
        <w:t>fredagen den 18 december 2015, kl 14.00.</w:t>
      </w:r>
    </w:p>
    <w:p w14:paraId="6A62E79A" w14:textId="77777777" w:rsidR="00FB32B9" w:rsidRDefault="00C34CFB">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A62E79B" w14:textId="77777777" w:rsidR="00D957FB" w:rsidRPr="00FB32B9" w:rsidRDefault="00C34CFB">
          <w:pPr>
            <w:pStyle w:val="Innehllsfrteckningsrubrik"/>
            <w:rPr>
              <w:color w:val="auto"/>
            </w:rPr>
          </w:pPr>
          <w:r w:rsidRPr="00FB32B9">
            <w:rPr>
              <w:color w:val="auto"/>
            </w:rPr>
            <w:t>Innehållsförteckning</w:t>
          </w:r>
        </w:p>
        <w:p w14:paraId="6A62E79C" w14:textId="77777777" w:rsidR="00DA7250" w:rsidRPr="00DA7250" w:rsidRDefault="000524DD" w:rsidP="00DA7250">
          <w:pPr>
            <w:rPr>
              <w:lang w:val="en-US" w:eastAsia="ja-JP"/>
            </w:rPr>
          </w:pPr>
        </w:p>
        <w:p w14:paraId="38E89A14" w14:textId="77777777" w:rsidR="000874EE" w:rsidRDefault="00C34CFB">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8111876" w:history="1">
            <w:r w:rsidR="000874EE" w:rsidRPr="00DE72E5">
              <w:rPr>
                <w:rStyle w:val="Hyperlnk"/>
                <w:noProof/>
              </w:rPr>
              <w:t>1.</w:t>
            </w:r>
            <w:r w:rsidR="000874EE">
              <w:rPr>
                <w:rFonts w:asciiTheme="minorHAnsi" w:eastAsiaTheme="minorEastAsia" w:hAnsiTheme="minorHAnsi" w:cstheme="minorBidi"/>
                <w:noProof/>
                <w:lang w:eastAsia="sv-SE"/>
              </w:rPr>
              <w:tab/>
            </w:r>
            <w:r w:rsidR="000874EE" w:rsidRPr="00DE72E5">
              <w:rPr>
                <w:rStyle w:val="Hyperlnk"/>
                <w:noProof/>
              </w:rPr>
              <w:t>Affaire portée devant le Tribunal T-540/15 (Emilio De Capitani/Parlement Europeen)</w:t>
            </w:r>
            <w:r w:rsidR="000874EE">
              <w:rPr>
                <w:noProof/>
                <w:webHidden/>
              </w:rPr>
              <w:tab/>
            </w:r>
            <w:r w:rsidR="000874EE">
              <w:rPr>
                <w:noProof/>
                <w:webHidden/>
              </w:rPr>
              <w:fldChar w:fldCharType="begin"/>
            </w:r>
            <w:r w:rsidR="000874EE">
              <w:rPr>
                <w:noProof/>
                <w:webHidden/>
              </w:rPr>
              <w:instrText xml:space="preserve"> PAGEREF _Toc438111876 \h </w:instrText>
            </w:r>
            <w:r w:rsidR="000874EE">
              <w:rPr>
                <w:noProof/>
                <w:webHidden/>
              </w:rPr>
            </w:r>
            <w:r w:rsidR="000874EE">
              <w:rPr>
                <w:noProof/>
                <w:webHidden/>
              </w:rPr>
              <w:fldChar w:fldCharType="separate"/>
            </w:r>
            <w:r w:rsidR="000874EE">
              <w:rPr>
                <w:noProof/>
                <w:webHidden/>
              </w:rPr>
              <w:t>3</w:t>
            </w:r>
            <w:r w:rsidR="000874EE">
              <w:rPr>
                <w:noProof/>
                <w:webHidden/>
              </w:rPr>
              <w:fldChar w:fldCharType="end"/>
            </w:r>
          </w:hyperlink>
        </w:p>
        <w:p w14:paraId="4E6BB60D" w14:textId="77777777" w:rsidR="000874EE" w:rsidRDefault="000524DD">
          <w:pPr>
            <w:pStyle w:val="Innehll1"/>
            <w:tabs>
              <w:tab w:val="left" w:pos="440"/>
              <w:tab w:val="right" w:leader="dot" w:pos="9062"/>
            </w:tabs>
            <w:rPr>
              <w:rFonts w:asciiTheme="minorHAnsi" w:eastAsiaTheme="minorEastAsia" w:hAnsiTheme="minorHAnsi" w:cstheme="minorBidi"/>
              <w:noProof/>
              <w:lang w:eastAsia="sv-SE"/>
            </w:rPr>
          </w:pPr>
          <w:hyperlink w:anchor="_Toc438111877" w:history="1">
            <w:r w:rsidR="000874EE" w:rsidRPr="00DE72E5">
              <w:rPr>
                <w:rStyle w:val="Hyperlnk"/>
                <w:noProof/>
              </w:rPr>
              <w:t>2.</w:t>
            </w:r>
            <w:r w:rsidR="000874EE">
              <w:rPr>
                <w:rFonts w:asciiTheme="minorHAnsi" w:eastAsiaTheme="minorEastAsia" w:hAnsiTheme="minorHAnsi" w:cstheme="minorBidi"/>
                <w:noProof/>
                <w:lang w:eastAsia="sv-SE"/>
              </w:rPr>
              <w:tab/>
            </w:r>
            <w:r w:rsidR="000874EE" w:rsidRPr="00DE72E5">
              <w:rPr>
                <w:rStyle w:val="Hyperlnk"/>
                <w:noProof/>
              </w:rPr>
              <w:t>Affaire devant la Cour de justice de l'Union européenne C-458/15 (K.P.)</w:t>
            </w:r>
            <w:r w:rsidR="000874EE">
              <w:rPr>
                <w:noProof/>
                <w:webHidden/>
              </w:rPr>
              <w:tab/>
            </w:r>
            <w:r w:rsidR="000874EE">
              <w:rPr>
                <w:noProof/>
                <w:webHidden/>
              </w:rPr>
              <w:fldChar w:fldCharType="begin"/>
            </w:r>
            <w:r w:rsidR="000874EE">
              <w:rPr>
                <w:noProof/>
                <w:webHidden/>
              </w:rPr>
              <w:instrText xml:space="preserve"> PAGEREF _Toc438111877 \h </w:instrText>
            </w:r>
            <w:r w:rsidR="000874EE">
              <w:rPr>
                <w:noProof/>
                <w:webHidden/>
              </w:rPr>
            </w:r>
            <w:r w:rsidR="000874EE">
              <w:rPr>
                <w:noProof/>
                <w:webHidden/>
              </w:rPr>
              <w:fldChar w:fldCharType="separate"/>
            </w:r>
            <w:r w:rsidR="000874EE">
              <w:rPr>
                <w:noProof/>
                <w:webHidden/>
              </w:rPr>
              <w:t>3</w:t>
            </w:r>
            <w:r w:rsidR="000874EE">
              <w:rPr>
                <w:noProof/>
                <w:webHidden/>
              </w:rPr>
              <w:fldChar w:fldCharType="end"/>
            </w:r>
          </w:hyperlink>
        </w:p>
        <w:p w14:paraId="1533E0D3" w14:textId="77777777" w:rsidR="000874EE" w:rsidRDefault="000524DD">
          <w:pPr>
            <w:pStyle w:val="Innehll1"/>
            <w:tabs>
              <w:tab w:val="left" w:pos="440"/>
              <w:tab w:val="right" w:leader="dot" w:pos="9062"/>
            </w:tabs>
            <w:rPr>
              <w:rFonts w:asciiTheme="minorHAnsi" w:eastAsiaTheme="minorEastAsia" w:hAnsiTheme="minorHAnsi" w:cstheme="minorBidi"/>
              <w:noProof/>
              <w:lang w:eastAsia="sv-SE"/>
            </w:rPr>
          </w:pPr>
          <w:hyperlink w:anchor="_Toc438111878" w:history="1">
            <w:r w:rsidR="000874EE" w:rsidRPr="00DE72E5">
              <w:rPr>
                <w:rStyle w:val="Hyperlnk"/>
                <w:noProof/>
              </w:rPr>
              <w:t>3.</w:t>
            </w:r>
            <w:r w:rsidR="000874EE">
              <w:rPr>
                <w:rFonts w:asciiTheme="minorHAnsi" w:eastAsiaTheme="minorEastAsia" w:hAnsiTheme="minorHAnsi" w:cstheme="minorBidi"/>
                <w:noProof/>
                <w:lang w:eastAsia="sv-SE"/>
              </w:rPr>
              <w:tab/>
            </w:r>
            <w:r w:rsidR="000874EE" w:rsidRPr="00DE72E5">
              <w:rPr>
                <w:rStyle w:val="Hyperlnk"/>
                <w:noProof/>
              </w:rPr>
              <w:t>Affaire devant le Tribunal de l'Union européenne</w:t>
            </w:r>
            <w:r w:rsidR="000874EE">
              <w:rPr>
                <w:noProof/>
                <w:webHidden/>
              </w:rPr>
              <w:tab/>
            </w:r>
            <w:r w:rsidR="000874EE">
              <w:rPr>
                <w:noProof/>
                <w:webHidden/>
              </w:rPr>
              <w:fldChar w:fldCharType="begin"/>
            </w:r>
            <w:r w:rsidR="000874EE">
              <w:rPr>
                <w:noProof/>
                <w:webHidden/>
              </w:rPr>
              <w:instrText xml:space="preserve"> PAGEREF _Toc438111878 \h </w:instrText>
            </w:r>
            <w:r w:rsidR="000874EE">
              <w:rPr>
                <w:noProof/>
                <w:webHidden/>
              </w:rPr>
            </w:r>
            <w:r w:rsidR="000874EE">
              <w:rPr>
                <w:noProof/>
                <w:webHidden/>
              </w:rPr>
              <w:fldChar w:fldCharType="separate"/>
            </w:r>
            <w:r w:rsidR="000874EE">
              <w:rPr>
                <w:noProof/>
                <w:webHidden/>
              </w:rPr>
              <w:t>3</w:t>
            </w:r>
            <w:r w:rsidR="000874EE">
              <w:rPr>
                <w:noProof/>
                <w:webHidden/>
              </w:rPr>
              <w:fldChar w:fldCharType="end"/>
            </w:r>
          </w:hyperlink>
        </w:p>
        <w:p w14:paraId="0244B8CD" w14:textId="77777777" w:rsidR="000874EE" w:rsidRDefault="000524DD">
          <w:pPr>
            <w:pStyle w:val="Innehll1"/>
            <w:tabs>
              <w:tab w:val="left" w:pos="440"/>
              <w:tab w:val="right" w:leader="dot" w:pos="9062"/>
            </w:tabs>
            <w:rPr>
              <w:rFonts w:asciiTheme="minorHAnsi" w:eastAsiaTheme="minorEastAsia" w:hAnsiTheme="minorHAnsi" w:cstheme="minorBidi"/>
              <w:noProof/>
              <w:lang w:eastAsia="sv-SE"/>
            </w:rPr>
          </w:pPr>
          <w:hyperlink w:anchor="_Toc438111879" w:history="1">
            <w:r w:rsidR="000874EE" w:rsidRPr="00DE72E5">
              <w:rPr>
                <w:rStyle w:val="Hyperlnk"/>
                <w:noProof/>
              </w:rPr>
              <w:t>4.</w:t>
            </w:r>
            <w:r w:rsidR="000874EE">
              <w:rPr>
                <w:rFonts w:asciiTheme="minorHAnsi" w:eastAsiaTheme="minorEastAsia" w:hAnsiTheme="minorHAnsi" w:cstheme="minorBidi"/>
                <w:noProof/>
                <w:lang w:eastAsia="sv-SE"/>
              </w:rPr>
              <w:tab/>
            </w:r>
            <w:r w:rsidR="000874EE" w:rsidRPr="00DE72E5">
              <w:rPr>
                <w:rStyle w:val="Hyperlnk"/>
                <w:noProof/>
              </w:rPr>
              <w:t>Affaire devant le Tribunal de l'Union européenne</w:t>
            </w:r>
            <w:r w:rsidR="000874EE">
              <w:rPr>
                <w:noProof/>
                <w:webHidden/>
              </w:rPr>
              <w:tab/>
            </w:r>
            <w:r w:rsidR="000874EE">
              <w:rPr>
                <w:noProof/>
                <w:webHidden/>
              </w:rPr>
              <w:fldChar w:fldCharType="begin"/>
            </w:r>
            <w:r w:rsidR="000874EE">
              <w:rPr>
                <w:noProof/>
                <w:webHidden/>
              </w:rPr>
              <w:instrText xml:space="preserve"> PAGEREF _Toc438111879 \h </w:instrText>
            </w:r>
            <w:r w:rsidR="000874EE">
              <w:rPr>
                <w:noProof/>
                <w:webHidden/>
              </w:rPr>
            </w:r>
            <w:r w:rsidR="000874EE">
              <w:rPr>
                <w:noProof/>
                <w:webHidden/>
              </w:rPr>
              <w:fldChar w:fldCharType="separate"/>
            </w:r>
            <w:r w:rsidR="000874EE">
              <w:rPr>
                <w:noProof/>
                <w:webHidden/>
              </w:rPr>
              <w:t>4</w:t>
            </w:r>
            <w:r w:rsidR="000874EE">
              <w:rPr>
                <w:noProof/>
                <w:webHidden/>
              </w:rPr>
              <w:fldChar w:fldCharType="end"/>
            </w:r>
          </w:hyperlink>
        </w:p>
        <w:p w14:paraId="21724227" w14:textId="77777777" w:rsidR="000874EE" w:rsidRDefault="000524DD">
          <w:pPr>
            <w:pStyle w:val="Innehll1"/>
            <w:tabs>
              <w:tab w:val="left" w:pos="440"/>
              <w:tab w:val="right" w:leader="dot" w:pos="9062"/>
            </w:tabs>
            <w:rPr>
              <w:rFonts w:asciiTheme="minorHAnsi" w:eastAsiaTheme="minorEastAsia" w:hAnsiTheme="minorHAnsi" w:cstheme="minorBidi"/>
              <w:noProof/>
              <w:lang w:eastAsia="sv-SE"/>
            </w:rPr>
          </w:pPr>
          <w:hyperlink w:anchor="_Toc438111880" w:history="1">
            <w:r w:rsidR="000874EE" w:rsidRPr="00DE72E5">
              <w:rPr>
                <w:rStyle w:val="Hyperlnk"/>
                <w:noProof/>
              </w:rPr>
              <w:t>5.</w:t>
            </w:r>
            <w:r w:rsidR="000874EE">
              <w:rPr>
                <w:rFonts w:asciiTheme="minorHAnsi" w:eastAsiaTheme="minorEastAsia" w:hAnsiTheme="minorHAnsi" w:cstheme="minorBidi"/>
                <w:noProof/>
                <w:lang w:eastAsia="sv-SE"/>
              </w:rPr>
              <w:tab/>
            </w:r>
            <w:r w:rsidR="000874EE" w:rsidRPr="00DE72E5">
              <w:rPr>
                <w:rStyle w:val="Hyperlnk"/>
                <w:noProof/>
              </w:rPr>
              <w:t>Affaire devant le Tribunal de l'Union européenne</w:t>
            </w:r>
            <w:r w:rsidR="000874EE">
              <w:rPr>
                <w:noProof/>
                <w:webHidden/>
              </w:rPr>
              <w:tab/>
            </w:r>
            <w:r w:rsidR="000874EE">
              <w:rPr>
                <w:noProof/>
                <w:webHidden/>
              </w:rPr>
              <w:fldChar w:fldCharType="begin"/>
            </w:r>
            <w:r w:rsidR="000874EE">
              <w:rPr>
                <w:noProof/>
                <w:webHidden/>
              </w:rPr>
              <w:instrText xml:space="preserve"> PAGEREF _Toc438111880 \h </w:instrText>
            </w:r>
            <w:r w:rsidR="000874EE">
              <w:rPr>
                <w:noProof/>
                <w:webHidden/>
              </w:rPr>
            </w:r>
            <w:r w:rsidR="000874EE">
              <w:rPr>
                <w:noProof/>
                <w:webHidden/>
              </w:rPr>
              <w:fldChar w:fldCharType="separate"/>
            </w:r>
            <w:r w:rsidR="000874EE">
              <w:rPr>
                <w:noProof/>
                <w:webHidden/>
              </w:rPr>
              <w:t>4</w:t>
            </w:r>
            <w:r w:rsidR="000874EE">
              <w:rPr>
                <w:noProof/>
                <w:webHidden/>
              </w:rPr>
              <w:fldChar w:fldCharType="end"/>
            </w:r>
          </w:hyperlink>
        </w:p>
        <w:p w14:paraId="3760960E" w14:textId="77777777" w:rsidR="000874EE" w:rsidRDefault="000524DD">
          <w:pPr>
            <w:pStyle w:val="Innehll1"/>
            <w:tabs>
              <w:tab w:val="left" w:pos="440"/>
              <w:tab w:val="right" w:leader="dot" w:pos="9062"/>
            </w:tabs>
            <w:rPr>
              <w:rFonts w:asciiTheme="minorHAnsi" w:eastAsiaTheme="minorEastAsia" w:hAnsiTheme="minorHAnsi" w:cstheme="minorBidi"/>
              <w:noProof/>
              <w:lang w:eastAsia="sv-SE"/>
            </w:rPr>
          </w:pPr>
          <w:hyperlink w:anchor="_Toc438111881" w:history="1">
            <w:r w:rsidR="000874EE" w:rsidRPr="00DE72E5">
              <w:rPr>
                <w:rStyle w:val="Hyperlnk"/>
                <w:noProof/>
              </w:rPr>
              <w:t>6.</w:t>
            </w:r>
            <w:r w:rsidR="000874EE">
              <w:rPr>
                <w:rFonts w:asciiTheme="minorHAnsi" w:eastAsiaTheme="minorEastAsia" w:hAnsiTheme="minorHAnsi" w:cstheme="minorBidi"/>
                <w:noProof/>
                <w:lang w:eastAsia="sv-SE"/>
              </w:rPr>
              <w:tab/>
            </w:r>
            <w:r w:rsidR="000874EE" w:rsidRPr="00DE72E5">
              <w:rPr>
                <w:rStyle w:val="Hyperlnk"/>
                <w:noProof/>
              </w:rPr>
              <w:t>Affaire devant le Tribunal de l'Union européenne  = Affaire T-559/15 (Post Bank Iran contre le Conseil de l'Union européenne)</w:t>
            </w:r>
            <w:r w:rsidR="000874EE">
              <w:rPr>
                <w:noProof/>
                <w:webHidden/>
              </w:rPr>
              <w:tab/>
            </w:r>
            <w:r w:rsidR="000874EE">
              <w:rPr>
                <w:noProof/>
                <w:webHidden/>
              </w:rPr>
              <w:fldChar w:fldCharType="begin"/>
            </w:r>
            <w:r w:rsidR="000874EE">
              <w:rPr>
                <w:noProof/>
                <w:webHidden/>
              </w:rPr>
              <w:instrText xml:space="preserve"> PAGEREF _Toc438111881 \h </w:instrText>
            </w:r>
            <w:r w:rsidR="000874EE">
              <w:rPr>
                <w:noProof/>
                <w:webHidden/>
              </w:rPr>
            </w:r>
            <w:r w:rsidR="000874EE">
              <w:rPr>
                <w:noProof/>
                <w:webHidden/>
              </w:rPr>
              <w:fldChar w:fldCharType="separate"/>
            </w:r>
            <w:r w:rsidR="000874EE">
              <w:rPr>
                <w:noProof/>
                <w:webHidden/>
              </w:rPr>
              <w:t>5</w:t>
            </w:r>
            <w:r w:rsidR="000874EE">
              <w:rPr>
                <w:noProof/>
                <w:webHidden/>
              </w:rPr>
              <w:fldChar w:fldCharType="end"/>
            </w:r>
          </w:hyperlink>
        </w:p>
        <w:p w14:paraId="0F69774C" w14:textId="77777777" w:rsidR="000874EE" w:rsidRDefault="000524DD">
          <w:pPr>
            <w:pStyle w:val="Innehll1"/>
            <w:tabs>
              <w:tab w:val="left" w:pos="440"/>
              <w:tab w:val="right" w:leader="dot" w:pos="9062"/>
            </w:tabs>
            <w:rPr>
              <w:rFonts w:asciiTheme="minorHAnsi" w:eastAsiaTheme="minorEastAsia" w:hAnsiTheme="minorHAnsi" w:cstheme="minorBidi"/>
              <w:noProof/>
              <w:lang w:eastAsia="sv-SE"/>
            </w:rPr>
          </w:pPr>
          <w:hyperlink w:anchor="_Toc438111882" w:history="1">
            <w:r w:rsidR="000874EE" w:rsidRPr="00DE72E5">
              <w:rPr>
                <w:rStyle w:val="Hyperlnk"/>
                <w:noProof/>
              </w:rPr>
              <w:t>7.</w:t>
            </w:r>
            <w:r w:rsidR="000874EE">
              <w:rPr>
                <w:rFonts w:asciiTheme="minorHAnsi" w:eastAsiaTheme="minorEastAsia" w:hAnsiTheme="minorHAnsi" w:cstheme="minorBidi"/>
                <w:noProof/>
                <w:lang w:eastAsia="sv-SE"/>
              </w:rPr>
              <w:tab/>
            </w:r>
            <w:r w:rsidR="000874EE" w:rsidRPr="00DE72E5">
              <w:rPr>
                <w:rStyle w:val="Hyperlnk"/>
                <w:noProof/>
              </w:rPr>
              <w:t>Fonctionnement des instances préparatoires du Conseil dans le domaine de la JAI (suivi des propositions du trio de présidences relatives à l'organisation des instances préparatoires du Conseil)</w:t>
            </w:r>
            <w:r w:rsidR="000874EE">
              <w:rPr>
                <w:noProof/>
                <w:webHidden/>
              </w:rPr>
              <w:tab/>
            </w:r>
            <w:r w:rsidR="000874EE">
              <w:rPr>
                <w:noProof/>
                <w:webHidden/>
              </w:rPr>
              <w:fldChar w:fldCharType="begin"/>
            </w:r>
            <w:r w:rsidR="000874EE">
              <w:rPr>
                <w:noProof/>
                <w:webHidden/>
              </w:rPr>
              <w:instrText xml:space="preserve"> PAGEREF _Toc438111882 \h </w:instrText>
            </w:r>
            <w:r w:rsidR="000874EE">
              <w:rPr>
                <w:noProof/>
                <w:webHidden/>
              </w:rPr>
            </w:r>
            <w:r w:rsidR="000874EE">
              <w:rPr>
                <w:noProof/>
                <w:webHidden/>
              </w:rPr>
              <w:fldChar w:fldCharType="separate"/>
            </w:r>
            <w:r w:rsidR="000874EE">
              <w:rPr>
                <w:noProof/>
                <w:webHidden/>
              </w:rPr>
              <w:t>5</w:t>
            </w:r>
            <w:r w:rsidR="000874EE">
              <w:rPr>
                <w:noProof/>
                <w:webHidden/>
              </w:rPr>
              <w:fldChar w:fldCharType="end"/>
            </w:r>
          </w:hyperlink>
        </w:p>
        <w:p w14:paraId="5C125AC7" w14:textId="77777777" w:rsidR="000874EE" w:rsidRDefault="000524DD">
          <w:pPr>
            <w:pStyle w:val="Innehll1"/>
            <w:tabs>
              <w:tab w:val="left" w:pos="440"/>
              <w:tab w:val="right" w:leader="dot" w:pos="9062"/>
            </w:tabs>
            <w:rPr>
              <w:rFonts w:asciiTheme="minorHAnsi" w:eastAsiaTheme="minorEastAsia" w:hAnsiTheme="minorHAnsi" w:cstheme="minorBidi"/>
              <w:noProof/>
              <w:lang w:eastAsia="sv-SE"/>
            </w:rPr>
          </w:pPr>
          <w:hyperlink w:anchor="_Toc438111883" w:history="1">
            <w:r w:rsidR="000874EE" w:rsidRPr="00DE72E5">
              <w:rPr>
                <w:rStyle w:val="Hyperlnk"/>
                <w:noProof/>
              </w:rPr>
              <w:t>8.</w:t>
            </w:r>
            <w:r w:rsidR="000874EE">
              <w:rPr>
                <w:rFonts w:asciiTheme="minorHAnsi" w:eastAsiaTheme="minorEastAsia" w:hAnsiTheme="minorHAnsi" w:cstheme="minorBidi"/>
                <w:noProof/>
                <w:lang w:eastAsia="sv-SE"/>
              </w:rPr>
              <w:tab/>
            </w:r>
            <w:r w:rsidR="000874EE" w:rsidRPr="00DE72E5">
              <w:rPr>
                <w:rStyle w:val="Hyperlnk"/>
                <w:noProof/>
              </w:rPr>
              <w:t>Proposition de Règlement du Parlement Européen et du Conseil relatif à l’application du mécanisme anticontournement permettant la suspension temporaire des préférences tarifaires prévues dans l’accord d’association entre l’Union européenne et la Communauté européenne de l’énergie atomique et leurs États membres, d’une part, et la Géorgie, d’autre part (première lecture)</w:t>
            </w:r>
            <w:r w:rsidR="000874EE">
              <w:rPr>
                <w:noProof/>
                <w:webHidden/>
              </w:rPr>
              <w:tab/>
            </w:r>
            <w:r w:rsidR="000874EE">
              <w:rPr>
                <w:noProof/>
                <w:webHidden/>
              </w:rPr>
              <w:fldChar w:fldCharType="begin"/>
            </w:r>
            <w:r w:rsidR="000874EE">
              <w:rPr>
                <w:noProof/>
                <w:webHidden/>
              </w:rPr>
              <w:instrText xml:space="preserve"> PAGEREF _Toc438111883 \h </w:instrText>
            </w:r>
            <w:r w:rsidR="000874EE">
              <w:rPr>
                <w:noProof/>
                <w:webHidden/>
              </w:rPr>
            </w:r>
            <w:r w:rsidR="000874EE">
              <w:rPr>
                <w:noProof/>
                <w:webHidden/>
              </w:rPr>
              <w:fldChar w:fldCharType="separate"/>
            </w:r>
            <w:r w:rsidR="000874EE">
              <w:rPr>
                <w:noProof/>
                <w:webHidden/>
              </w:rPr>
              <w:t>6</w:t>
            </w:r>
            <w:r w:rsidR="000874EE">
              <w:rPr>
                <w:noProof/>
                <w:webHidden/>
              </w:rPr>
              <w:fldChar w:fldCharType="end"/>
            </w:r>
          </w:hyperlink>
        </w:p>
        <w:p w14:paraId="473158AA" w14:textId="77777777" w:rsidR="000874EE" w:rsidRDefault="000524DD">
          <w:pPr>
            <w:pStyle w:val="Innehll1"/>
            <w:tabs>
              <w:tab w:val="left" w:pos="440"/>
              <w:tab w:val="right" w:leader="dot" w:pos="9062"/>
            </w:tabs>
            <w:rPr>
              <w:rFonts w:asciiTheme="minorHAnsi" w:eastAsiaTheme="minorEastAsia" w:hAnsiTheme="minorHAnsi" w:cstheme="minorBidi"/>
              <w:noProof/>
              <w:lang w:eastAsia="sv-SE"/>
            </w:rPr>
          </w:pPr>
          <w:hyperlink w:anchor="_Toc438111884" w:history="1">
            <w:r w:rsidR="000874EE" w:rsidRPr="00DE72E5">
              <w:rPr>
                <w:rStyle w:val="Hyperlnk"/>
                <w:noProof/>
              </w:rPr>
              <w:t>9.</w:t>
            </w:r>
            <w:r w:rsidR="000874EE">
              <w:rPr>
                <w:rFonts w:asciiTheme="minorHAnsi" w:eastAsiaTheme="minorEastAsia" w:hAnsiTheme="minorHAnsi" w:cstheme="minorBidi"/>
                <w:noProof/>
                <w:lang w:eastAsia="sv-SE"/>
              </w:rPr>
              <w:tab/>
            </w:r>
            <w:r w:rsidR="000874EE" w:rsidRPr="00DE72E5">
              <w:rPr>
                <w:rStyle w:val="Hyperlnk"/>
                <w:noProof/>
              </w:rPr>
              <w:t>Proposition de Règlement du Parlement Européen et du Conseil relatif à l’application de la clause de sauvegarde et du mécanisme anticontournement permettant la suspension temporaire des préférences tarifaires prévues dans l’accord d’association entre l’Union européenne et la Communauté européenne de l’énergie atomique et leurs États membres, d’une part, et la République de Moldavie, d’autre part (première lecture)</w:t>
            </w:r>
            <w:r w:rsidR="000874EE">
              <w:rPr>
                <w:noProof/>
                <w:webHidden/>
              </w:rPr>
              <w:tab/>
            </w:r>
            <w:r w:rsidR="000874EE">
              <w:rPr>
                <w:noProof/>
                <w:webHidden/>
              </w:rPr>
              <w:fldChar w:fldCharType="begin"/>
            </w:r>
            <w:r w:rsidR="000874EE">
              <w:rPr>
                <w:noProof/>
                <w:webHidden/>
              </w:rPr>
              <w:instrText xml:space="preserve"> PAGEREF _Toc438111884 \h </w:instrText>
            </w:r>
            <w:r w:rsidR="000874EE">
              <w:rPr>
                <w:noProof/>
                <w:webHidden/>
              </w:rPr>
            </w:r>
            <w:r w:rsidR="000874EE">
              <w:rPr>
                <w:noProof/>
                <w:webHidden/>
              </w:rPr>
              <w:fldChar w:fldCharType="separate"/>
            </w:r>
            <w:r w:rsidR="000874EE">
              <w:rPr>
                <w:noProof/>
                <w:webHidden/>
              </w:rPr>
              <w:t>6</w:t>
            </w:r>
            <w:r w:rsidR="000874EE">
              <w:rPr>
                <w:noProof/>
                <w:webHidden/>
              </w:rPr>
              <w:fldChar w:fldCharType="end"/>
            </w:r>
          </w:hyperlink>
        </w:p>
        <w:p w14:paraId="4B233977" w14:textId="77777777" w:rsidR="000874EE" w:rsidRDefault="000524DD">
          <w:pPr>
            <w:pStyle w:val="Innehll1"/>
            <w:tabs>
              <w:tab w:val="left" w:pos="660"/>
              <w:tab w:val="right" w:leader="dot" w:pos="9062"/>
            </w:tabs>
            <w:rPr>
              <w:rFonts w:asciiTheme="minorHAnsi" w:eastAsiaTheme="minorEastAsia" w:hAnsiTheme="minorHAnsi" w:cstheme="minorBidi"/>
              <w:noProof/>
              <w:lang w:eastAsia="sv-SE"/>
            </w:rPr>
          </w:pPr>
          <w:hyperlink w:anchor="_Toc438111885" w:history="1">
            <w:r w:rsidR="000874EE" w:rsidRPr="00DE72E5">
              <w:rPr>
                <w:rStyle w:val="Hyperlnk"/>
                <w:noProof/>
              </w:rPr>
              <w:t>10.</w:t>
            </w:r>
            <w:r w:rsidR="000874EE">
              <w:rPr>
                <w:rFonts w:asciiTheme="minorHAnsi" w:eastAsiaTheme="minorEastAsia" w:hAnsiTheme="minorHAnsi" w:cstheme="minorBidi"/>
                <w:noProof/>
                <w:lang w:eastAsia="sv-SE"/>
              </w:rPr>
              <w:tab/>
            </w:r>
            <w:r w:rsidR="000874EE" w:rsidRPr="00DE72E5">
              <w:rPr>
                <w:rStyle w:val="Hyperlnk"/>
                <w:noProof/>
              </w:rPr>
              <w:t>Priorités de l'UE pour la coopération avec le Conseil de l'Europe en 2016-2017</w:t>
            </w:r>
            <w:r w:rsidR="000874EE">
              <w:rPr>
                <w:noProof/>
                <w:webHidden/>
              </w:rPr>
              <w:tab/>
            </w:r>
            <w:r w:rsidR="000874EE">
              <w:rPr>
                <w:noProof/>
                <w:webHidden/>
              </w:rPr>
              <w:fldChar w:fldCharType="begin"/>
            </w:r>
            <w:r w:rsidR="000874EE">
              <w:rPr>
                <w:noProof/>
                <w:webHidden/>
              </w:rPr>
              <w:instrText xml:space="preserve"> PAGEREF _Toc438111885 \h </w:instrText>
            </w:r>
            <w:r w:rsidR="000874EE">
              <w:rPr>
                <w:noProof/>
                <w:webHidden/>
              </w:rPr>
            </w:r>
            <w:r w:rsidR="000874EE">
              <w:rPr>
                <w:noProof/>
                <w:webHidden/>
              </w:rPr>
              <w:fldChar w:fldCharType="separate"/>
            </w:r>
            <w:r w:rsidR="000874EE">
              <w:rPr>
                <w:noProof/>
                <w:webHidden/>
              </w:rPr>
              <w:t>7</w:t>
            </w:r>
            <w:r w:rsidR="000874EE">
              <w:rPr>
                <w:noProof/>
                <w:webHidden/>
              </w:rPr>
              <w:fldChar w:fldCharType="end"/>
            </w:r>
          </w:hyperlink>
        </w:p>
        <w:p w14:paraId="6A62E7AD" w14:textId="77777777" w:rsidR="00D957FB" w:rsidRDefault="00C34CFB">
          <w:r>
            <w:rPr>
              <w:b/>
              <w:bCs/>
              <w:noProof/>
            </w:rPr>
            <w:fldChar w:fldCharType="end"/>
          </w:r>
        </w:p>
      </w:sdtContent>
    </w:sdt>
    <w:p w14:paraId="6A62E7AE" w14:textId="77777777" w:rsidR="00D957FB" w:rsidRDefault="00C34CFB">
      <w:pPr>
        <w:ind w:left="0"/>
      </w:pPr>
      <w:r>
        <w:br w:type="page"/>
      </w:r>
    </w:p>
    <w:p w14:paraId="6A62E7AF" w14:textId="77777777" w:rsidR="00643D86" w:rsidRDefault="000524DD" w:rsidP="00643D86">
      <w:pPr>
        <w:pStyle w:val="Rubrik1"/>
        <w:numPr>
          <w:ilvl w:val="0"/>
          <w:numId w:val="0"/>
        </w:numPr>
      </w:pPr>
      <w:bookmarkStart w:id="1" w:name="_Toc364854645"/>
    </w:p>
    <w:p w14:paraId="6A62E7B0" w14:textId="77777777" w:rsidR="00643D86" w:rsidRDefault="00C34CFB" w:rsidP="00643D86">
      <w:pPr>
        <w:pStyle w:val="Rubrik1"/>
      </w:pPr>
      <w:bookmarkStart w:id="2" w:name="_Toc438111876"/>
      <w:r>
        <w:rPr>
          <w:noProof/>
        </w:rPr>
        <w:t>Affaire portée devant le Tribunal T-540/15 (Emilio De Capitani/Parlement Europeen)</w:t>
      </w:r>
      <w:bookmarkEnd w:id="2"/>
    </w:p>
    <w:p w14:paraId="6A62E7B1" w14:textId="50913656" w:rsidR="00643D86" w:rsidRDefault="00C34CFB" w:rsidP="00643D86">
      <w:pPr>
        <w:rPr>
          <w:lang w:val="en-US"/>
        </w:rPr>
      </w:pPr>
      <w:r>
        <w:rPr>
          <w:noProof/>
          <w:lang w:val="en-US"/>
        </w:rPr>
        <w:t>15170</w:t>
      </w:r>
      <w:r>
        <w:rPr>
          <w:lang w:val="en-US"/>
        </w:rPr>
        <w:t>/15 JUR 786 API 113 INST 440</w:t>
      </w:r>
    </w:p>
    <w:p w14:paraId="6A62E7B2" w14:textId="77777777" w:rsidR="00643D86" w:rsidRDefault="00C34CFB" w:rsidP="00643D86">
      <w:r>
        <w:rPr>
          <w:b/>
        </w:rPr>
        <w:t>Ansvarigt statsråd</w:t>
      </w:r>
      <w:r>
        <w:rPr>
          <w:b/>
        </w:rPr>
        <w:br/>
      </w:r>
      <w:r>
        <w:rPr>
          <w:noProof/>
        </w:rPr>
        <w:t>Margot Wallström</w:t>
      </w:r>
    </w:p>
    <w:p w14:paraId="6A62E7B5" w14:textId="77777777" w:rsidR="00643D86" w:rsidRDefault="00C34CFB" w:rsidP="00643D86">
      <w:r w:rsidRPr="00B44CE2">
        <w:rPr>
          <w:b/>
        </w:rPr>
        <w:t>Annotering</w:t>
      </w:r>
      <w:r>
        <w:rPr>
          <w:b/>
        </w:rPr>
        <w:br/>
      </w:r>
      <w:r>
        <w:rPr>
          <w:b/>
          <w:bCs/>
        </w:rPr>
        <w:t xml:space="preserve">Avsikt med behandlingen i rådet: </w:t>
      </w:r>
      <w:r>
        <w:t xml:space="preserve">Coreper föreslås rekommendera rådet att intervenera till stöd för Europaparlamentet i mål T-540/15 vid Europeiska unionens tribunal.  </w:t>
      </w:r>
    </w:p>
    <w:p w14:paraId="6A62E7B6" w14:textId="77777777" w:rsidR="009923B3" w:rsidRDefault="00C34CFB">
      <w:pPr>
        <w:spacing w:after="280" w:afterAutospacing="1"/>
      </w:pPr>
      <w:r>
        <w:rPr>
          <w:b/>
          <w:bCs/>
        </w:rPr>
        <w:t>Hur regeringen ställer sig till den blivande A-punkten:</w:t>
      </w:r>
      <w:r>
        <w:t xml:space="preserve"> Regeringen har ingen erinran mot att rådet intervenerar i målet. </w:t>
      </w:r>
    </w:p>
    <w:p w14:paraId="6A62E7B8" w14:textId="6099A9E3" w:rsidR="00FB32B9" w:rsidRDefault="00C34CFB">
      <w:pPr>
        <w:spacing w:after="280" w:afterAutospacing="1"/>
        <w:rPr>
          <w:noProof/>
        </w:rPr>
      </w:pPr>
      <w:r>
        <w:rPr>
          <w:b/>
          <w:bCs/>
        </w:rPr>
        <w:t xml:space="preserve">Bakgrund: </w:t>
      </w:r>
      <w:r>
        <w:t>Målet rör en ogiltighetstalan som sökanden har väckt mot Europaparlamentets beslut att inte bevilja sökanden fullständig tillgång till vissa handlingar angående förslaget till Europaparlamentets och rådets förordning om Europeiska unionens organ för samarbete och fortbildning inom brottsbekämpning (Europol).</w:t>
      </w:r>
    </w:p>
    <w:p w14:paraId="6A62E7B9" w14:textId="77777777" w:rsidR="00643D86" w:rsidRDefault="00C34CFB" w:rsidP="00643D86">
      <w:pPr>
        <w:pStyle w:val="Rubrik1"/>
      </w:pPr>
      <w:bookmarkStart w:id="3" w:name="_Toc438111877"/>
      <w:r>
        <w:rPr>
          <w:noProof/>
        </w:rPr>
        <w:t>Affaire devant la Cour de justice de l'Union européenne C-458/15 (K.P.)</w:t>
      </w:r>
      <w:bookmarkEnd w:id="3"/>
      <w:r>
        <w:rPr>
          <w:noProof/>
        </w:rPr>
        <w:t xml:space="preserve"> </w:t>
      </w:r>
    </w:p>
    <w:p w14:paraId="43F83FB5" w14:textId="77777777" w:rsidR="00E55BA5" w:rsidRDefault="00C34CFB" w:rsidP="00643D86">
      <w:pPr>
        <w:rPr>
          <w:lang w:val="en-US"/>
        </w:rPr>
      </w:pPr>
      <w:r>
        <w:rPr>
          <w:noProof/>
          <w:lang w:val="en-US"/>
        </w:rPr>
        <w:t>Demande</w:t>
      </w:r>
      <w:r>
        <w:rPr>
          <w:lang w:val="en-US"/>
        </w:rPr>
        <w:t xml:space="preserve"> de décision préjudicielle1</w:t>
      </w:r>
    </w:p>
    <w:p w14:paraId="6A62E7BA" w14:textId="2FA012AA" w:rsidR="00643D86" w:rsidRDefault="00C34CFB" w:rsidP="00643D86">
      <w:pPr>
        <w:rPr>
          <w:lang w:val="en-US"/>
        </w:rPr>
      </w:pPr>
      <w:r>
        <w:rPr>
          <w:noProof/>
          <w:lang w:val="en-US"/>
        </w:rPr>
        <w:t>15194</w:t>
      </w:r>
      <w:r>
        <w:rPr>
          <w:lang w:val="en-US"/>
        </w:rPr>
        <w:t>/15 JUR 789 CFSP/PESC 852 RELEX 1034 COTER 163</w:t>
      </w:r>
    </w:p>
    <w:p w14:paraId="6A62E7BB" w14:textId="77777777" w:rsidR="00643D86" w:rsidRDefault="00C34CFB" w:rsidP="00643D86">
      <w:r>
        <w:rPr>
          <w:b/>
        </w:rPr>
        <w:t>Ansvarigt statsråd</w:t>
      </w:r>
      <w:r>
        <w:rPr>
          <w:b/>
        </w:rPr>
        <w:br/>
      </w:r>
      <w:r>
        <w:rPr>
          <w:noProof/>
        </w:rPr>
        <w:t>Margot Wallström</w:t>
      </w:r>
    </w:p>
    <w:p w14:paraId="6A62E7BE" w14:textId="77777777" w:rsidR="00643D86" w:rsidRDefault="00C34CFB" w:rsidP="00643D86">
      <w:r w:rsidRPr="00B44CE2">
        <w:rPr>
          <w:b/>
        </w:rPr>
        <w:t>Annotering</w:t>
      </w:r>
      <w:r>
        <w:rPr>
          <w:b/>
        </w:rPr>
        <w:br/>
      </w:r>
      <w:r>
        <w:rPr>
          <w:b/>
          <w:bCs/>
        </w:rPr>
        <w:t xml:space="preserve">Avsikt med behandlingen i rådet: </w:t>
      </w:r>
      <w:r>
        <w:t xml:space="preserve">Information om ett mål vid EU-domstolen där rådet har utsett ombud.  </w:t>
      </w:r>
    </w:p>
    <w:p w14:paraId="6A62E7BF" w14:textId="77777777" w:rsidR="009923B3" w:rsidRDefault="00C34CFB">
      <w:pPr>
        <w:spacing w:after="280" w:afterAutospacing="1"/>
      </w:pPr>
      <w:r>
        <w:rPr>
          <w:b/>
          <w:bCs/>
        </w:rPr>
        <w:t>Hur regeringen ställer sig till den blivande A-punkten:</w:t>
      </w:r>
      <w:r>
        <w:t xml:space="preserve"> Regeringen har ingen erinran mot denna informationspunkt. </w:t>
      </w:r>
    </w:p>
    <w:p w14:paraId="6A62E7C1" w14:textId="1203262E" w:rsidR="00FB32B9" w:rsidRDefault="00C34CFB">
      <w:pPr>
        <w:spacing w:after="280" w:afterAutospacing="1"/>
        <w:rPr>
          <w:noProof/>
        </w:rPr>
      </w:pPr>
      <w:r>
        <w:rPr>
          <w:b/>
          <w:bCs/>
        </w:rPr>
        <w:t>Bakgrund:</w:t>
      </w:r>
      <w:r>
        <w:t xml:space="preserve"> Målet, som är en begäran om förhand</w:t>
      </w:r>
      <w:r w:rsidR="0000391C">
        <w:t>s</w:t>
      </w:r>
      <w:r>
        <w:t>avgörande från en tysk domstol, rör giltigheten av ett antal rådsbeslut genom vilka Tamilska befrielsetigrarna under viss tid placerats på den lista som inrättats genom rådets förordning (EG) nr 2580/2001 om särskilda restriktiva åtgärder mot vissa personer och enheter i syfte att bekämpa terrorism. EU-domstolen har vilandeförklarat målet i avvaktan på att dom meddelas i mål C-599/14. </w:t>
      </w:r>
    </w:p>
    <w:p w14:paraId="6A62E7C2" w14:textId="7A6979F2" w:rsidR="00643D86" w:rsidRDefault="00C34CFB" w:rsidP="00643D86">
      <w:pPr>
        <w:pStyle w:val="Rubrik1"/>
      </w:pPr>
      <w:bookmarkStart w:id="4" w:name="_Toc438111878"/>
      <w:r>
        <w:rPr>
          <w:noProof/>
        </w:rPr>
        <w:t>Affaire devant le Tribunal de l'Union européenne</w:t>
      </w:r>
      <w:bookmarkEnd w:id="4"/>
    </w:p>
    <w:p w14:paraId="6A62E7C5" w14:textId="7B021887" w:rsidR="00643D86" w:rsidRDefault="00E55BA5" w:rsidP="00643D86">
      <w:pPr>
        <w:rPr>
          <w:lang w:val="en-US"/>
        </w:rPr>
      </w:pPr>
      <w:r>
        <w:rPr>
          <w:noProof/>
          <w:lang w:val="en-US"/>
        </w:rPr>
        <w:t xml:space="preserve">= Affaire T-619/15 </w:t>
      </w:r>
      <w:r w:rsidR="00C34CFB">
        <w:rPr>
          <w:lang w:val="en-US"/>
        </w:rPr>
        <w:t>(Bureau d’achat de diamant Centrafrique (Badica) et Kardiam contre le Conseil de l'Union européenne)</w:t>
      </w:r>
      <w:r w:rsidR="00C34CFB">
        <w:rPr>
          <w:lang w:val="en-US"/>
        </w:rPr>
        <w:br/>
      </w:r>
      <w:r w:rsidR="00C34CFB">
        <w:rPr>
          <w:noProof/>
          <w:lang w:val="en-US"/>
        </w:rPr>
        <w:t>15298</w:t>
      </w:r>
      <w:r w:rsidR="00C34CFB">
        <w:rPr>
          <w:lang w:val="en-US"/>
        </w:rPr>
        <w:t>/15JUR 796 RELEX 1045 COAFR 364 CFSP/PESC 862</w:t>
      </w:r>
    </w:p>
    <w:p w14:paraId="6A62E7C6" w14:textId="77777777" w:rsidR="00643D86" w:rsidRDefault="00C34CFB" w:rsidP="00643D86">
      <w:r>
        <w:rPr>
          <w:b/>
        </w:rPr>
        <w:t>Ansvarigt statsråd</w:t>
      </w:r>
      <w:r>
        <w:rPr>
          <w:b/>
        </w:rPr>
        <w:br/>
      </w:r>
      <w:r>
        <w:rPr>
          <w:noProof/>
        </w:rPr>
        <w:t>Margot Wallström</w:t>
      </w:r>
    </w:p>
    <w:p w14:paraId="6A62E7C9" w14:textId="77777777" w:rsidR="00643D86" w:rsidRDefault="00C34CFB" w:rsidP="00643D86">
      <w:r w:rsidRPr="00B44CE2">
        <w:rPr>
          <w:b/>
        </w:rPr>
        <w:lastRenderedPageBreak/>
        <w:t>Annotering</w:t>
      </w:r>
      <w:r>
        <w:rPr>
          <w:b/>
        </w:rPr>
        <w:br/>
      </w:r>
      <w:r>
        <w:rPr>
          <w:b/>
          <w:bCs/>
        </w:rPr>
        <w:t>Avsikt med behandlingen i rådet:</w:t>
      </w:r>
      <w:r>
        <w:t xml:space="preserve"> Information om ett mål vid Europeiska unionens tribunal där rådet har utsett ombud.   </w:t>
      </w:r>
    </w:p>
    <w:p w14:paraId="6A62E7CA" w14:textId="77777777" w:rsidR="009923B3" w:rsidRDefault="00C34CFB">
      <w:pPr>
        <w:spacing w:after="280" w:afterAutospacing="1"/>
      </w:pPr>
      <w:r>
        <w:rPr>
          <w:b/>
          <w:bCs/>
        </w:rPr>
        <w:t>Hur regeringen ställer sig till den blivande A-punkten:</w:t>
      </w:r>
      <w:r>
        <w:t xml:space="preserve"> Regeringen har ingen erinran mot denna informationspunkt. </w:t>
      </w:r>
    </w:p>
    <w:p w14:paraId="6A62E7CD" w14:textId="472C8582" w:rsidR="00FB32B9" w:rsidRDefault="00C34CFB">
      <w:pPr>
        <w:spacing w:after="280" w:afterAutospacing="1"/>
      </w:pPr>
      <w:r>
        <w:rPr>
          <w:b/>
          <w:bCs/>
        </w:rPr>
        <w:t>Bakgrund:</w:t>
      </w:r>
      <w:r>
        <w:t xml:space="preserve"> Målet rör en ogiltighetstalan som sökanden har väckt bl.a. mot artikel 1 i rådets genomförandeförordning (EU) 2015/1485 om restriktiva åtgärder med anledning av situationen i Centralafrikanska republiken.</w:t>
      </w:r>
    </w:p>
    <w:p w14:paraId="6A62E7CE" w14:textId="6223A76E" w:rsidR="00643D86" w:rsidRDefault="00C34CFB" w:rsidP="00C34CFB">
      <w:pPr>
        <w:pStyle w:val="Rubrik1"/>
        <w:rPr>
          <w:noProof/>
        </w:rPr>
      </w:pPr>
      <w:bookmarkStart w:id="5" w:name="_Toc438111879"/>
      <w:r>
        <w:rPr>
          <w:noProof/>
        </w:rPr>
        <w:t>Affaire devant le Tribunal de l'Union européenne</w:t>
      </w:r>
      <w:bookmarkEnd w:id="5"/>
      <w:r>
        <w:rPr>
          <w:noProof/>
        </w:rPr>
        <w:t xml:space="preserve"> </w:t>
      </w:r>
    </w:p>
    <w:p w14:paraId="6A62E7D1" w14:textId="69E0FD71" w:rsidR="00643D86" w:rsidRPr="00AC3B8B" w:rsidRDefault="00E55BA5" w:rsidP="00E55BA5">
      <w:pPr>
        <w:rPr>
          <w:noProof/>
          <w:lang w:val="en-US"/>
        </w:rPr>
      </w:pPr>
      <w:r>
        <w:rPr>
          <w:lang w:val="en-US"/>
        </w:rPr>
        <w:t xml:space="preserve">= </w:t>
      </w:r>
      <w:r w:rsidR="00C34CFB" w:rsidRPr="00E55BA5">
        <w:rPr>
          <w:lang w:val="en-US"/>
        </w:rPr>
        <w:t>Affaire T-285/15 (Syria Steel SA et Al Buroj Trading contre le Conseil de l'Union européenne)</w:t>
      </w:r>
      <w:r w:rsidR="00C34CFB" w:rsidRPr="00E55BA5">
        <w:rPr>
          <w:lang w:val="en-US"/>
        </w:rPr>
        <w:br/>
      </w:r>
      <w:r w:rsidR="00C34CFB" w:rsidRPr="00E55BA5">
        <w:rPr>
          <w:noProof/>
          <w:lang w:val="en-US"/>
        </w:rPr>
        <w:t>15336</w:t>
      </w:r>
      <w:r w:rsidR="00C34CFB" w:rsidRPr="00E55BA5">
        <w:rPr>
          <w:lang w:val="en-US"/>
        </w:rPr>
        <w:t>/15 JUR 799 RELEX 1048 MOG 121 CONOP 153 CFSP/PESC 863</w:t>
      </w:r>
    </w:p>
    <w:p w14:paraId="6A62E7D2" w14:textId="77777777" w:rsidR="00643D86" w:rsidRDefault="00C34CFB" w:rsidP="00643D86">
      <w:r>
        <w:rPr>
          <w:b/>
        </w:rPr>
        <w:t>Ansvarigt statsråd</w:t>
      </w:r>
      <w:r>
        <w:rPr>
          <w:b/>
        </w:rPr>
        <w:br/>
      </w:r>
      <w:r>
        <w:rPr>
          <w:noProof/>
        </w:rPr>
        <w:t>Margot Wallström</w:t>
      </w:r>
    </w:p>
    <w:p w14:paraId="6A62E7D5" w14:textId="77777777" w:rsidR="00643D86" w:rsidRDefault="00C34CFB" w:rsidP="00643D86">
      <w:r w:rsidRPr="00B44CE2">
        <w:rPr>
          <w:b/>
        </w:rPr>
        <w:t>Annotering</w:t>
      </w:r>
      <w:r>
        <w:rPr>
          <w:b/>
        </w:rPr>
        <w:br/>
      </w:r>
      <w:r>
        <w:rPr>
          <w:b/>
          <w:bCs/>
        </w:rPr>
        <w:t xml:space="preserve">Avsikt med behandlingen i rådet: </w:t>
      </w:r>
      <w:r>
        <w:t xml:space="preserve">Information om ett mål vid Europeiska unionens tribunal där rådet har utsett ombud.  </w:t>
      </w:r>
    </w:p>
    <w:p w14:paraId="6A62E7D6" w14:textId="77777777" w:rsidR="009923B3" w:rsidRDefault="00C34CFB">
      <w:pPr>
        <w:spacing w:after="280" w:afterAutospacing="1"/>
      </w:pPr>
      <w:r>
        <w:rPr>
          <w:b/>
          <w:bCs/>
        </w:rPr>
        <w:t>Hur regeringen ställer sig till den blivande A-punkten:</w:t>
      </w:r>
      <w:r>
        <w:t xml:space="preserve"> Regeringen har ingen erinran mot denna informationspunkt. </w:t>
      </w:r>
    </w:p>
    <w:p w14:paraId="6A62E7D8" w14:textId="45C53084" w:rsidR="00FB32B9" w:rsidRDefault="00C34CFB">
      <w:pPr>
        <w:spacing w:after="280" w:afterAutospacing="1"/>
        <w:rPr>
          <w:noProof/>
        </w:rPr>
      </w:pPr>
      <w:r>
        <w:rPr>
          <w:b/>
          <w:bCs/>
        </w:rPr>
        <w:t xml:space="preserve">Bakgrund: </w:t>
      </w:r>
      <w:r>
        <w:t>Målet rör en ogiltighetstalan som sökanden bl.a. har väckt mot rådets genomförandebeslut (Gusp) 2015/383 om genomförande av beslut 2013/255/Gusp om r</w:t>
      </w:r>
      <w:r w:rsidR="00E55BA5">
        <w:t>estriktiva åtgärder mot Syrien.</w:t>
      </w:r>
    </w:p>
    <w:p w14:paraId="6A62E7D9" w14:textId="36B50A38" w:rsidR="00643D86" w:rsidRDefault="00C34CFB" w:rsidP="00643D86">
      <w:pPr>
        <w:pStyle w:val="Rubrik1"/>
      </w:pPr>
      <w:bookmarkStart w:id="6" w:name="_Toc438111880"/>
      <w:r>
        <w:rPr>
          <w:noProof/>
        </w:rPr>
        <w:t>Affaire devant le Tribunal de l'Union européenne</w:t>
      </w:r>
      <w:bookmarkEnd w:id="6"/>
      <w:r>
        <w:rPr>
          <w:noProof/>
        </w:rPr>
        <w:t xml:space="preserve"> </w:t>
      </w:r>
    </w:p>
    <w:p w14:paraId="6A62E7DC" w14:textId="4CEA2F53" w:rsidR="00643D86" w:rsidRDefault="00E55BA5" w:rsidP="00643D86">
      <w:pPr>
        <w:rPr>
          <w:lang w:val="en-US"/>
        </w:rPr>
      </w:pPr>
      <w:r>
        <w:rPr>
          <w:lang w:val="en-US"/>
        </w:rPr>
        <w:t xml:space="preserve">= </w:t>
      </w:r>
      <w:r w:rsidR="00C34CFB">
        <w:rPr>
          <w:lang w:val="en-US"/>
        </w:rPr>
        <w:t>Affaire T-558/15 (Iran Insurance Company contre le Conseil de l'Union européenne)</w:t>
      </w:r>
      <w:r w:rsidR="00C34CFB">
        <w:rPr>
          <w:lang w:val="en-US"/>
        </w:rPr>
        <w:br/>
      </w:r>
      <w:r w:rsidR="00C34CFB">
        <w:rPr>
          <w:noProof/>
          <w:lang w:val="en-US"/>
        </w:rPr>
        <w:t>15341</w:t>
      </w:r>
      <w:r w:rsidR="00C34CFB">
        <w:rPr>
          <w:lang w:val="en-US"/>
        </w:rPr>
        <w:t>/15 JUR 800 RELEX 1050 MOG 122 CONOP 154 CFSP/PESC 864</w:t>
      </w:r>
    </w:p>
    <w:p w14:paraId="6A62E7DD" w14:textId="77777777" w:rsidR="00643D86" w:rsidRDefault="00C34CFB" w:rsidP="00643D86">
      <w:r>
        <w:rPr>
          <w:b/>
        </w:rPr>
        <w:t>Ansvarigt statsråd</w:t>
      </w:r>
      <w:r>
        <w:rPr>
          <w:b/>
        </w:rPr>
        <w:br/>
      </w:r>
      <w:r>
        <w:rPr>
          <w:noProof/>
        </w:rPr>
        <w:t>Margot Wallström</w:t>
      </w:r>
    </w:p>
    <w:p w14:paraId="6A62E7E1" w14:textId="5E9F9C8F" w:rsidR="009923B3" w:rsidRDefault="00C34CFB" w:rsidP="00E55BA5">
      <w:r w:rsidRPr="00B44CE2">
        <w:rPr>
          <w:b/>
        </w:rPr>
        <w:t>Annotering</w:t>
      </w:r>
      <w:r>
        <w:rPr>
          <w:b/>
        </w:rPr>
        <w:br/>
      </w:r>
      <w:r>
        <w:rPr>
          <w:b/>
          <w:bCs/>
        </w:rPr>
        <w:t>Avsikt med behandlingen i rådet:</w:t>
      </w:r>
      <w:r>
        <w:t xml:space="preserve"> Information om ett mål vid Europeiska unionens tribunal där rådet har utsett ombud. </w:t>
      </w:r>
    </w:p>
    <w:p w14:paraId="6A62E7E2" w14:textId="77777777" w:rsidR="009923B3" w:rsidRDefault="00C34CFB">
      <w:pPr>
        <w:spacing w:after="280" w:afterAutospacing="1"/>
      </w:pPr>
      <w:r>
        <w:rPr>
          <w:b/>
          <w:bCs/>
        </w:rPr>
        <w:t>Hur regeringen ställer sig till den blivande A-punkten:</w:t>
      </w:r>
      <w:r>
        <w:t xml:space="preserve"> Regeringen har ingen erinran mot denna informationspunkt.</w:t>
      </w:r>
    </w:p>
    <w:p w14:paraId="6A62E7E4" w14:textId="40490ADC" w:rsidR="00FB32B9" w:rsidRDefault="00C34CFB">
      <w:pPr>
        <w:spacing w:after="280" w:afterAutospacing="1"/>
        <w:rPr>
          <w:noProof/>
        </w:rPr>
      </w:pPr>
      <w:r>
        <w:rPr>
          <w:b/>
          <w:bCs/>
        </w:rPr>
        <w:t>Bakgrund:</w:t>
      </w:r>
      <w:r>
        <w:t xml:space="preserve"> Målen rör en skadeståndstalan mot rådet i enlighet med artikel 340 FEUF med anledning bl.a. av rådets beslut 2010/644/Gusp om ändring av beslut 2010/413/Gusp om restriktiva åtgärder mot Iran.</w:t>
      </w:r>
    </w:p>
    <w:p w14:paraId="6A62E7E6" w14:textId="5A33EA3A" w:rsidR="00FB32B9" w:rsidRPr="00AC3B8B" w:rsidRDefault="00C34CFB" w:rsidP="00C34CFB">
      <w:pPr>
        <w:pStyle w:val="Rubrik1"/>
        <w:rPr>
          <w:lang w:val="en-US"/>
        </w:rPr>
      </w:pPr>
      <w:bookmarkStart w:id="7" w:name="_Toc438111881"/>
      <w:r w:rsidRPr="00AC3B8B">
        <w:rPr>
          <w:noProof/>
          <w:lang w:val="en-US"/>
        </w:rPr>
        <w:lastRenderedPageBreak/>
        <w:t>Affaire devant le Tribunal de l'Union européenne</w:t>
      </w:r>
      <w:r w:rsidR="00E55BA5" w:rsidRPr="00AC3B8B">
        <w:rPr>
          <w:noProof/>
          <w:lang w:val="en-US"/>
        </w:rPr>
        <w:t xml:space="preserve"> </w:t>
      </w:r>
      <w:r w:rsidR="00E55BA5" w:rsidRPr="00AC3B8B">
        <w:rPr>
          <w:noProof/>
          <w:lang w:val="en-US"/>
        </w:rPr>
        <w:br/>
      </w:r>
      <w:r w:rsidR="00E55BA5" w:rsidRPr="00AC3B8B">
        <w:rPr>
          <w:lang w:val="en-US"/>
        </w:rPr>
        <w:t xml:space="preserve">= </w:t>
      </w:r>
      <w:r w:rsidRPr="00AC3B8B">
        <w:rPr>
          <w:lang w:val="en-US"/>
        </w:rPr>
        <w:t>Affaire T-559/15 (Post Bank Iran contre le Conseil de l'Union européenne)</w:t>
      </w:r>
      <w:bookmarkEnd w:id="7"/>
    </w:p>
    <w:p w14:paraId="6A62E7E8" w14:textId="7F77E3F4" w:rsidR="00643D86" w:rsidRDefault="00C34CFB" w:rsidP="00402DCE">
      <w:pPr>
        <w:rPr>
          <w:lang w:val="en-US"/>
        </w:rPr>
      </w:pPr>
      <w:r>
        <w:rPr>
          <w:noProof/>
          <w:lang w:val="en-US"/>
        </w:rPr>
        <w:t>15346</w:t>
      </w:r>
      <w:r>
        <w:rPr>
          <w:lang w:val="en-US"/>
        </w:rPr>
        <w:t>/15 JUR 801 RELEX 1052 MOG 123 CONOP 155 CFSP/PESC 865</w:t>
      </w:r>
    </w:p>
    <w:p w14:paraId="6A62E7E9" w14:textId="77777777" w:rsidR="00643D86" w:rsidRDefault="00C34CFB" w:rsidP="00643D86">
      <w:r>
        <w:rPr>
          <w:b/>
        </w:rPr>
        <w:t>Ansvarigt statsråd</w:t>
      </w:r>
      <w:r>
        <w:rPr>
          <w:b/>
        </w:rPr>
        <w:br/>
      </w:r>
      <w:r>
        <w:rPr>
          <w:noProof/>
        </w:rPr>
        <w:t>Margot Wallström</w:t>
      </w:r>
    </w:p>
    <w:p w14:paraId="6A62E7EC" w14:textId="77777777" w:rsidR="00643D86" w:rsidRDefault="00C34CFB" w:rsidP="00643D86">
      <w:r w:rsidRPr="00B44CE2">
        <w:rPr>
          <w:b/>
        </w:rPr>
        <w:t>Annotering</w:t>
      </w:r>
      <w:r>
        <w:rPr>
          <w:b/>
        </w:rPr>
        <w:br/>
      </w:r>
      <w:r>
        <w:rPr>
          <w:b/>
          <w:bCs/>
        </w:rPr>
        <w:t xml:space="preserve">Avsikt med behandlingen i rådet: </w:t>
      </w:r>
      <w:r>
        <w:t xml:space="preserve">Information om ett mål vid Europeiska unionens tribunal där rådet har utsett ombud.  </w:t>
      </w:r>
    </w:p>
    <w:p w14:paraId="6A62E7ED" w14:textId="77777777" w:rsidR="009923B3" w:rsidRDefault="00C34CFB">
      <w:pPr>
        <w:spacing w:after="280" w:afterAutospacing="1"/>
      </w:pPr>
      <w:r>
        <w:rPr>
          <w:b/>
          <w:bCs/>
        </w:rPr>
        <w:t>Hur regeringen ställer sig till den blivande A-punkten:</w:t>
      </w:r>
      <w:r>
        <w:t xml:space="preserve"> Regeringen har ingen erinran mot denna informationspunkt. </w:t>
      </w:r>
    </w:p>
    <w:p w14:paraId="6A62E7EF" w14:textId="660C6B57" w:rsidR="00FB32B9" w:rsidRDefault="00C34CFB">
      <w:pPr>
        <w:spacing w:after="280" w:afterAutospacing="1"/>
        <w:rPr>
          <w:noProof/>
        </w:rPr>
      </w:pPr>
      <w:r>
        <w:rPr>
          <w:b/>
          <w:bCs/>
        </w:rPr>
        <w:t>Bakgrund:</w:t>
      </w:r>
      <w:r>
        <w:t xml:space="preserve"> Målen rör en skadeståndstalan mot rådet i enlighet med artikel 340 FEUF med anledning bl.a. av rådets beslut 2010/644/Gusp om ändring av beslut 2010/413/Gusp om restriktiva åtgärder mot Iran.</w:t>
      </w:r>
    </w:p>
    <w:p w14:paraId="6A62E7F0" w14:textId="66B4C1AD" w:rsidR="00643D86" w:rsidRDefault="00C34CFB" w:rsidP="00643D86">
      <w:pPr>
        <w:pStyle w:val="Rubrik1"/>
      </w:pPr>
      <w:bookmarkStart w:id="8" w:name="_Toc438111882"/>
      <w:r>
        <w:rPr>
          <w:noProof/>
        </w:rPr>
        <w:t>Fonctionnement des instances préparatoires du Conseil dans le domaine de la JAI (suivi des propositions du trio de présidences relatives à l'organisation des instances préparatoires du Conseil)</w:t>
      </w:r>
      <w:bookmarkEnd w:id="8"/>
    </w:p>
    <w:p w14:paraId="6A62E7F2" w14:textId="21199C14" w:rsidR="00643D86" w:rsidRPr="00AC3B8B" w:rsidRDefault="00C34CFB" w:rsidP="00643D86">
      <w:r w:rsidRPr="00AC3B8B">
        <w:rPr>
          <w:noProof/>
        </w:rPr>
        <w:t>15301</w:t>
      </w:r>
      <w:r w:rsidRPr="00AC3B8B">
        <w:t>/15 JAI 1004 ASIM 171 RELEX 1046</w:t>
      </w:r>
    </w:p>
    <w:p w14:paraId="6A62E7F3" w14:textId="7180746B" w:rsidR="00643D86" w:rsidRPr="006B2231" w:rsidRDefault="00C34CFB" w:rsidP="00643D86">
      <w:pPr>
        <w:rPr>
          <w:b/>
        </w:rPr>
      </w:pPr>
      <w:r>
        <w:rPr>
          <w:b/>
        </w:rPr>
        <w:t>Ansvarigt statsråd</w:t>
      </w:r>
      <w:r>
        <w:rPr>
          <w:b/>
        </w:rPr>
        <w:br/>
      </w:r>
      <w:r w:rsidR="006B2231" w:rsidRPr="006B2231">
        <w:t>Morgan Johansson</w:t>
      </w:r>
    </w:p>
    <w:p w14:paraId="67848A3A" w14:textId="3CFB9F78" w:rsidR="006B2231" w:rsidRPr="006B2231" w:rsidRDefault="00C34CFB" w:rsidP="006B2231">
      <w:pPr>
        <w:pStyle w:val="RKnormal"/>
        <w:ind w:left="714"/>
        <w:rPr>
          <w:rFonts w:ascii="Times New Roman" w:eastAsia="Calibri" w:hAnsi="Times New Roman"/>
          <w:sz w:val="22"/>
          <w:szCs w:val="22"/>
        </w:rPr>
      </w:pPr>
      <w:r w:rsidRPr="006B2231">
        <w:rPr>
          <w:rFonts w:ascii="Times New Roman" w:eastAsia="Calibri" w:hAnsi="Times New Roman"/>
          <w:b/>
          <w:sz w:val="22"/>
          <w:szCs w:val="22"/>
        </w:rPr>
        <w:t>Annotering</w:t>
      </w:r>
      <w:r w:rsidRPr="006B2231">
        <w:rPr>
          <w:rFonts w:ascii="Times New Roman" w:eastAsia="Calibri" w:hAnsi="Times New Roman"/>
          <w:b/>
          <w:sz w:val="22"/>
          <w:szCs w:val="22"/>
        </w:rPr>
        <w:br/>
      </w:r>
      <w:r w:rsidR="006B2231" w:rsidRPr="006B2231">
        <w:rPr>
          <w:rFonts w:ascii="Times New Roman" w:eastAsia="Calibri" w:hAnsi="Times New Roman"/>
          <w:b/>
          <w:sz w:val="22"/>
          <w:szCs w:val="22"/>
        </w:rPr>
        <w:t>Avsikt med behandlingen i rådet</w:t>
      </w:r>
      <w:r w:rsidR="006B2231" w:rsidRPr="006B2231">
        <w:rPr>
          <w:rFonts w:ascii="Times New Roman" w:eastAsia="Calibri" w:hAnsi="Times New Roman"/>
          <w:sz w:val="22"/>
          <w:szCs w:val="22"/>
        </w:rPr>
        <w:t xml:space="preserve">: </w:t>
      </w:r>
      <w:r w:rsidR="006B2231">
        <w:rPr>
          <w:rFonts w:ascii="Times New Roman" w:eastAsia="Calibri" w:hAnsi="Times New Roman"/>
          <w:sz w:val="22"/>
          <w:szCs w:val="22"/>
        </w:rPr>
        <w:t>R</w:t>
      </w:r>
      <w:r w:rsidR="006B2231" w:rsidRPr="006B2231">
        <w:rPr>
          <w:rFonts w:ascii="Times New Roman" w:eastAsia="Calibri" w:hAnsi="Times New Roman"/>
          <w:sz w:val="22"/>
          <w:szCs w:val="22"/>
        </w:rPr>
        <w:t>ådet ombeds att bekräfta godkännandet av de föreslagna villkoren för de rådsförberedande arbetsgrupperna på migrationsområdet och att inbjuda inkommande Trio-ordförandeskap (Nederländerna, Slovakien, Malta) att återrapportera lärdomar om upplägget inför en kommande översyn, när så är lämpligt.</w:t>
      </w:r>
    </w:p>
    <w:p w14:paraId="62B7C004" w14:textId="77777777" w:rsidR="006B2231" w:rsidRPr="006B2231" w:rsidRDefault="006B2231" w:rsidP="006B2231">
      <w:pPr>
        <w:pStyle w:val="RKnormal"/>
        <w:ind w:left="714"/>
        <w:rPr>
          <w:rFonts w:ascii="Times New Roman" w:eastAsia="Calibri" w:hAnsi="Times New Roman"/>
          <w:sz w:val="22"/>
          <w:szCs w:val="22"/>
        </w:rPr>
      </w:pPr>
    </w:p>
    <w:p w14:paraId="3E4E3757" w14:textId="4E607D53" w:rsidR="006B2231" w:rsidRPr="006B2231" w:rsidRDefault="006B2231" w:rsidP="006B2231">
      <w:pPr>
        <w:pStyle w:val="RKnormal"/>
        <w:ind w:left="714"/>
        <w:rPr>
          <w:rFonts w:ascii="Times New Roman" w:eastAsia="Calibri" w:hAnsi="Times New Roman"/>
          <w:sz w:val="22"/>
          <w:szCs w:val="22"/>
        </w:rPr>
      </w:pPr>
      <w:r w:rsidRPr="006B2231">
        <w:rPr>
          <w:rFonts w:ascii="Times New Roman" w:eastAsia="Calibri" w:hAnsi="Times New Roman"/>
          <w:b/>
          <w:sz w:val="22"/>
          <w:szCs w:val="22"/>
        </w:rPr>
        <w:t>Hur regeringen ställer sig till den blivande A-punkten</w:t>
      </w:r>
      <w:r w:rsidRPr="006B2231">
        <w:rPr>
          <w:rFonts w:ascii="Times New Roman" w:eastAsia="Calibri" w:hAnsi="Times New Roman"/>
          <w:sz w:val="22"/>
          <w:szCs w:val="22"/>
        </w:rPr>
        <w:t xml:space="preserve">: </w:t>
      </w:r>
      <w:r>
        <w:rPr>
          <w:rFonts w:ascii="Times New Roman" w:eastAsia="Calibri" w:hAnsi="Times New Roman"/>
          <w:sz w:val="22"/>
          <w:szCs w:val="22"/>
        </w:rPr>
        <w:t>R</w:t>
      </w:r>
      <w:r w:rsidRPr="006B2231">
        <w:rPr>
          <w:rFonts w:ascii="Times New Roman" w:eastAsia="Calibri" w:hAnsi="Times New Roman"/>
          <w:sz w:val="22"/>
          <w:szCs w:val="22"/>
        </w:rPr>
        <w:t xml:space="preserve">egeringen avser godkänna upplägget och metodologin.  </w:t>
      </w:r>
    </w:p>
    <w:p w14:paraId="59ADCEEF" w14:textId="77777777" w:rsidR="006B2231" w:rsidRPr="006B2231" w:rsidRDefault="006B2231" w:rsidP="006B2231">
      <w:pPr>
        <w:pStyle w:val="RKnormal"/>
        <w:ind w:left="714"/>
        <w:rPr>
          <w:rFonts w:ascii="Times New Roman" w:eastAsia="Calibri" w:hAnsi="Times New Roman"/>
          <w:sz w:val="22"/>
          <w:szCs w:val="22"/>
        </w:rPr>
      </w:pPr>
    </w:p>
    <w:p w14:paraId="7BE887DA" w14:textId="77777777" w:rsidR="006B2231" w:rsidRPr="006B2231" w:rsidRDefault="006B2231" w:rsidP="006B2231">
      <w:pPr>
        <w:pStyle w:val="RKnormal"/>
        <w:ind w:left="714"/>
        <w:rPr>
          <w:rFonts w:ascii="Times New Roman" w:eastAsia="Calibri" w:hAnsi="Times New Roman"/>
          <w:sz w:val="22"/>
          <w:szCs w:val="22"/>
        </w:rPr>
      </w:pPr>
      <w:r w:rsidRPr="006B2231">
        <w:rPr>
          <w:rFonts w:ascii="Times New Roman" w:eastAsia="Calibri" w:hAnsi="Times New Roman"/>
          <w:b/>
          <w:sz w:val="22"/>
          <w:szCs w:val="22"/>
        </w:rPr>
        <w:t>Bakgrund:</w:t>
      </w:r>
      <w:r w:rsidRPr="006B2231">
        <w:rPr>
          <w:rFonts w:ascii="Times New Roman" w:eastAsia="Calibri" w:hAnsi="Times New Roman"/>
          <w:sz w:val="22"/>
          <w:szCs w:val="22"/>
        </w:rPr>
        <w:t xml:space="preserve"> Ministerrådet för rättsliga och inrikes frågor (RIF) uppmanade den 5 december 2014 Coreper att se över mandaten och arbetsmetoderna för de rådsförberedande arbetsgrupperna på migrationsområdet, för att i enlighet med resultatet av inrikes- och utrikesministrarnas diskussion vid det s.k. ”Jumborådet” i Rom den 27 november 2014, effektivare samordna arbetet inom ramen för den interna och den externa dimensionen av migrationspolitiken. Coreper/rådet föreslås bekräfta det av det luxemburgska ordförandeskapet föreslagna upplägget att för varje ordförandeskap anordna minst ett gemensamt möte för Strategiska kommittén för invandring, gränser och asyl (SCIFA)och Högnivågruppen för asyl och migration (HLWG) och övriga möten mellan dessa i så nära i anslutning till varandra så längt praktiskt möjligt. Gruppernas dagordningar och arbete ska vidare samordnas i högre grad samt inriktas på genomförandet av prioriteringarna i det gemensamma strategidokument som inkommande Trio-ordförandeskap ska presentera.      </w:t>
      </w:r>
    </w:p>
    <w:p w14:paraId="6A62E7F7" w14:textId="77777777" w:rsidR="00643D86" w:rsidRDefault="00C34CFB" w:rsidP="00643D86">
      <w:pPr>
        <w:pStyle w:val="Rubrik1"/>
      </w:pPr>
      <w:bookmarkStart w:id="9" w:name="_Toc438111883"/>
      <w:r>
        <w:rPr>
          <w:noProof/>
        </w:rPr>
        <w:lastRenderedPageBreak/>
        <w:t>Proposition de Règlement du Parlement Européen et du Conseil relatif à l’application du mécanisme anticontournement permettant la suspension temporaire des préférences tarifaires prévues dans l’accord d’association entre l’Union européenne et la Communauté européenne de l’énergie atomique et leurs États membres, d’une part, et la Géorgie, d’autre part (première lecture)</w:t>
      </w:r>
      <w:bookmarkEnd w:id="9"/>
    </w:p>
    <w:p w14:paraId="62B4B06D" w14:textId="77777777" w:rsidR="00875F2F" w:rsidRDefault="00C34CFB" w:rsidP="00643D86">
      <w:pPr>
        <w:rPr>
          <w:lang w:val="en-US"/>
        </w:rPr>
      </w:pPr>
      <w:r>
        <w:rPr>
          <w:noProof/>
          <w:lang w:val="en-US"/>
        </w:rPr>
        <w:t>Confirmation</w:t>
      </w:r>
      <w:r>
        <w:rPr>
          <w:lang w:val="en-US"/>
        </w:rPr>
        <w:t xml:space="preserve"> du texte de compromis final en vue d'un accord</w:t>
      </w:r>
    </w:p>
    <w:p w14:paraId="6A62E7F8" w14:textId="01375C1C" w:rsidR="00643D86" w:rsidRPr="00AC3B8B" w:rsidRDefault="00C34CFB" w:rsidP="00643D86">
      <w:r w:rsidRPr="00AC3B8B">
        <w:rPr>
          <w:noProof/>
        </w:rPr>
        <w:t>15267</w:t>
      </w:r>
      <w:r w:rsidRPr="00AC3B8B">
        <w:t>/15 COMER 158 WTO 281 COEST 384 CODEC 1715</w:t>
      </w:r>
    </w:p>
    <w:p w14:paraId="6A62E7F9" w14:textId="77777777" w:rsidR="00643D86" w:rsidRDefault="00C34CFB" w:rsidP="00643D86">
      <w:r>
        <w:rPr>
          <w:b/>
        </w:rPr>
        <w:t>Ansvarigt statsråd</w:t>
      </w:r>
      <w:r>
        <w:rPr>
          <w:b/>
        </w:rPr>
        <w:br/>
      </w:r>
      <w:r>
        <w:rPr>
          <w:noProof/>
        </w:rPr>
        <w:t>Mikael Damberg</w:t>
      </w:r>
    </w:p>
    <w:p w14:paraId="6A62E7FE" w14:textId="6AB5C666" w:rsidR="009923B3" w:rsidRDefault="00C34CFB" w:rsidP="00875F2F">
      <w:r w:rsidRPr="00B44CE2">
        <w:rPr>
          <w:b/>
        </w:rPr>
        <w:t>Annotering</w:t>
      </w:r>
      <w:r>
        <w:rPr>
          <w:b/>
        </w:rPr>
        <w:br/>
      </w:r>
      <w:r>
        <w:rPr>
          <w:b/>
          <w:bCs/>
        </w:rPr>
        <w:t>Avsikt med behandlingen i rådet:</w:t>
      </w:r>
      <w:r w:rsidR="0000391C">
        <w:t xml:space="preserve"> A</w:t>
      </w:r>
      <w:r>
        <w:t xml:space="preserve">ntagande av förordning så </w:t>
      </w:r>
      <w:r w:rsidR="0000391C">
        <w:t xml:space="preserve">att </w:t>
      </w:r>
      <w:r>
        <w:t>de framförhandlade justeringarna i handelsavtalet kan implementeras.</w:t>
      </w:r>
    </w:p>
    <w:p w14:paraId="6A62E800" w14:textId="57DC08F2" w:rsidR="009923B3" w:rsidRDefault="00C34CFB">
      <w:pPr>
        <w:spacing w:after="280" w:afterAutospacing="1"/>
      </w:pPr>
      <w:r>
        <w:rPr>
          <w:b/>
          <w:bCs/>
        </w:rPr>
        <w:t>Hur regeringen ställer sig till den blivande A-punkten:</w:t>
      </w:r>
      <w:r>
        <w:t xml:space="preserve"> Sverige kan rösta ja till förslaget då vi kan acceptera kommissionens förslag till förordning om antikringgående mekanism för Georgien.</w:t>
      </w:r>
    </w:p>
    <w:p w14:paraId="6A62E802" w14:textId="1312ED36" w:rsidR="009923B3" w:rsidRDefault="00C34CFB">
      <w:pPr>
        <w:spacing w:after="280" w:afterAutospacing="1"/>
      </w:pPr>
      <w:r>
        <w:rPr>
          <w:b/>
          <w:bCs/>
        </w:rPr>
        <w:t>Bakgrund:</w:t>
      </w:r>
      <w:r w:rsidR="00875F2F">
        <w:rPr>
          <w:b/>
          <w:bCs/>
        </w:rPr>
        <w:t xml:space="preserve"> </w:t>
      </w:r>
      <w:r>
        <w:t xml:space="preserve">Skyddsklausuler ingår i många handelsavtal men inte i alla och därför endast när det anses nödvändigt. Förslaget till förordning bygger på tidigare förordningar och </w:t>
      </w:r>
      <w:r w:rsidR="0000391C">
        <w:t xml:space="preserve">förslaget </w:t>
      </w:r>
      <w:r>
        <w:t>är nödvändig</w:t>
      </w:r>
      <w:r w:rsidR="0000391C">
        <w:t>t</w:t>
      </w:r>
      <w:r>
        <w:t xml:space="preserve"> för </w:t>
      </w:r>
      <w:r w:rsidR="0000391C">
        <w:t xml:space="preserve">att implementera handelsavtalen. Förslaget till förordning </w:t>
      </w:r>
      <w:r>
        <w:t xml:space="preserve">återger regler som fastslagits i avtalen. För Georgien ingår endast </w:t>
      </w:r>
      <w:r w:rsidR="0000391C">
        <w:t xml:space="preserve">en </w:t>
      </w:r>
      <w:r>
        <w:t xml:space="preserve">antikringgående mekanism. Förslaget har förhandlats av DG-Agri och rör jordbruksprodukter och livsmedel. </w:t>
      </w:r>
    </w:p>
    <w:p w14:paraId="6A62E807" w14:textId="77777777" w:rsidR="00643D86" w:rsidRDefault="00C34CFB" w:rsidP="00643D86">
      <w:pPr>
        <w:pStyle w:val="Rubrik1"/>
      </w:pPr>
      <w:bookmarkStart w:id="10" w:name="_Toc438111884"/>
      <w:r>
        <w:rPr>
          <w:noProof/>
        </w:rPr>
        <w:t>Proposition de Règlement du Parlement Européen et du Conseil relatif à l’application de la clause de sauvegarde et du mécanisme anticontournement permettant la suspension temporaire des préférences tarifaires prévues dans l’accord d’association entre l’Union européenne et la Communauté européenne de l’énergie atomique et leurs États membres, d’une part, et la République de Moldavie, d’autre part (première lecture)</w:t>
      </w:r>
      <w:bookmarkEnd w:id="10"/>
    </w:p>
    <w:p w14:paraId="5479F925" w14:textId="77777777" w:rsidR="00875F2F" w:rsidRDefault="00C34CFB" w:rsidP="00643D86">
      <w:pPr>
        <w:rPr>
          <w:lang w:val="en-US"/>
        </w:rPr>
      </w:pPr>
      <w:r>
        <w:rPr>
          <w:noProof/>
          <w:lang w:val="en-US"/>
        </w:rPr>
        <w:t>Confirmation</w:t>
      </w:r>
      <w:r>
        <w:rPr>
          <w:lang w:val="en-US"/>
        </w:rPr>
        <w:t xml:space="preserve"> du texte de compromis final en vue d'un accord</w:t>
      </w:r>
    </w:p>
    <w:p w14:paraId="6A62E808" w14:textId="3B00E5F0" w:rsidR="00643D86" w:rsidRDefault="00C34CFB" w:rsidP="00643D86">
      <w:pPr>
        <w:rPr>
          <w:lang w:val="en-US"/>
        </w:rPr>
      </w:pPr>
      <w:r>
        <w:rPr>
          <w:noProof/>
          <w:lang w:val="en-US"/>
        </w:rPr>
        <w:t>15268</w:t>
      </w:r>
      <w:r>
        <w:rPr>
          <w:lang w:val="en-US"/>
        </w:rPr>
        <w:t>/15 COMER 159 WTO 282 COEST 385 CODEC 1716</w:t>
      </w:r>
    </w:p>
    <w:p w14:paraId="6A62E809" w14:textId="77777777" w:rsidR="00643D86" w:rsidRDefault="00C34CFB" w:rsidP="00643D86">
      <w:r>
        <w:rPr>
          <w:b/>
        </w:rPr>
        <w:t>Ansvarigt statsråd</w:t>
      </w:r>
      <w:r>
        <w:rPr>
          <w:b/>
        </w:rPr>
        <w:br/>
      </w:r>
      <w:r>
        <w:rPr>
          <w:noProof/>
        </w:rPr>
        <w:t>Mikael Damberg</w:t>
      </w:r>
    </w:p>
    <w:p w14:paraId="6A62E80E" w14:textId="289E56EB" w:rsidR="009923B3" w:rsidRDefault="00C34CFB" w:rsidP="00875F2F">
      <w:r w:rsidRPr="00B44CE2">
        <w:rPr>
          <w:b/>
        </w:rPr>
        <w:t>Annotering</w:t>
      </w:r>
      <w:r>
        <w:rPr>
          <w:b/>
        </w:rPr>
        <w:br/>
      </w:r>
      <w:r>
        <w:rPr>
          <w:b/>
          <w:bCs/>
        </w:rPr>
        <w:t>Avsikt med behandlingen i rådet:</w:t>
      </w:r>
      <w:r w:rsidR="0000391C">
        <w:t xml:space="preserve"> A</w:t>
      </w:r>
      <w:r>
        <w:t xml:space="preserve">ntagande av förordning så </w:t>
      </w:r>
      <w:r w:rsidR="0000391C">
        <w:t xml:space="preserve">att </w:t>
      </w:r>
      <w:r>
        <w:t>de framförhandlade justeringarna i handelsavtalet kan implementeras.</w:t>
      </w:r>
    </w:p>
    <w:p w14:paraId="6A62E810" w14:textId="23242C8E" w:rsidR="009923B3" w:rsidRDefault="00C34CFB">
      <w:pPr>
        <w:spacing w:after="280" w:afterAutospacing="1"/>
      </w:pPr>
      <w:r>
        <w:rPr>
          <w:b/>
          <w:bCs/>
        </w:rPr>
        <w:t xml:space="preserve">Hur regeringen ställer sig till den blivande A-punkten: </w:t>
      </w:r>
      <w:r>
        <w:t>Sverige kan rösta ja till förslaget då vi kan acceptera kommissionens förslag till förordni</w:t>
      </w:r>
      <w:r w:rsidR="00B6547D">
        <w:t xml:space="preserve">ng om </w:t>
      </w:r>
      <w:r>
        <w:t>antikringgående mekanism och klausul för skyddsåtgärder för Moldavien.</w:t>
      </w:r>
    </w:p>
    <w:p w14:paraId="6A62E812" w14:textId="27F6A757" w:rsidR="009923B3" w:rsidRDefault="00C34CFB">
      <w:pPr>
        <w:spacing w:after="280" w:afterAutospacing="1"/>
      </w:pPr>
      <w:r>
        <w:rPr>
          <w:b/>
          <w:bCs/>
        </w:rPr>
        <w:t>Bakgrund:</w:t>
      </w:r>
      <w:r w:rsidR="00875F2F">
        <w:rPr>
          <w:b/>
          <w:bCs/>
        </w:rPr>
        <w:t xml:space="preserve"> </w:t>
      </w:r>
      <w:r>
        <w:t xml:space="preserve">Skyddsklausuler ingår i många handelsavtal men inte i alla och därför endast när det anses nödvändigt. Förslaget till förordning bygger på tidigare förordningar och </w:t>
      </w:r>
      <w:r w:rsidR="00B6547D">
        <w:t xml:space="preserve">förslaget </w:t>
      </w:r>
      <w:r>
        <w:t>är nödvändig</w:t>
      </w:r>
      <w:r w:rsidR="00B6547D">
        <w:t>t</w:t>
      </w:r>
      <w:r>
        <w:t xml:space="preserve"> för att implementera handelsavtalen</w:t>
      </w:r>
      <w:r w:rsidR="00B6547D">
        <w:t>. Förslaget till förordning</w:t>
      </w:r>
      <w:r>
        <w:t xml:space="preserve"> återger regler som fastslagits i avtalen. I förslaget ingår antikringgående mekanism och skyddsklausul. I detta fall </w:t>
      </w:r>
      <w:r>
        <w:lastRenderedPageBreak/>
        <w:t>har Moldavien bett om en sådan klausul och kommissionen ville därför ha en bilateral k</w:t>
      </w:r>
      <w:r w:rsidR="00B6547D">
        <w:t>lausul. Antikringgående</w:t>
      </w:r>
      <w:r>
        <w:t>mekanismen</w:t>
      </w:r>
      <w:r w:rsidR="00B6547D">
        <w:t xml:space="preserve"> </w:t>
      </w:r>
      <w:r>
        <w:t xml:space="preserve">rör jordbruksprodukter och livsmedel. </w:t>
      </w:r>
    </w:p>
    <w:p w14:paraId="6A62E816" w14:textId="2E557DDA" w:rsidR="00643D86" w:rsidRDefault="00C34CFB" w:rsidP="00643D86">
      <w:pPr>
        <w:pStyle w:val="Rubrik1"/>
      </w:pPr>
      <w:bookmarkStart w:id="11" w:name="_Toc438111885"/>
      <w:r>
        <w:rPr>
          <w:noProof/>
        </w:rPr>
        <w:t>Priorités de l'UE pour la coopération avec le Conseil de l'Europe en 2016-2017</w:t>
      </w:r>
      <w:bookmarkEnd w:id="11"/>
    </w:p>
    <w:p w14:paraId="6A62E817" w14:textId="3CB52FB2" w:rsidR="00643D86" w:rsidRDefault="00C34CFB" w:rsidP="00643D86">
      <w:pPr>
        <w:rPr>
          <w:lang w:val="en-US"/>
        </w:rPr>
      </w:pPr>
      <w:r>
        <w:rPr>
          <w:noProof/>
          <w:lang w:val="en-US"/>
        </w:rPr>
        <w:t>14919</w:t>
      </w:r>
      <w:r>
        <w:rPr>
          <w:lang w:val="en-US"/>
        </w:rPr>
        <w:t>/15 COSCE 7 CFSP/PESC 831 COHOM 121</w:t>
      </w:r>
    </w:p>
    <w:p w14:paraId="6A62E818" w14:textId="77777777" w:rsidR="00643D86" w:rsidRDefault="00C34CFB" w:rsidP="00643D86">
      <w:r>
        <w:rPr>
          <w:b/>
        </w:rPr>
        <w:t>Ansvarigt statsråd</w:t>
      </w:r>
      <w:r>
        <w:rPr>
          <w:b/>
        </w:rPr>
        <w:br/>
      </w:r>
      <w:r>
        <w:rPr>
          <w:noProof/>
        </w:rPr>
        <w:t>Margot Wallström</w:t>
      </w:r>
    </w:p>
    <w:p w14:paraId="6A62E81B" w14:textId="77777777" w:rsidR="00643D86" w:rsidRDefault="00C34CFB" w:rsidP="00643D86">
      <w:r w:rsidRPr="00B44CE2">
        <w:rPr>
          <w:b/>
        </w:rPr>
        <w:t>Annotering</w:t>
      </w:r>
      <w:r>
        <w:rPr>
          <w:b/>
        </w:rPr>
        <w:br/>
      </w:r>
      <w:r>
        <w:rPr>
          <w:b/>
          <w:bCs/>
        </w:rPr>
        <w:t xml:space="preserve">Avsikt med behandlingen i rådet: </w:t>
      </w:r>
      <w:r>
        <w:t xml:space="preserve">Rådet föreslås godkänna EU:s prioriteringar för samarbete med Europarådet 2016-2017  </w:t>
      </w:r>
    </w:p>
    <w:p w14:paraId="6A62E81C" w14:textId="77777777" w:rsidR="009923B3" w:rsidRDefault="00C34CFB">
      <w:pPr>
        <w:spacing w:after="280" w:afterAutospacing="1"/>
      </w:pPr>
      <w:r>
        <w:rPr>
          <w:b/>
          <w:bCs/>
        </w:rPr>
        <w:t xml:space="preserve">Hur regeringen ställer sig till den blivande A-punkten: </w:t>
      </w:r>
      <w:r>
        <w:t xml:space="preserve">Sverige avser rösta för ett godkännande av prioriteringarna.  </w:t>
      </w:r>
    </w:p>
    <w:p w14:paraId="6A62E81D" w14:textId="503A8BA4" w:rsidR="009923B3" w:rsidRDefault="00C34CFB">
      <w:pPr>
        <w:spacing w:after="280" w:afterAutospacing="1"/>
      </w:pPr>
      <w:r>
        <w:rPr>
          <w:b/>
          <w:bCs/>
        </w:rPr>
        <w:t xml:space="preserve">Bakgrund: </w:t>
      </w:r>
      <w:r>
        <w:t xml:space="preserve">Samarbete mellan EU och Europarådet sker där det finns möjlighet att komplettera respektive organisation, där koherens mellan organisationernas värderingar återfinns samt där organisationerna kan addera värde till den andres verksamhet. Samarbetet har skett sedan 2007 då ett samförståndsavtal undertecknades. Formaliserade prioriteringar av samarbetet med Europarådet har skett sedan två-årsperioden 2012-2013. </w:t>
      </w:r>
    </w:p>
    <w:p w14:paraId="13603481" w14:textId="58D54FBC" w:rsidR="0000391C" w:rsidRDefault="00C34CFB" w:rsidP="0000391C">
      <w:r>
        <w:t>Samarbetet sker i</w:t>
      </w:r>
      <w:r w:rsidR="0000391C">
        <w:t xml:space="preserve"> form av 1.)politiskt samarbete</w:t>
      </w:r>
      <w:r>
        <w:t xml:space="preserve"> genom bl.a. regelbundna möten och </w:t>
      </w:r>
      <w:r w:rsidR="0000391C">
        <w:t xml:space="preserve">dialog; 2.) juridisk samverkan </w:t>
      </w:r>
      <w:r>
        <w:t xml:space="preserve">genom ökad koherens mellan EU-lagstiftning och Europarådets legala standarder/Europadomstolen; 3.) </w:t>
      </w:r>
      <w:r w:rsidR="0000391C">
        <w:rPr>
          <w:color w:val="1F497D"/>
        </w:rPr>
        <w:t xml:space="preserve">3) </w:t>
      </w:r>
      <w:r w:rsidR="0000391C">
        <w:t>Gemensam programverksamhet med partnerländer. Samarbetet med partnerländer stödjer sig på EU:s utvidgningspolitik och riktar sig främst till länder som är del i det östliga partnerskapet och EU:s södra grannskap. Det tematiska samarbetet sker främst röra</w:t>
      </w:r>
      <w:r w:rsidR="00B6547D">
        <w:t xml:space="preserve">nde mänskliga rättigheter och </w:t>
      </w:r>
      <w:r w:rsidR="0000391C">
        <w:t xml:space="preserve"> rättsstatsområdet.</w:t>
      </w:r>
    </w:p>
    <w:bookmarkEnd w:id="1"/>
    <w:p w14:paraId="6CCB0656" w14:textId="77777777" w:rsidR="0000391C" w:rsidRDefault="0000391C" w:rsidP="0000391C">
      <w:pPr>
        <w:rPr>
          <w:color w:val="1F497D"/>
        </w:rPr>
      </w:pPr>
    </w:p>
    <w:sectPr w:rsidR="0000391C"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E92DD" w14:textId="77777777" w:rsidR="000524DD" w:rsidRDefault="000524DD">
      <w:pPr>
        <w:spacing w:after="0" w:line="240" w:lineRule="auto"/>
      </w:pPr>
      <w:r>
        <w:separator/>
      </w:r>
    </w:p>
  </w:endnote>
  <w:endnote w:type="continuationSeparator" w:id="0">
    <w:p w14:paraId="72F8B3AD" w14:textId="77777777" w:rsidR="000524DD" w:rsidRDefault="0005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FD2A4" w14:textId="77777777" w:rsidR="000524DD" w:rsidRDefault="000524DD">
      <w:pPr>
        <w:spacing w:after="0" w:line="240" w:lineRule="auto"/>
      </w:pPr>
      <w:r>
        <w:separator/>
      </w:r>
    </w:p>
  </w:footnote>
  <w:footnote w:type="continuationSeparator" w:id="0">
    <w:p w14:paraId="134F3AA5" w14:textId="77777777" w:rsidR="000524DD" w:rsidRDefault="00052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237935"/>
      <w:docPartObj>
        <w:docPartGallery w:val="Page Numbers (Top of Page)"/>
        <w:docPartUnique/>
      </w:docPartObj>
    </w:sdtPr>
    <w:sdtEndPr/>
    <w:sdtContent>
      <w:p w14:paraId="266020EF" w14:textId="2A3B1AB2" w:rsidR="00E55BA5" w:rsidRDefault="00E55BA5">
        <w:pPr>
          <w:pStyle w:val="Sidhuvud"/>
          <w:jc w:val="right"/>
        </w:pPr>
        <w:r>
          <w:fldChar w:fldCharType="begin"/>
        </w:r>
        <w:r>
          <w:instrText>PAGE   \* MERGEFORMAT</w:instrText>
        </w:r>
        <w:r>
          <w:fldChar w:fldCharType="separate"/>
        </w:r>
        <w:r w:rsidR="00AC3B8B">
          <w:rPr>
            <w:noProof/>
          </w:rPr>
          <w:t>2</w:t>
        </w:r>
        <w:r>
          <w:fldChar w:fldCharType="end"/>
        </w:r>
      </w:p>
    </w:sdtContent>
  </w:sdt>
  <w:p w14:paraId="6A62E822" w14:textId="77777777" w:rsidR="006F1C0D" w:rsidRDefault="000524DD"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923B3" w14:paraId="6A62E828" w14:textId="77777777" w:rsidTr="006E71D7">
      <w:tc>
        <w:tcPr>
          <w:tcW w:w="4606" w:type="dxa"/>
        </w:tcPr>
        <w:p w14:paraId="6A62E823" w14:textId="77777777" w:rsidR="006E71D7" w:rsidRDefault="00C34CFB" w:rsidP="00752770">
          <w:pPr>
            <w:pStyle w:val="Sidhuvud"/>
            <w:ind w:left="0"/>
          </w:pPr>
          <w:r>
            <w:rPr>
              <w:noProof/>
              <w:lang w:eastAsia="sv-SE"/>
            </w:rPr>
            <w:drawing>
              <wp:inline distT="0" distB="0" distL="0" distR="0" wp14:anchorId="6A62E82E" wp14:editId="6A62E82F">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A62E824" w14:textId="77777777" w:rsidR="00FB32B9" w:rsidRDefault="000524DD" w:rsidP="00FB32B9">
          <w:pPr>
            <w:ind w:right="916"/>
            <w:rPr>
              <w:rFonts w:ascii="TradeGothic" w:hAnsi="TradeGothic"/>
              <w:b/>
            </w:rPr>
          </w:pPr>
        </w:p>
        <w:p w14:paraId="6A62E825" w14:textId="77777777" w:rsidR="00FB32B9" w:rsidRDefault="00C34CFB" w:rsidP="00FB32B9">
          <w:pPr>
            <w:ind w:right="916"/>
          </w:pPr>
          <w:r>
            <w:rPr>
              <w:rFonts w:ascii="TradeGothic" w:hAnsi="TradeGothic"/>
              <w:b/>
            </w:rPr>
            <w:t>Promemoria</w:t>
          </w:r>
        </w:p>
        <w:p w14:paraId="6A62E826" w14:textId="77777777" w:rsidR="00FB32B9" w:rsidRDefault="000524DD" w:rsidP="00FB32B9">
          <w:pPr>
            <w:jc w:val="right"/>
          </w:pPr>
        </w:p>
        <w:p w14:paraId="6A62E827" w14:textId="1B167CA6" w:rsidR="006E71D7" w:rsidRDefault="00C34CFB" w:rsidP="00FB32B9">
          <w:pPr>
            <w:ind w:right="916"/>
          </w:pPr>
          <w:r>
            <w:rPr>
              <w:rFonts w:ascii="TradeGothic" w:hAnsi="TradeGothic"/>
              <w:b/>
              <w:noProof/>
            </w:rPr>
            <w:t>2015-12-1</w:t>
          </w:r>
          <w:r w:rsidR="00E55BA5">
            <w:rPr>
              <w:rFonts w:ascii="TradeGothic" w:hAnsi="TradeGothic"/>
              <w:b/>
              <w:noProof/>
            </w:rPr>
            <w:t>7</w:t>
          </w:r>
        </w:p>
      </w:tc>
    </w:tr>
  </w:tbl>
  <w:p w14:paraId="6A62E829" w14:textId="77777777" w:rsidR="00FB32B9" w:rsidRDefault="000524DD" w:rsidP="00FB32B9">
    <w:pPr>
      <w:pStyle w:val="Avsndare"/>
      <w:framePr w:w="0" w:hRule="auto" w:hSpace="0" w:wrap="auto" w:vAnchor="margin" w:hAnchor="text" w:xAlign="left" w:yAlign="inline"/>
      <w:rPr>
        <w:b/>
        <w:i w:val="0"/>
        <w:sz w:val="22"/>
      </w:rPr>
    </w:pPr>
  </w:p>
  <w:p w14:paraId="6A62E82A" w14:textId="77777777" w:rsidR="00FB32B9" w:rsidRDefault="00C34CFB" w:rsidP="00FB32B9">
    <w:pPr>
      <w:pStyle w:val="Avsndare"/>
      <w:framePr w:w="0" w:hRule="auto" w:hSpace="0" w:wrap="auto" w:vAnchor="margin" w:hAnchor="text" w:xAlign="left" w:yAlign="inline"/>
      <w:rPr>
        <w:b/>
        <w:i w:val="0"/>
        <w:sz w:val="22"/>
      </w:rPr>
    </w:pPr>
    <w:r>
      <w:rPr>
        <w:b/>
        <w:i w:val="0"/>
        <w:sz w:val="22"/>
      </w:rPr>
      <w:t>Statsrådsberedningen</w:t>
    </w:r>
  </w:p>
  <w:p w14:paraId="6A62E82B" w14:textId="77777777" w:rsidR="00FB32B9" w:rsidRDefault="000524DD" w:rsidP="00FB32B9">
    <w:pPr>
      <w:pStyle w:val="Avsndare"/>
      <w:framePr w:w="0" w:hRule="auto" w:hSpace="0" w:wrap="auto" w:vAnchor="margin" w:hAnchor="text" w:xAlign="left" w:yAlign="inline"/>
    </w:pPr>
  </w:p>
  <w:p w14:paraId="6A62E82C" w14:textId="77777777" w:rsidR="00FB32B9" w:rsidRDefault="00C34CFB" w:rsidP="00FB32B9">
    <w:pPr>
      <w:pStyle w:val="Avsndare"/>
      <w:framePr w:w="0" w:hRule="auto" w:hSpace="0" w:wrap="auto" w:vAnchor="margin" w:hAnchor="text" w:xAlign="left" w:yAlign="inline"/>
    </w:pPr>
    <w:r>
      <w:t>EU-kansliet</w:t>
    </w:r>
  </w:p>
  <w:p w14:paraId="6A62E82D" w14:textId="77777777" w:rsidR="0012376B" w:rsidRDefault="000524D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1241C"/>
    <w:multiLevelType w:val="hybridMultilevel"/>
    <w:tmpl w:val="DD5A66C6"/>
    <w:lvl w:ilvl="0" w:tplc="940AB62A">
      <w:start w:val="3"/>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6A410AE9"/>
    <w:multiLevelType w:val="hybridMultilevel"/>
    <w:tmpl w:val="5E0C4660"/>
    <w:lvl w:ilvl="0" w:tplc="ACC8FE04">
      <w:start w:val="1"/>
      <w:numFmt w:val="decimal"/>
      <w:pStyle w:val="Rubrik1"/>
      <w:lvlText w:val="%1."/>
      <w:lvlJc w:val="left"/>
      <w:pPr>
        <w:ind w:left="720" w:hanging="360"/>
      </w:pPr>
    </w:lvl>
    <w:lvl w:ilvl="1" w:tplc="683A0AEC" w:tentative="1">
      <w:start w:val="1"/>
      <w:numFmt w:val="lowerLetter"/>
      <w:lvlText w:val="%2."/>
      <w:lvlJc w:val="left"/>
      <w:pPr>
        <w:ind w:left="1440" w:hanging="360"/>
      </w:pPr>
    </w:lvl>
    <w:lvl w:ilvl="2" w:tplc="61509A08" w:tentative="1">
      <w:start w:val="1"/>
      <w:numFmt w:val="lowerRoman"/>
      <w:lvlText w:val="%3."/>
      <w:lvlJc w:val="right"/>
      <w:pPr>
        <w:ind w:left="2160" w:hanging="180"/>
      </w:pPr>
    </w:lvl>
    <w:lvl w:ilvl="3" w:tplc="B1DA6BB2" w:tentative="1">
      <w:start w:val="1"/>
      <w:numFmt w:val="decimal"/>
      <w:lvlText w:val="%4."/>
      <w:lvlJc w:val="left"/>
      <w:pPr>
        <w:ind w:left="2880" w:hanging="360"/>
      </w:pPr>
    </w:lvl>
    <w:lvl w:ilvl="4" w:tplc="E3B8C654" w:tentative="1">
      <w:start w:val="1"/>
      <w:numFmt w:val="lowerLetter"/>
      <w:lvlText w:val="%5."/>
      <w:lvlJc w:val="left"/>
      <w:pPr>
        <w:ind w:left="3600" w:hanging="360"/>
      </w:pPr>
    </w:lvl>
    <w:lvl w:ilvl="5" w:tplc="30B26E7E" w:tentative="1">
      <w:start w:val="1"/>
      <w:numFmt w:val="lowerRoman"/>
      <w:lvlText w:val="%6."/>
      <w:lvlJc w:val="right"/>
      <w:pPr>
        <w:ind w:left="4320" w:hanging="180"/>
      </w:pPr>
    </w:lvl>
    <w:lvl w:ilvl="6" w:tplc="5E1CBE42" w:tentative="1">
      <w:start w:val="1"/>
      <w:numFmt w:val="decimal"/>
      <w:lvlText w:val="%7."/>
      <w:lvlJc w:val="left"/>
      <w:pPr>
        <w:ind w:left="5040" w:hanging="360"/>
      </w:pPr>
    </w:lvl>
    <w:lvl w:ilvl="7" w:tplc="7182FEFA" w:tentative="1">
      <w:start w:val="1"/>
      <w:numFmt w:val="lowerLetter"/>
      <w:lvlText w:val="%8."/>
      <w:lvlJc w:val="left"/>
      <w:pPr>
        <w:ind w:left="5760" w:hanging="360"/>
      </w:pPr>
    </w:lvl>
    <w:lvl w:ilvl="8" w:tplc="5B3438B4" w:tentative="1">
      <w:start w:val="1"/>
      <w:numFmt w:val="lowerRoman"/>
      <w:lvlText w:val="%9."/>
      <w:lvlJc w:val="right"/>
      <w:pPr>
        <w:ind w:left="6480" w:hanging="180"/>
      </w:pPr>
    </w:lvl>
  </w:abstractNum>
  <w:abstractNum w:abstractNumId="2" w15:restartNumberingAfterBreak="0">
    <w:nsid w:val="73990993"/>
    <w:multiLevelType w:val="hybridMultilevel"/>
    <w:tmpl w:val="3BD822EE"/>
    <w:lvl w:ilvl="0" w:tplc="E63C4D08">
      <w:start w:val="1"/>
      <w:numFmt w:val="decimal"/>
      <w:lvlText w:val="%1."/>
      <w:lvlJc w:val="left"/>
      <w:pPr>
        <w:ind w:left="360" w:hanging="360"/>
      </w:pPr>
      <w:rPr>
        <w:b w:val="0"/>
      </w:rPr>
    </w:lvl>
    <w:lvl w:ilvl="1" w:tplc="9380FB74" w:tentative="1">
      <w:start w:val="1"/>
      <w:numFmt w:val="lowerLetter"/>
      <w:lvlText w:val="%2."/>
      <w:lvlJc w:val="left"/>
      <w:pPr>
        <w:ind w:left="1080" w:hanging="360"/>
      </w:pPr>
    </w:lvl>
    <w:lvl w:ilvl="2" w:tplc="55A04FA2" w:tentative="1">
      <w:start w:val="1"/>
      <w:numFmt w:val="lowerRoman"/>
      <w:lvlText w:val="%3."/>
      <w:lvlJc w:val="right"/>
      <w:pPr>
        <w:ind w:left="1800" w:hanging="180"/>
      </w:pPr>
    </w:lvl>
    <w:lvl w:ilvl="3" w:tplc="8B98CCEC" w:tentative="1">
      <w:start w:val="1"/>
      <w:numFmt w:val="decimal"/>
      <w:lvlText w:val="%4."/>
      <w:lvlJc w:val="left"/>
      <w:pPr>
        <w:ind w:left="2520" w:hanging="360"/>
      </w:pPr>
    </w:lvl>
    <w:lvl w:ilvl="4" w:tplc="0FB297F2" w:tentative="1">
      <w:start w:val="1"/>
      <w:numFmt w:val="lowerLetter"/>
      <w:lvlText w:val="%5."/>
      <w:lvlJc w:val="left"/>
      <w:pPr>
        <w:ind w:left="3240" w:hanging="360"/>
      </w:pPr>
    </w:lvl>
    <w:lvl w:ilvl="5" w:tplc="B7B62FB4" w:tentative="1">
      <w:start w:val="1"/>
      <w:numFmt w:val="lowerRoman"/>
      <w:lvlText w:val="%6."/>
      <w:lvlJc w:val="right"/>
      <w:pPr>
        <w:ind w:left="3960" w:hanging="180"/>
      </w:pPr>
    </w:lvl>
    <w:lvl w:ilvl="6" w:tplc="79985FCC" w:tentative="1">
      <w:start w:val="1"/>
      <w:numFmt w:val="decimal"/>
      <w:lvlText w:val="%7."/>
      <w:lvlJc w:val="left"/>
      <w:pPr>
        <w:ind w:left="4680" w:hanging="360"/>
      </w:pPr>
    </w:lvl>
    <w:lvl w:ilvl="7" w:tplc="B1404FAC" w:tentative="1">
      <w:start w:val="1"/>
      <w:numFmt w:val="lowerLetter"/>
      <w:lvlText w:val="%8."/>
      <w:lvlJc w:val="left"/>
      <w:pPr>
        <w:ind w:left="5400" w:hanging="360"/>
      </w:pPr>
    </w:lvl>
    <w:lvl w:ilvl="8" w:tplc="DAD0F16E"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B3"/>
    <w:rsid w:val="0000391C"/>
    <w:rsid w:val="000524DD"/>
    <w:rsid w:val="000874EE"/>
    <w:rsid w:val="00115383"/>
    <w:rsid w:val="00287F7E"/>
    <w:rsid w:val="00402DCE"/>
    <w:rsid w:val="006B2231"/>
    <w:rsid w:val="00875F2F"/>
    <w:rsid w:val="009923B3"/>
    <w:rsid w:val="00AC3B8B"/>
    <w:rsid w:val="00B6547D"/>
    <w:rsid w:val="00C34CFB"/>
    <w:rsid w:val="00E55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2E793"/>
  <w15:docId w15:val="{520A3B29-4954-4011-AF8D-38643C0A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6B2231"/>
    <w:pPr>
      <w:tabs>
        <w:tab w:val="left" w:pos="2835"/>
      </w:tabs>
      <w:spacing w:after="0" w:line="240" w:lineRule="atLeast"/>
      <w:ind w:left="0"/>
    </w:pPr>
    <w:rPr>
      <w:rFonts w:ascii="OrigGarmnd BT" w:eastAsia="Times New Roman" w:hAnsi="OrigGarmnd B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JE6N4JFJXNNF-9-70494</_dlc_DocId>
    <_dlc_DocIdUrl xmlns="8b66ae41-1ec6-402e-b662-35d1932ca064">
      <Url>http://rkdhs-sb/enhet/EUKansli/_layouts/DocIdRedir.aspx?ID=JE6N4JFJXNNF-9-70494</Url>
      <Description>JE6N4JFJXNNF-9-70494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5C539-F59F-49E2-B8BF-86F0E8901F02}">
  <ds:schemaRefs>
    <ds:schemaRef ds:uri="http://schemas.microsoft.com/sharepoint/events"/>
  </ds:schemaRefs>
</ds:datastoreItem>
</file>

<file path=customXml/itemProps2.xml><?xml version="1.0" encoding="utf-8"?>
<ds:datastoreItem xmlns:ds="http://schemas.openxmlformats.org/officeDocument/2006/customXml" ds:itemID="{3411D215-A6B2-462C-AA7E-2310109B9659}">
  <ds:schemaRefs>
    <ds:schemaRef ds:uri="http://schemas.microsoft.com/office/2006/metadata/customXsn"/>
  </ds:schemaRefs>
</ds:datastoreItem>
</file>

<file path=customXml/itemProps3.xml><?xml version="1.0" encoding="utf-8"?>
<ds:datastoreItem xmlns:ds="http://schemas.openxmlformats.org/officeDocument/2006/customXml" ds:itemID="{5D06D32C-C854-41C9-9648-59D130B5EDD3}">
  <ds:schemaRefs>
    <ds:schemaRef ds:uri="http://schemas.microsoft.com/sharepoint/v3/contenttype/forms/url"/>
  </ds:schemaRefs>
</ds:datastoreItem>
</file>

<file path=customXml/itemProps4.xml><?xml version="1.0" encoding="utf-8"?>
<ds:datastoreItem xmlns:ds="http://schemas.openxmlformats.org/officeDocument/2006/customXml" ds:itemID="{C2D6C96F-C805-4575-8485-46CD0FCA4E9C}">
  <ds:schemaRefs>
    <ds:schemaRef ds:uri="http://schemas.microsoft.com/sharepoint/v3/contenttype/forms"/>
  </ds:schemaRefs>
</ds:datastoreItem>
</file>

<file path=customXml/itemProps5.xml><?xml version="1.0" encoding="utf-8"?>
<ds:datastoreItem xmlns:ds="http://schemas.openxmlformats.org/officeDocument/2006/customXml" ds:itemID="{BCB2A00A-C7B8-49C5-B94F-5CB59140C654}">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6.xml><?xml version="1.0" encoding="utf-8"?>
<ds:datastoreItem xmlns:ds="http://schemas.openxmlformats.org/officeDocument/2006/customXml" ds:itemID="{18BD530F-64E5-46DC-9D94-606354861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FE2CB1C-BE1A-48C9-9710-86A86358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1873</Words>
  <Characters>10776</Characters>
  <Application>Microsoft Office Word</Application>
  <DocSecurity>0</DocSecurity>
  <Lines>431</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cp:lastPrinted>2015-12-17T08:06:00Z</cp:lastPrinted>
  <dcterms:created xsi:type="dcterms:W3CDTF">2015-12-17T09:46:00Z</dcterms:created>
  <dcterms:modified xsi:type="dcterms:W3CDTF">2015-12-17T09:46:00Z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4d709c9b-97a9-46a8-9fec-ce67deb7cc2f</vt:lpwstr>
  </property>
</Properties>
</file>