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57D2" w:rsidRPr="00AD23E0" w:rsidRDefault="006F57D2">
      <w:pPr>
        <w:pStyle w:val="Hemstlrubrik"/>
      </w:pPr>
      <w:r w:rsidRPr="00AD23E0">
        <w:t>Förslag till riksdagsbeslut</w:t>
      </w:r>
    </w:p>
    <w:p w:rsidR="006F57D2" w:rsidRPr="00AD23E0" w:rsidRDefault="006F57D2">
      <w:pPr>
        <w:pStyle w:val="Hemstlatt"/>
        <w:ind w:left="0"/>
      </w:pPr>
      <w:r w:rsidRPr="00AD23E0">
        <w:t>Riksdagen tillkännager för regeringen som sin mening vad som anförs i motionen om att regeringen bör återkomma till riksdagen med ett förslag till en feministisk handlingsplan för en jämställd ku</w:t>
      </w:r>
      <w:r w:rsidRPr="00AD23E0">
        <w:t>l</w:t>
      </w:r>
      <w:r w:rsidRPr="00AD23E0">
        <w:t>tur.</w:t>
      </w:r>
    </w:p>
    <w:p w:rsidR="006F57D2" w:rsidRPr="00AD23E0" w:rsidRDefault="006F57D2">
      <w:pPr>
        <w:pStyle w:val="Rubrik1"/>
      </w:pPr>
      <w:r w:rsidRPr="00AD23E0">
        <w:t>Motivering</w:t>
      </w:r>
    </w:p>
    <w:p w:rsidR="006F57D2" w:rsidRPr="00AD23E0" w:rsidRDefault="006F57D2">
      <w:r w:rsidRPr="00AD23E0">
        <w:t>Det är allmänt känt att kulturkonsumenterna oftast är kvinnor, men hur stor andel av beslutsfattarna är män? Och på vilka poster sitter kvinnorna respe</w:t>
      </w:r>
      <w:r w:rsidRPr="00AD23E0">
        <w:t>k</w:t>
      </w:r>
      <w:r w:rsidRPr="00AD23E0">
        <w:t>tive männen?</w:t>
      </w:r>
    </w:p>
    <w:p w:rsidR="006F57D2" w:rsidRPr="00AD23E0" w:rsidRDefault="006F57D2">
      <w:pPr>
        <w:pStyle w:val="Normaltindrag"/>
      </w:pPr>
      <w:r w:rsidRPr="00AD23E0">
        <w:t xml:space="preserve">I </w:t>
      </w:r>
      <w:r w:rsidRPr="00AD23E0">
        <w:rPr>
          <w:i/>
        </w:rPr>
        <w:t>Plats på scen</w:t>
      </w:r>
      <w:r w:rsidRPr="00AD23E0">
        <w:t>, betänkande av Kommittén för jämställdhet inom sce</w:t>
      </w:r>
      <w:r w:rsidRPr="00AD23E0">
        <w:t>n</w:t>
      </w:r>
      <w:r w:rsidRPr="00AD23E0">
        <w:t>konstområdet (SoU 2006:4), konstateras bland mycket annat att kvinnor utgör en ”högst närvarande majoritet som publik till teatern, dansen och operan, medan män i stället utgör en majoritet på ledande poster inom organisatione</w:t>
      </w:r>
      <w:r w:rsidRPr="00AD23E0">
        <w:t>r</w:t>
      </w:r>
      <w:r w:rsidRPr="00AD23E0">
        <w:t>na samt präglar repertoaren och de erfarenheter som står i fokus där”.</w:t>
      </w:r>
    </w:p>
    <w:p w:rsidR="006F57D2" w:rsidRPr="00AD23E0" w:rsidRDefault="006F57D2">
      <w:pPr>
        <w:pStyle w:val="Normaltindrag"/>
      </w:pPr>
      <w:r w:rsidRPr="00AD23E0">
        <w:t>I ett avsnitt om ”teaterns skiftande kvaliteter” i samma betänkande jämför Ylva Gislén kvalitetsbegreppets användning inom teatern med hur det a</w:t>
      </w:r>
      <w:r w:rsidRPr="00AD23E0">
        <w:t>n</w:t>
      </w:r>
      <w:r w:rsidRPr="00AD23E0">
        <w:t>vänds inom högskolor och universitet: ”Kvalitet verkar här vara något som förutsätts, något som ligger implicit i de ekonomiska resurserna, i statusen, som i sin tur alla ser som en förutsättning för att kunna bedriva forskning och utbildning med kvalitet, samtidigt som man måste visa på kvalitet innan man får förutsättningar att vara bra.</w:t>
      </w:r>
    </w:p>
    <w:p w:rsidR="006F57D2" w:rsidRPr="00AD23E0" w:rsidRDefault="006F57D2">
      <w:pPr>
        <w:pStyle w:val="Normaltindrag"/>
      </w:pPr>
      <w:r w:rsidRPr="00AD23E0">
        <w:t>Samma positiva moment 22 som på Dramaten och för de framgångsrika manliga konstnärerna, samma negativa moment 22 för de fria grupperna och för alltför många av de kvinnl</w:t>
      </w:r>
      <w:r w:rsidRPr="00AD23E0">
        <w:t xml:space="preserve">iga konstnärerna.” Gislén pekar på hur kvalitet ”osynligen laddas med kön”. Och det är ju den som visar upp ”kvalitet” som får anslag och ges möjlighet att arbeta och föra fram sin världsbild och sitt </w:t>
      </w:r>
      <w:r w:rsidRPr="00AD23E0">
        <w:lastRenderedPageBreak/>
        <w:t>budskap. Kommittén summerar sitt över 400 sidor långa betänkande i ett antal bedömningar och slutsatser.</w:t>
      </w:r>
    </w:p>
    <w:p w:rsidR="006F57D2" w:rsidRPr="00AD23E0" w:rsidRDefault="006F57D2">
      <w:pPr>
        <w:pStyle w:val="Normaltindrag"/>
      </w:pPr>
      <w:r w:rsidRPr="00AD23E0">
        <w:t xml:space="preserve">Vi kan inte se att det hänt mycket sedan utredningen </w:t>
      </w:r>
      <w:r w:rsidRPr="00AD23E0">
        <w:rPr>
          <w:i/>
        </w:rPr>
        <w:t>Plats på scen</w:t>
      </w:r>
      <w:r w:rsidRPr="00AD23E0">
        <w:t xml:space="preserve"> public</w:t>
      </w:r>
      <w:r w:rsidRPr="00AD23E0">
        <w:t>e</w:t>
      </w:r>
      <w:r w:rsidRPr="00AD23E0">
        <w:t>rades. Tvärtom skriver Teaterförbundet i sin guide till jämställdhet 2007</w:t>
      </w:r>
      <w:r w:rsidRPr="00AD23E0">
        <w:rPr>
          <w:i/>
        </w:rPr>
        <w:t xml:space="preserve"> I Väntan på vadå?</w:t>
      </w:r>
      <w:r w:rsidRPr="00AD23E0">
        <w:t xml:space="preserve"> att de patriarkala strukturerna reproducerar sig själva och man gör som man alltid har gjort. Det är väl känt att det inte bara är inom scenkonstområdet som det råder ojämna maktförhållanden – på det ena konstområdet efter det andra går det att räkna upp exempel på hur kvinnor underordnas män.</w:t>
      </w:r>
    </w:p>
    <w:p w:rsidR="006F57D2" w:rsidRPr="00AD23E0" w:rsidRDefault="006F57D2">
      <w:pPr>
        <w:pStyle w:val="Normaltindrag"/>
      </w:pPr>
      <w:r w:rsidRPr="00AD23E0">
        <w:t>På musikområdet, i orkestrarna, råder en starkt hierarkisk struktur. Kvi</w:t>
      </w:r>
      <w:r w:rsidRPr="00AD23E0">
        <w:t>n</w:t>
      </w:r>
      <w:r w:rsidRPr="00AD23E0">
        <w:t>nors möjligheter att få ledande arbeten är små och kvinnliga kompositörer har svårt att få ekonomiskt stöd. Kvinnor som arbetar med bild och form har svårare än sina manliga kollegor att få stipendier och uppdrag. Inom fil</w:t>
      </w:r>
      <w:r w:rsidRPr="00AD23E0">
        <w:t>m</w:t>
      </w:r>
      <w:r w:rsidRPr="00AD23E0">
        <w:t>branschen har kvinnor genomgående svårare än sina manliga kollegor att få finansiering för sina projekt, om det inte gäller barn- och ungdomsfilm.</w:t>
      </w:r>
    </w:p>
    <w:p w:rsidR="006F57D2" w:rsidRPr="00AD23E0" w:rsidRDefault="006F57D2">
      <w:pPr>
        <w:pStyle w:val="Normaltindrag"/>
      </w:pPr>
      <w:r w:rsidRPr="00AD23E0">
        <w:t>I betänkande 2006/07:KrU4 skriver kulturutskottet angående förslaget om att inrätta ett resurscentrum för genusfrågor, att ärendet bereds ino</w:t>
      </w:r>
      <w:r w:rsidRPr="00AD23E0">
        <w:t>m Rege</w:t>
      </w:r>
      <w:r w:rsidRPr="00AD23E0">
        <w:t>r</w:t>
      </w:r>
      <w:r w:rsidRPr="00AD23E0">
        <w:t>ingskansliet. Denna beredning är nu slutförd och inget resurscentrum plan</w:t>
      </w:r>
      <w:r w:rsidRPr="00AD23E0">
        <w:t>e</w:t>
      </w:r>
      <w:r w:rsidRPr="00AD23E0">
        <w:t>ras.</w:t>
      </w:r>
    </w:p>
    <w:p w:rsidR="006F57D2" w:rsidRPr="00AD23E0" w:rsidRDefault="006F57D2">
      <w:pPr>
        <w:pStyle w:val="Normaltindrag"/>
      </w:pPr>
      <w:r w:rsidRPr="00AD23E0">
        <w:t>I våra större dagstidningars styrelser är den manliga dominansen stark, och i tv-rutan är fortfarande två av tre personer män, konstaterades i oktober i år i en doktorsavhandling vid Göteborgs universitet. Dessutom, säger forskarna, är tre av fyra maktpersoner män och kvinnor är fortfarande underrepresent</w:t>
      </w:r>
      <w:r w:rsidRPr="00AD23E0">
        <w:t>e</w:t>
      </w:r>
      <w:r w:rsidRPr="00AD23E0">
        <w:t>rade i alla genrer i svensk television.</w:t>
      </w:r>
    </w:p>
    <w:p w:rsidR="006F57D2" w:rsidRPr="00AD23E0" w:rsidRDefault="006F57D2">
      <w:pPr>
        <w:pStyle w:val="Normaltindrag"/>
      </w:pPr>
      <w:r w:rsidRPr="00AD23E0">
        <w:t>I kulturinstitutionernas styrelser sitter mestadels en majoritet av kvinnor. Ändå avlöser rapporterna om ojämställdheten inom kulturlivet varandra. Det räcker inte att räkna kvinno- och manshuvuden, det handlar om var makten sitter och det handlar om ingrodda reaktionsmönster.</w:t>
      </w:r>
    </w:p>
    <w:p w:rsidR="006F57D2" w:rsidRPr="00AD23E0" w:rsidRDefault="006F57D2">
      <w:pPr>
        <w:pStyle w:val="Normaltindrag"/>
      </w:pPr>
      <w:r w:rsidRPr="00AD23E0">
        <w:t>”Känner publiken att samhället utanför teatern har hunnit mycket längre och att vi inte hinner med att gestalta det, kommer folk att välja bort teatern”, säger Birgitta Englin, f.d. ordförande i Plats-på-</w:t>
      </w:r>
      <w:bookmarkStart w:id="0" w:name="_Toc115422443"/>
      <w:bookmarkStart w:id="1" w:name="_Toc116137047"/>
      <w:r w:rsidRPr="00AD23E0">
        <w:t>scenutredningen.</w:t>
      </w:r>
    </w:p>
    <w:p w:rsidR="006F57D2" w:rsidRPr="00AD23E0" w:rsidRDefault="006F57D2">
      <w:pPr>
        <w:pStyle w:val="Rubrik1"/>
      </w:pPr>
      <w:r w:rsidRPr="00AD23E0">
        <w:t>Kartlägg och åtgärda</w:t>
      </w:r>
      <w:bookmarkEnd w:id="0"/>
      <w:bookmarkEnd w:id="1"/>
      <w:r w:rsidRPr="00AD23E0">
        <w:t xml:space="preserve"> hela kultursfären</w:t>
      </w:r>
    </w:p>
    <w:p w:rsidR="006F57D2" w:rsidRPr="00AD23E0" w:rsidRDefault="006F57D2">
      <w:r w:rsidRPr="00AD23E0">
        <w:t>En aktionsgrupp, liknande den som tidigare arbetade inom barnkulturområdet, bör tillsättas och ges i uppdrag att kartlägga kulturlivet ur ett könsmaktspe</w:t>
      </w:r>
      <w:r w:rsidRPr="00AD23E0">
        <w:t>r</w:t>
      </w:r>
      <w:r w:rsidRPr="00AD23E0">
        <w:t>spektiv både vad gäller dem som skapar kulturutbudet och dem som använder det. I kartläggningen skulle även ingå hur köns- och maktfördelningen ser ut inom den politiska och byråkratiska sfären. Slutligen ska gruppen presentera en åtgärdsplan för en positiv utveckling. Regeringen bör återkomma med ett förslag till en feministisk handlingsplan för en jämställd kultur.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23E0">
        <w:trPr>
          <w:cantSplit/>
        </w:trPr>
        <w:tc>
          <w:tcPr>
            <w:tcW w:w="3046" w:type="dxa"/>
          </w:tcPr>
          <w:p w:rsidR="006F57D2" w:rsidRPr="00AD23E0" w:rsidRDefault="006F57D2">
            <w:pPr>
              <w:pStyle w:val="UnderskriftDatum"/>
              <w:spacing w:before="240"/>
            </w:pPr>
            <w:r w:rsidRPr="00AD23E0">
              <w:t>Stockholm den 6 oktober 2008</w:t>
            </w:r>
          </w:p>
        </w:tc>
        <w:tc>
          <w:tcPr>
            <w:tcW w:w="3047" w:type="dxa"/>
          </w:tcPr>
          <w:p w:rsidR="006F57D2" w:rsidRPr="00AD23E0" w:rsidRDefault="006F57D2">
            <w:pPr>
              <w:pStyle w:val="Underskrifter"/>
              <w:spacing w:before="240"/>
            </w:pPr>
          </w:p>
        </w:tc>
      </w:tr>
      <w:tr w:rsidR="00000000" w:rsidRPr="00AD23E0">
        <w:trPr>
          <w:cantSplit/>
        </w:trPr>
        <w:tc>
          <w:tcPr>
            <w:tcW w:w="3046" w:type="dxa"/>
          </w:tcPr>
          <w:p w:rsidR="006F57D2" w:rsidRPr="00AD23E0" w:rsidRDefault="006F57D2">
            <w:pPr>
              <w:pStyle w:val="Underskrifter"/>
            </w:pPr>
            <w:r w:rsidRPr="00AD23E0">
              <w:t>Siv Holma (v)</w:t>
            </w:r>
          </w:p>
        </w:tc>
        <w:tc>
          <w:tcPr>
            <w:tcW w:w="3046" w:type="dxa"/>
          </w:tcPr>
          <w:p w:rsidR="006F57D2" w:rsidRPr="00AD23E0" w:rsidRDefault="006F57D2">
            <w:pPr>
              <w:pStyle w:val="Underskrifter"/>
            </w:pPr>
          </w:p>
        </w:tc>
      </w:tr>
      <w:tr w:rsidR="00000000" w:rsidRPr="00AD23E0">
        <w:trPr>
          <w:cantSplit/>
        </w:trPr>
        <w:tc>
          <w:tcPr>
            <w:tcW w:w="3046" w:type="dxa"/>
          </w:tcPr>
          <w:p w:rsidR="006F57D2" w:rsidRPr="00AD23E0" w:rsidRDefault="006F57D2">
            <w:pPr>
              <w:pStyle w:val="Underskrifter"/>
            </w:pPr>
            <w:r w:rsidRPr="00AD23E0">
              <w:t>Torbjörn Björlund (v)</w:t>
            </w:r>
          </w:p>
        </w:tc>
        <w:tc>
          <w:tcPr>
            <w:tcW w:w="3046" w:type="dxa"/>
          </w:tcPr>
          <w:p w:rsidR="006F57D2" w:rsidRPr="00AD23E0" w:rsidRDefault="006F57D2">
            <w:pPr>
              <w:pStyle w:val="Underskrifter"/>
            </w:pPr>
            <w:r w:rsidRPr="00AD23E0">
              <w:t>Rossana Dinamarca (v)</w:t>
            </w:r>
          </w:p>
        </w:tc>
      </w:tr>
      <w:tr w:rsidR="00000000" w:rsidRPr="00AD23E0">
        <w:trPr>
          <w:cantSplit/>
        </w:trPr>
        <w:tc>
          <w:tcPr>
            <w:tcW w:w="3046" w:type="dxa"/>
          </w:tcPr>
          <w:p w:rsidR="006F57D2" w:rsidRPr="00AD23E0" w:rsidRDefault="006F57D2">
            <w:pPr>
              <w:pStyle w:val="Underskrifter"/>
            </w:pPr>
            <w:r w:rsidRPr="00AD23E0">
              <w:t>Egon Frid (v)</w:t>
            </w:r>
          </w:p>
        </w:tc>
        <w:tc>
          <w:tcPr>
            <w:tcW w:w="3046" w:type="dxa"/>
          </w:tcPr>
          <w:p w:rsidR="006F57D2" w:rsidRPr="00AD23E0" w:rsidRDefault="006F57D2">
            <w:pPr>
              <w:pStyle w:val="Underskrifter"/>
            </w:pPr>
            <w:r w:rsidRPr="00AD23E0">
              <w:t>Elina Linna (v)</w:t>
            </w:r>
          </w:p>
        </w:tc>
      </w:tr>
      <w:tr w:rsidR="00000000" w:rsidRPr="00AD23E0">
        <w:trPr>
          <w:cantSplit/>
        </w:trPr>
        <w:tc>
          <w:tcPr>
            <w:tcW w:w="3046" w:type="dxa"/>
          </w:tcPr>
          <w:p w:rsidR="006F57D2" w:rsidRPr="00AD23E0" w:rsidRDefault="006F57D2">
            <w:pPr>
              <w:pStyle w:val="Underskrifter"/>
            </w:pPr>
            <w:r w:rsidRPr="00AD23E0">
              <w:t>Eva Olofsson (v)</w:t>
            </w:r>
          </w:p>
        </w:tc>
        <w:tc>
          <w:tcPr>
            <w:tcW w:w="3046" w:type="dxa"/>
          </w:tcPr>
          <w:p w:rsidR="006F57D2" w:rsidRPr="00AD23E0" w:rsidRDefault="006F57D2">
            <w:pPr>
              <w:pStyle w:val="Underskrifter"/>
            </w:pPr>
          </w:p>
        </w:tc>
      </w:tr>
    </w:tbl>
    <w:p w:rsidR="006F57D2" w:rsidRPr="00AD23E0" w:rsidRDefault="006F57D2">
      <w:pPr>
        <w:pStyle w:val="Normaltindrag"/>
      </w:pPr>
    </w:p>
    <w:sectPr w:rsidR="006F57D2" w:rsidRPr="00AD23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57D2" w:rsidRPr="00AD23E0" w:rsidRDefault="006F57D2">
      <w:r w:rsidRPr="00AD23E0">
        <w:separator/>
      </w:r>
    </w:p>
  </w:endnote>
  <w:endnote w:type="continuationSeparator" w:id="0">
    <w:p w:rsidR="006F57D2" w:rsidRPr="00AD23E0" w:rsidRDefault="006F57D2">
      <w:r w:rsidRPr="00AD23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7D2" w:rsidRPr="00AD23E0" w:rsidRDefault="00AD23E0">
    <w:pPr>
      <w:pStyle w:val="Sidfot"/>
    </w:pPr>
    <w:r w:rsidRPr="00AD23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86186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7D2" w:rsidRDefault="006F57D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57D2" w:rsidRDefault="006F57D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7D2" w:rsidRPr="00AD23E0" w:rsidRDefault="00AD23E0">
    <w:pPr>
      <w:pStyle w:val="Sidfot"/>
    </w:pPr>
    <w:r w:rsidRPr="00AD23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80177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7D2" w:rsidRDefault="006F57D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57D2" w:rsidRDefault="006F57D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7D2" w:rsidRPr="00AD23E0" w:rsidRDefault="00AD23E0">
    <w:pPr>
      <w:pStyle w:val="Sidfot"/>
    </w:pPr>
    <w:r w:rsidRPr="00AD23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40770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7D2" w:rsidRDefault="006F57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57D2" w:rsidRDefault="006F57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57D2" w:rsidRPr="00AD23E0" w:rsidRDefault="006F57D2">
      <w:r w:rsidRPr="00AD23E0">
        <w:separator/>
      </w:r>
    </w:p>
  </w:footnote>
  <w:footnote w:type="continuationSeparator" w:id="0">
    <w:p w:rsidR="006F57D2" w:rsidRPr="00AD23E0" w:rsidRDefault="006F57D2">
      <w:r w:rsidRPr="00AD23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7D2" w:rsidRPr="00AD23E0" w:rsidRDefault="00AD23E0">
    <w:pPr>
      <w:pStyle w:val="Sidhuvud"/>
    </w:pPr>
    <w:r w:rsidRPr="00AD23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1055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7D2" w:rsidRDefault="006F57D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57D2" w:rsidRDefault="006F57D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7D2" w:rsidRPr="00AD23E0" w:rsidRDefault="00AD23E0">
    <w:pPr>
      <w:pStyle w:val="Sidhuvud"/>
    </w:pPr>
    <w:r w:rsidRPr="00AD23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35244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7D2" w:rsidRDefault="006F57D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57D2" w:rsidRDefault="006F57D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7D2" w:rsidRPr="00AD23E0" w:rsidRDefault="006F57D2">
    <w:pPr>
      <w:pStyle w:val="FSHNormal"/>
      <w:tabs>
        <w:tab w:val="right" w:pos="5840"/>
      </w:tabs>
    </w:pPr>
    <w:r w:rsidRPr="00AD23E0">
      <w:br/>
    </w:r>
    <w:r w:rsidRPr="00AD23E0">
      <w:fldChar w:fldCharType="begin" w:fldLock="1"/>
    </w:r>
    <w:r w:rsidRPr="00AD23E0">
      <w:instrText xml:space="preserve"> DOCPROPERTY</w:instrText>
    </w:r>
    <w:r w:rsidRPr="00AD23E0">
      <w:rPr>
        <w:sz w:val="18"/>
      </w:rPr>
      <w:instrText xml:space="preserve"> "YearUser" *\charformat </w:instrText>
    </w:r>
    <w:r w:rsidRPr="00AD23E0">
      <w:fldChar w:fldCharType="separate"/>
    </w:r>
    <w:r w:rsidRPr="00AD23E0">
      <w:t>2008/09</w:t>
    </w:r>
    <w:r w:rsidRPr="00AD23E0">
      <w:fldChar w:fldCharType="end"/>
    </w:r>
    <w:r w:rsidRPr="00AD23E0">
      <w:t xml:space="preserve"> </w:t>
    </w:r>
    <w:r w:rsidRPr="00AD23E0">
      <w:tab/>
      <w:t xml:space="preserve">mnr: </w:t>
    </w:r>
    <w:r w:rsidRPr="00AD23E0">
      <w:fldChar w:fldCharType="begin" w:fldLock="1"/>
    </w:r>
    <w:r w:rsidRPr="00AD23E0">
      <w:instrText xml:space="preserve"> DOCPROPERTY</w:instrText>
    </w:r>
    <w:r w:rsidRPr="00AD23E0">
      <w:rPr>
        <w:sz w:val="18"/>
      </w:rPr>
      <w:instrText xml:space="preserve"> "Motionsnummer" *\charformat </w:instrText>
    </w:r>
    <w:r w:rsidRPr="00AD23E0">
      <w:fldChar w:fldCharType="separate"/>
    </w:r>
    <w:r w:rsidRPr="00AD23E0">
      <w:t>Kr305</w:t>
    </w:r>
    <w:r w:rsidRPr="00AD23E0">
      <w:fldChar w:fldCharType="end"/>
    </w:r>
    <w:r w:rsidRPr="00AD23E0">
      <w:br/>
    </w:r>
    <w:r w:rsidRPr="00AD23E0">
      <w:fldChar w:fldCharType="begin" w:fldLock="1"/>
    </w:r>
    <w:r w:rsidRPr="00AD23E0">
      <w:instrText xml:space="preserve"> DOCPROPERTY</w:instrText>
    </w:r>
    <w:r w:rsidRPr="00AD23E0">
      <w:rPr>
        <w:sz w:val="18"/>
      </w:rPr>
      <w:instrText xml:space="preserve"> "Samling" *\charformat </w:instrText>
    </w:r>
    <w:r w:rsidRPr="00AD23E0">
      <w:fldChar w:fldCharType="end"/>
    </w:r>
    <w:r w:rsidRPr="00AD23E0">
      <w:tab/>
      <w:t xml:space="preserve">pnr: </w:t>
    </w:r>
    <w:r w:rsidRPr="00AD23E0">
      <w:fldChar w:fldCharType="begin" w:fldLock="1"/>
    </w:r>
    <w:r w:rsidRPr="00AD23E0">
      <w:instrText xml:space="preserve"> DOCPROPERTY</w:instrText>
    </w:r>
    <w:r w:rsidRPr="00AD23E0">
      <w:rPr>
        <w:sz w:val="18"/>
      </w:rPr>
      <w:instrText xml:space="preserve"> "Partinummer" *\charformat </w:instrText>
    </w:r>
    <w:r w:rsidRPr="00AD23E0">
      <w:fldChar w:fldCharType="separate"/>
    </w:r>
    <w:r w:rsidRPr="00AD23E0">
      <w:t>v554</w:t>
    </w:r>
    <w:r w:rsidRPr="00AD23E0">
      <w:fldChar w:fldCharType="end"/>
    </w:r>
  </w:p>
  <w:p w:rsidR="006F57D2" w:rsidRPr="00AD23E0" w:rsidRDefault="006F57D2">
    <w:pPr>
      <w:pStyle w:val="FSHRub1"/>
    </w:pPr>
    <w:r w:rsidRPr="00AD23E0">
      <w:t>Motion till riksdagen</w:t>
    </w:r>
    <w:r w:rsidRPr="00AD23E0">
      <w:br/>
    </w:r>
    <w:r w:rsidRPr="00AD23E0">
      <w:fldChar w:fldCharType="begin" w:fldLock="1"/>
    </w:r>
    <w:r w:rsidRPr="00AD23E0">
      <w:instrText xml:space="preserve"> DOCPROPERTY "YearUser" *\charformat </w:instrText>
    </w:r>
    <w:r w:rsidRPr="00AD23E0">
      <w:fldChar w:fldCharType="separate"/>
    </w:r>
    <w:r w:rsidRPr="00AD23E0">
      <w:t>2008/09</w:t>
    </w:r>
    <w:r w:rsidRPr="00AD23E0">
      <w:fldChar w:fldCharType="end"/>
    </w:r>
    <w:r w:rsidRPr="00AD23E0">
      <w:t>:</w:t>
    </w:r>
    <w:r w:rsidRPr="00AD23E0">
      <w:fldChar w:fldCharType="begin" w:fldLock="1"/>
    </w:r>
    <w:r w:rsidRPr="00AD23E0">
      <w:instrText xml:space="preserve"> DOCPROPERTY "Motionsnummer" *\charformat </w:instrText>
    </w:r>
    <w:r w:rsidRPr="00AD23E0">
      <w:fldChar w:fldCharType="separate"/>
    </w:r>
    <w:r w:rsidRPr="00AD23E0">
      <w:t>Kr305</w:t>
    </w:r>
    <w:r w:rsidRPr="00AD23E0">
      <w:fldChar w:fldCharType="end"/>
    </w:r>
  </w:p>
  <w:p w:rsidR="006F57D2" w:rsidRPr="00AD23E0" w:rsidRDefault="006F57D2">
    <w:pPr>
      <w:pStyle w:val="FSHNormalS5"/>
    </w:pPr>
    <w:r w:rsidRPr="00AD23E0">
      <w:fldChar w:fldCharType="begin" w:fldLock="1"/>
    </w:r>
    <w:r w:rsidRPr="00AD23E0">
      <w:instrText xml:space="preserve"> DOCPROPERTY "MotionarText" *\charformat </w:instrText>
    </w:r>
    <w:r w:rsidRPr="00AD23E0">
      <w:fldChar w:fldCharType="separate"/>
    </w:r>
    <w:r w:rsidRPr="00AD23E0">
      <w:t>av Siv Holma m.fl. (v)</w:t>
    </w:r>
    <w:r w:rsidRPr="00AD23E0">
      <w:fldChar w:fldCharType="end"/>
    </w:r>
    <w:r w:rsidRPr="00AD23E0">
      <w:br/>
    </w:r>
    <w:r w:rsidRPr="00AD23E0">
      <w:fldChar w:fldCharType="begin" w:fldLock="1"/>
    </w:r>
    <w:r w:rsidRPr="00AD23E0">
      <w:instrText xml:space="preserve"> DOCPROPERTY "SvarFrasKort" *\charformat </w:instrText>
    </w:r>
    <w:r w:rsidRPr="00AD23E0">
      <w:fldChar w:fldCharType="end"/>
    </w:r>
  </w:p>
  <w:p w:rsidR="006F57D2" w:rsidRPr="00AD23E0" w:rsidRDefault="006F57D2">
    <w:pPr>
      <w:pStyle w:val="FSHTitel"/>
    </w:pPr>
    <w:r w:rsidRPr="00AD23E0">
      <w:fldChar w:fldCharType="begin" w:fldLock="1"/>
    </w:r>
    <w:r w:rsidRPr="00AD23E0">
      <w:instrText xml:space="preserve"> DOCPROPERTY</w:instrText>
    </w:r>
    <w:r w:rsidRPr="00AD23E0">
      <w:rPr>
        <w:sz w:val="18"/>
      </w:rPr>
      <w:instrText xml:space="preserve"> "RubrikSvar" *\charformat </w:instrText>
    </w:r>
    <w:r w:rsidRPr="00AD23E0">
      <w:fldChar w:fldCharType="separate"/>
    </w:r>
    <w:r w:rsidRPr="00AD23E0">
      <w:t>Feministisk handlingsplan för en jämställd kultur</w:t>
    </w:r>
    <w:r w:rsidRPr="00AD23E0">
      <w:fldChar w:fldCharType="end"/>
    </w:r>
  </w:p>
  <w:p w:rsidR="006F57D2" w:rsidRPr="00AD23E0" w:rsidRDefault="006F57D2">
    <w:pPr>
      <w:pStyle w:val="Normal00"/>
    </w:pPr>
  </w:p>
  <w:p w:rsidR="006F57D2" w:rsidRPr="00AD23E0" w:rsidRDefault="006F57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50F7C35"/>
    <w:multiLevelType w:val="multilevel"/>
    <w:tmpl w:val="62D2920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5F0A5CC6">
      <w:start w:val="1"/>
      <w:numFmt w:val="decimal"/>
      <w:lvlText w:val="%1."/>
      <w:lvlJc w:val="left"/>
      <w:pPr>
        <w:tabs>
          <w:tab w:val="num" w:pos="340"/>
        </w:tabs>
        <w:ind w:left="340" w:hanging="340"/>
      </w:pPr>
      <w:rPr>
        <w:rFonts w:cs="Times New Roman"/>
      </w:rPr>
    </w:lvl>
    <w:lvl w:ilvl="1" w:tplc="8B56EC22" w:tentative="1">
      <w:start w:val="1"/>
      <w:numFmt w:val="lowerLetter"/>
      <w:lvlText w:val="%2."/>
      <w:lvlJc w:val="left"/>
      <w:pPr>
        <w:tabs>
          <w:tab w:val="num" w:pos="1440"/>
        </w:tabs>
        <w:ind w:left="1440" w:hanging="360"/>
      </w:pPr>
      <w:rPr>
        <w:rFonts w:cs="Times New Roman"/>
      </w:rPr>
    </w:lvl>
    <w:lvl w:ilvl="2" w:tplc="97D076D2" w:tentative="1">
      <w:start w:val="1"/>
      <w:numFmt w:val="lowerRoman"/>
      <w:lvlText w:val="%3."/>
      <w:lvlJc w:val="right"/>
      <w:pPr>
        <w:tabs>
          <w:tab w:val="num" w:pos="2160"/>
        </w:tabs>
        <w:ind w:left="2160" w:hanging="180"/>
      </w:pPr>
      <w:rPr>
        <w:rFonts w:cs="Times New Roman"/>
      </w:rPr>
    </w:lvl>
    <w:lvl w:ilvl="3" w:tplc="D118092A" w:tentative="1">
      <w:start w:val="1"/>
      <w:numFmt w:val="decimal"/>
      <w:lvlText w:val="%4."/>
      <w:lvlJc w:val="left"/>
      <w:pPr>
        <w:tabs>
          <w:tab w:val="num" w:pos="2880"/>
        </w:tabs>
        <w:ind w:left="2880" w:hanging="360"/>
      </w:pPr>
      <w:rPr>
        <w:rFonts w:cs="Times New Roman"/>
      </w:rPr>
    </w:lvl>
    <w:lvl w:ilvl="4" w:tplc="E0D4DABE" w:tentative="1">
      <w:start w:val="1"/>
      <w:numFmt w:val="lowerLetter"/>
      <w:lvlText w:val="%5."/>
      <w:lvlJc w:val="left"/>
      <w:pPr>
        <w:tabs>
          <w:tab w:val="num" w:pos="3600"/>
        </w:tabs>
        <w:ind w:left="3600" w:hanging="360"/>
      </w:pPr>
      <w:rPr>
        <w:rFonts w:cs="Times New Roman"/>
      </w:rPr>
    </w:lvl>
    <w:lvl w:ilvl="5" w:tplc="632271E0" w:tentative="1">
      <w:start w:val="1"/>
      <w:numFmt w:val="lowerRoman"/>
      <w:lvlText w:val="%6."/>
      <w:lvlJc w:val="right"/>
      <w:pPr>
        <w:tabs>
          <w:tab w:val="num" w:pos="4320"/>
        </w:tabs>
        <w:ind w:left="4320" w:hanging="180"/>
      </w:pPr>
      <w:rPr>
        <w:rFonts w:cs="Times New Roman"/>
      </w:rPr>
    </w:lvl>
    <w:lvl w:ilvl="6" w:tplc="00A63202" w:tentative="1">
      <w:start w:val="1"/>
      <w:numFmt w:val="decimal"/>
      <w:lvlText w:val="%7."/>
      <w:lvlJc w:val="left"/>
      <w:pPr>
        <w:tabs>
          <w:tab w:val="num" w:pos="5040"/>
        </w:tabs>
        <w:ind w:left="5040" w:hanging="360"/>
      </w:pPr>
      <w:rPr>
        <w:rFonts w:cs="Times New Roman"/>
      </w:rPr>
    </w:lvl>
    <w:lvl w:ilvl="7" w:tplc="DA0A404A" w:tentative="1">
      <w:start w:val="1"/>
      <w:numFmt w:val="lowerLetter"/>
      <w:lvlText w:val="%8."/>
      <w:lvlJc w:val="left"/>
      <w:pPr>
        <w:tabs>
          <w:tab w:val="num" w:pos="5760"/>
        </w:tabs>
        <w:ind w:left="5760" w:hanging="360"/>
      </w:pPr>
      <w:rPr>
        <w:rFonts w:cs="Times New Roman"/>
      </w:rPr>
    </w:lvl>
    <w:lvl w:ilvl="8" w:tplc="B0CE5F92" w:tentative="1">
      <w:start w:val="1"/>
      <w:numFmt w:val="lowerRoman"/>
      <w:lvlText w:val="%9."/>
      <w:lvlJc w:val="right"/>
      <w:pPr>
        <w:tabs>
          <w:tab w:val="num" w:pos="6480"/>
        </w:tabs>
        <w:ind w:left="6480" w:hanging="180"/>
      </w:pPr>
      <w:rPr>
        <w:rFonts w:cs="Times New Roman"/>
      </w:rPr>
    </w:lvl>
  </w:abstractNum>
  <w:num w:numId="1" w16cid:durableId="1020164541">
    <w:abstractNumId w:val="8"/>
  </w:num>
  <w:num w:numId="2" w16cid:durableId="574170835">
    <w:abstractNumId w:val="9"/>
  </w:num>
  <w:num w:numId="3" w16cid:durableId="867792442">
    <w:abstractNumId w:val="8"/>
  </w:num>
  <w:num w:numId="4" w16cid:durableId="1693337436">
    <w:abstractNumId w:val="9"/>
  </w:num>
  <w:num w:numId="5" w16cid:durableId="1321693509">
    <w:abstractNumId w:val="14"/>
  </w:num>
  <w:num w:numId="6" w16cid:durableId="657733770">
    <w:abstractNumId w:val="10"/>
  </w:num>
  <w:num w:numId="7" w16cid:durableId="1227492816">
    <w:abstractNumId w:val="11"/>
  </w:num>
  <w:num w:numId="8" w16cid:durableId="394671050">
    <w:abstractNumId w:val="13"/>
  </w:num>
  <w:num w:numId="9" w16cid:durableId="117646063">
    <w:abstractNumId w:val="8"/>
  </w:num>
  <w:num w:numId="10" w16cid:durableId="1720006391">
    <w:abstractNumId w:val="3"/>
  </w:num>
  <w:num w:numId="11" w16cid:durableId="1935699550">
    <w:abstractNumId w:val="2"/>
  </w:num>
  <w:num w:numId="12" w16cid:durableId="1534614626">
    <w:abstractNumId w:val="1"/>
  </w:num>
  <w:num w:numId="13" w16cid:durableId="1790198400">
    <w:abstractNumId w:val="0"/>
  </w:num>
  <w:num w:numId="14" w16cid:durableId="1530990529">
    <w:abstractNumId w:val="9"/>
  </w:num>
  <w:num w:numId="15" w16cid:durableId="606500673">
    <w:abstractNumId w:val="7"/>
  </w:num>
  <w:num w:numId="16" w16cid:durableId="962149343">
    <w:abstractNumId w:val="6"/>
  </w:num>
  <w:num w:numId="17" w16cid:durableId="521018979">
    <w:abstractNumId w:val="5"/>
  </w:num>
  <w:num w:numId="18" w16cid:durableId="2117677240">
    <w:abstractNumId w:val="4"/>
  </w:num>
  <w:num w:numId="19" w16cid:durableId="11902243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58872E4A-D687-4B23-B75B-D8E5DB75EE13},{CA6150FB-5665-40EF-A0D0-2FA22432C22C},{E342D5A8-46A1-48DE-8F45-AD50F7AFB7F8},{EF5206F9-792B-484E-B593-829130B8A4A1},{8B923F15-4996-4696-A089-6A5BE8BF8E1B},{C8129375-7C65-4B2D-94A1-2D02B22B4ED0}"/>
  </w:docVars>
  <w:rsids>
    <w:rsidRoot w:val="00E54DF0"/>
    <w:rsid w:val="006F57D2"/>
    <w:rsid w:val="00AD23E0"/>
    <w:rsid w:val="00E54D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16C01D-34B1-41DB-9408-AE8CCDB9C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671</Words>
  <Characters>3805</Characters>
  <Application>Microsoft Office Word</Application>
  <DocSecurity>4</DocSecurity>
  <Lines>76</Lines>
  <Paragraphs>25</Paragraphs>
  <ScaleCrop>false</ScaleCrop>
  <HeadingPairs>
    <vt:vector size="2" baseType="variant">
      <vt:variant>
        <vt:lpstr>Rubrik</vt:lpstr>
      </vt:variant>
      <vt:variant>
        <vt:i4>1</vt:i4>
      </vt:variant>
    </vt:vector>
  </HeadingPairs>
  <TitlesOfParts>
    <vt:vector size="1" baseType="lpstr">
      <vt:lpstr>v554</vt:lpstr>
    </vt:vector>
  </TitlesOfParts>
  <Company>Riksdagen</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v554</dc:title>
  <dc:subject>v554</dc:subject>
  <dc:creator>Riksdagen</dc:creator>
  <cp:keywords>Riksdagen</cp:keywords>
  <dc:description>TKG-ktrl, MSMQ4mb, PersReg-Distribution mm b-&gt;ny fplogga c-&gt;nygamla s-rosen</dc:description>
  <cp:lastModifiedBy>Lars Brink</cp:lastModifiedBy>
  <cp:revision>2</cp:revision>
  <cp:lastPrinted>2009-01-29T14:25:00Z</cp:lastPrinted>
  <dcterms:created xsi:type="dcterms:W3CDTF">2025-12-17T17:26:00Z</dcterms:created>
  <dcterms:modified xsi:type="dcterms:W3CDTF">2025-12-17T17:26:00Z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Feministisk handlingsplan för en jämställd kultur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Feministisk handlingsplan för en jämställd kultur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v554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Siv Holma m.fl. (v)</vt:lpwstr>
  </property>
  <property fmtid="{D5CDD505-2E9C-101B-9397-08002B2CF9AE}" pid="26" name="MotionarLista">
    <vt:lpwstr>Holma, Siv (v)\Björlund, Torbjörn (v)\Dinamarca, Rossana (v)\Frid, Egon (v)\Linna,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Torbjörn Björlund (v), Rossana Dinamarca (v), Egon Frid (v), 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Kr305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20082009000000000118000005540075</vt:lpwstr>
  </property>
  <property fmtid="{D5CDD505-2E9C-101B-9397-08002B2CF9AE}" pid="47" name="datum">
    <vt:lpwstr>081006</vt:lpwstr>
  </property>
  <property fmtid="{D5CDD505-2E9C-101B-9397-08002B2CF9AE}" pid="48" name="avsändar-e-post">
    <vt:lpwstr>kristina.bostrom.carlback@riksdagen.se</vt:lpwstr>
  </property>
  <property fmtid="{D5CDD505-2E9C-101B-9397-08002B2CF9AE}" pid="49" name="id">
    <vt:lpwstr>20082009000000000118000005540075</vt:lpwstr>
  </property>
  <property fmtid="{D5CDD505-2E9C-101B-9397-08002B2CF9AE}" pid="50" name="nummer">
    <vt:lpwstr>305</vt:lpwstr>
  </property>
  <property fmtid="{D5CDD505-2E9C-101B-9397-08002B2CF9AE}" pid="51" name="utskottsbeteckning">
    <vt:lpwstr>Kr</vt:lpwstr>
  </property>
  <property fmtid="{D5CDD505-2E9C-101B-9397-08002B2CF9AE}" pid="52" name="GlobalUID">
    <vt:lpwstr>{1F7FD7D4-1762-426E-90B8-93190B72C6BE}</vt:lpwstr>
  </property>
  <property fmtid="{D5CDD505-2E9C-101B-9397-08002B2CF9AE}" pid="53" name="Överföringar">
    <vt:i4>0</vt:i4>
  </property>
  <property fmtid="{D5CDD505-2E9C-101B-9397-08002B2CF9AE}" pid="54" name="Checksum">
    <vt:lpwstr>*1020158097195*</vt:lpwstr>
  </property>
  <property fmtid="{D5CDD505-2E9C-101B-9397-08002B2CF9AE}" pid="55" name="skuggnummer">
    <vt:lpwstr>2442</vt:lpwstr>
  </property>
  <property fmtid="{D5CDD505-2E9C-101B-9397-08002B2CF9AE}" pid="56" name="urixVersion">
    <vt:lpwstr>3.2.0.8</vt:lpwstr>
  </property>
  <property fmtid="{D5CDD505-2E9C-101B-9397-08002B2CF9AE}" pid="57" name="urixOrigin">
    <vt:lpwstr>090402 15:47:41.463</vt:lpwstr>
  </property>
  <property fmtid="{D5CDD505-2E9C-101B-9397-08002B2CF9AE}" pid="58" name="urixGuid">
    <vt:lpwstr>{E5D0F664-34E0-4BE0-8395-0E29F78E5ED2}</vt:lpwstr>
  </property>
</Properties>
</file>