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12F2F6A95446FBAF5706274A889093"/>
        </w:placeholder>
        <w15:appearance w15:val="hidden"/>
        <w:text/>
      </w:sdtPr>
      <w:sdtEndPr/>
      <w:sdtContent>
        <w:p w:rsidRPr="009B062B" w:rsidR="00AF30DD" w:rsidP="009B062B" w:rsidRDefault="00AF30DD" w14:paraId="406E69A8" w14:textId="77777777">
          <w:pPr>
            <w:pStyle w:val="RubrikFrslagTIllRiksdagsbeslut"/>
          </w:pPr>
          <w:r w:rsidRPr="009B062B">
            <w:t>Förslag till riksdagsbeslut</w:t>
          </w:r>
        </w:p>
      </w:sdtContent>
    </w:sdt>
    <w:sdt>
      <w:sdtPr>
        <w:alias w:val="Yrkande 1"/>
        <w:tag w:val="f712d82a-5d78-40e2-bf21-9dbba87bca26"/>
        <w:id w:val="978956208"/>
        <w:lock w:val="sdtLocked"/>
      </w:sdtPr>
      <w:sdtEndPr/>
      <w:sdtContent>
        <w:p w:rsidR="00B02A0B" w:rsidRDefault="00CA77C5" w14:paraId="66D81730" w14:textId="77777777">
          <w:pPr>
            <w:pStyle w:val="Frslagstext"/>
            <w:numPr>
              <w:ilvl w:val="0"/>
              <w:numId w:val="0"/>
            </w:numPr>
          </w:pPr>
          <w:r>
            <w:t>Riksdagen ställer sig bakom det som anförs i motionen om att ge Socialstyrelsen i uppdrag att utreda Läkemedelsverkets tillsynsmöjligheter gällande handel med sprutor och kanyler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9D5A76CA84779A8AC57C8B86D6ABB"/>
        </w:placeholder>
        <w15:appearance w15:val="hidden"/>
        <w:text/>
      </w:sdtPr>
      <w:sdtEndPr/>
      <w:sdtContent>
        <w:p w:rsidRPr="009B062B" w:rsidR="006D79C9" w:rsidP="00333E95" w:rsidRDefault="006D79C9" w14:paraId="0AFE7F62" w14:textId="77777777">
          <w:pPr>
            <w:pStyle w:val="Rubrik1"/>
          </w:pPr>
          <w:r>
            <w:t>Motivering</w:t>
          </w:r>
        </w:p>
      </w:sdtContent>
    </w:sdt>
    <w:p w:rsidR="00432A30" w:rsidP="00432A30" w:rsidRDefault="00432A30" w14:paraId="4932D6FE" w14:textId="77777777">
      <w:pPr>
        <w:pStyle w:val="Normalutanindragellerluft"/>
      </w:pPr>
      <w:r>
        <w:t xml:space="preserve">Då det svenska regelverket anpassats till EU-rätten vad gäller införsel av sprutor och kanyler har det inneburit att tillstånd upphävts vilket ersatts med krav på anmälan för försäljning inom Sverige. Även kravet på tillstånd för införsel ska upphävas. </w:t>
      </w:r>
    </w:p>
    <w:p w:rsidRPr="003B64FA" w:rsidR="00432A30" w:rsidP="003B64FA" w:rsidRDefault="00432A30" w14:paraId="36063447" w14:textId="4125393B">
      <w:r w:rsidRPr="003B64FA">
        <w:t>Hur anmälningsförfarandet fungerar i detalj är oklart. Oaktat detta utgör en anmälan en försämring av granskningsmöjligheterna. Läkemedelsver</w:t>
      </w:r>
      <w:r w:rsidRPr="003B64FA">
        <w:lastRenderedPageBreak/>
        <w:t>ket kvarstår som tillsynsmyndighet, troligen, men förlorar sålede</w:t>
      </w:r>
      <w:r w:rsidRPr="003B64FA" w:rsidR="003B64FA">
        <w:t>s möjligheten att i förväg</w:t>
      </w:r>
      <w:r w:rsidRPr="003B64FA">
        <w:t xml:space="preserve"> göra en bedömning av lämpligheten av att en specifik aktör handlar med sprutor och kanyler. Vad gäller Läkemedelsverkets ramar för tillsyn bedömer jag att ett anmälnings</w:t>
      </w:r>
      <w:r w:rsidR="003B64FA">
        <w:softHyphen/>
      </w:r>
      <w:r w:rsidRPr="003B64FA">
        <w:t>förfarande kan leda till fler företag som är registrerade för handel. Läkemedelsverket borde därför rustas utifrån en mer bredd</w:t>
      </w:r>
      <w:r w:rsidRPr="003B64FA" w:rsidR="003B64FA">
        <w:t>ad konsekvensanalys. Tillstånds-</w:t>
      </w:r>
      <w:r w:rsidRPr="003B64FA">
        <w:t xml:space="preserve"> och tillsynsaktiviteterna sysselsätter idag endast två personer på deltid. Min bedömning är att det föreligger risk att borttagandet av tillståndskravet, tillsammans med hävandet av införselförbud, kommer </w:t>
      </w:r>
      <w:r w:rsidRPr="003B64FA" w:rsidR="003B64FA">
        <w:t xml:space="preserve">att </w:t>
      </w:r>
      <w:r w:rsidRPr="003B64FA">
        <w:t xml:space="preserve">leda till en ökad ”svart” handel genom oseriösa företag. </w:t>
      </w:r>
    </w:p>
    <w:p w:rsidRPr="003B64FA" w:rsidR="00432A30" w:rsidP="003B64FA" w:rsidRDefault="00432A30" w14:paraId="38CF28EC" w14:textId="212D509B">
      <w:r w:rsidRPr="003B64FA">
        <w:t xml:space="preserve">Enligt Tullverkets statistik togs 43 048 kanyler och 23 154 sprutor i beslag under 2010. I majoriteten av dessa fall rörde det sig om privatpersoner som försökt föra in sprutor och kanyler olagligt. Ingenting säger att de nya bestämmelserna skulle minska olaglig införsel då missbrukare och oseriösa företag ges nya vägar att föra in sprutor och kanyler. Tvärtom möjliggör detta att mindre nogräknade individer ges laglig rätt att föra in kanyler och sprutor om de registrerar sig som näringsidkare. Vidareförsäljning på nätet med efterföljande postleverans är en möjlig intäktskälla. Kriminell </w:t>
      </w:r>
      <w:r w:rsidRPr="003B64FA">
        <w:lastRenderedPageBreak/>
        <w:t>verksamhet ligger oftast steget före varje försök att täppa til</w:t>
      </w:r>
      <w:r w:rsidRPr="003B64FA" w:rsidR="003B64FA">
        <w:t>l kryphål. Då samhället erbjuder</w:t>
      </w:r>
      <w:r w:rsidRPr="003B64FA">
        <w:t xml:space="preserve"> den organiserade brottsligheten ytterligare användningsområden för sina bolag tar samhället samtidigt ett steg tillbaka. Tullen ges i dagsläget inte möjlighet att ingripa mot misstänkt införsel, utan måste istället ta omvägen via tillsynsmyndigheten för att kontrollera att kanylerna och sprutorna inte olovligen säljs vidare.</w:t>
      </w:r>
    </w:p>
    <w:p w:rsidRPr="003B64FA" w:rsidR="00432A30" w:rsidP="003B64FA" w:rsidRDefault="00432A30" w14:paraId="0794B55A" w14:textId="2CD9EA9A">
      <w:r w:rsidRPr="003B64FA">
        <w:t>Drogtrycket är ett problem i Sverige då tillgängligheten är hög, priserna låga och missbruket bland ungdomar sto</w:t>
      </w:r>
      <w:r w:rsidRPr="003B64FA" w:rsidR="003B64FA">
        <w:t>rt. Den fria inre markna</w:t>
      </w:r>
      <w:r w:rsidRPr="003B64FA">
        <w:t>den är till stor del orsaken till det växande folkhälsoproblemet i Sverige. I dagsläget riskerar man spä på drogproblema</w:t>
      </w:r>
      <w:r w:rsidR="003B64FA">
        <w:softHyphen/>
      </w:r>
      <w:bookmarkStart w:name="_GoBack" w:id="1"/>
      <w:bookmarkEnd w:id="1"/>
      <w:r w:rsidRPr="003B64FA">
        <w:t>tiken ytterligare genom att ha öppnat upp en ytterligare E4 rakt in i Sverige genom att ha anpassat det svenska regelverket till EU-rätten. Den uppluckring som skett av kraven för införsel av drog</w:t>
      </w:r>
      <w:r w:rsidRPr="003B64FA" w:rsidR="003B64FA">
        <w:t>parafernalia är kontraproduktiv</w:t>
      </w:r>
      <w:r w:rsidRPr="003B64FA">
        <w:t xml:space="preserve"> om man menar allvar med att bekämpa droganvändningen i Sverige.</w:t>
      </w:r>
    </w:p>
    <w:p w:rsidRPr="003B64FA" w:rsidR="00432A30" w:rsidP="003B64FA" w:rsidRDefault="00432A30" w14:paraId="216FDBC2" w14:textId="306DAA6D">
      <w:r w:rsidRPr="003B64FA">
        <w:t xml:space="preserve">Enligt min mening kan det vara behövligt med att en konsekvensanalys görs utifrån den ovan nämnda beskrivningen som en del i arbetet </w:t>
      </w:r>
      <w:r w:rsidRPr="003B64FA" w:rsidR="003B64FA">
        <w:t xml:space="preserve">med </w:t>
      </w:r>
      <w:r w:rsidRPr="003B64FA">
        <w:t>att bekämpa drogmissbruk som redan nått allvarliga höjder i vårt land.</w:t>
      </w:r>
    </w:p>
    <w:p w:rsidRPr="003B64FA" w:rsidR="003B64FA" w:rsidP="003B64FA" w:rsidRDefault="003B64FA" w14:paraId="7A2FDC87" w14:textId="77777777"/>
    <w:sdt>
      <w:sdtPr>
        <w:alias w:val="CC_Underskrifter"/>
        <w:tag w:val="CC_Underskrifter"/>
        <w:id w:val="583496634"/>
        <w:lock w:val="sdtContentLocked"/>
        <w:placeholder>
          <w:docPart w:val="AF12F4D703A34EE69D7F9E5FBCB99C03"/>
        </w:placeholder>
        <w15:appearance w15:val="hidden"/>
      </w:sdtPr>
      <w:sdtEndPr/>
      <w:sdtContent>
        <w:p w:rsidR="004801AC" w:rsidP="00966FB5" w:rsidRDefault="003B64FA" w14:paraId="5B4E6D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A943C3" w:rsidRDefault="00A943C3" w14:paraId="40900447" w14:textId="77777777"/>
    <w:sectPr w:rsidR="00A943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79A61" w14:textId="77777777" w:rsidR="00432A30" w:rsidRDefault="00432A30" w:rsidP="000C1CAD">
      <w:pPr>
        <w:spacing w:line="240" w:lineRule="auto"/>
      </w:pPr>
      <w:r>
        <w:separator/>
      </w:r>
    </w:p>
  </w:endnote>
  <w:endnote w:type="continuationSeparator" w:id="0">
    <w:p w14:paraId="7BD09F33" w14:textId="77777777" w:rsidR="00432A30" w:rsidRDefault="00432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D1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E434" w14:textId="207E36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64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76FC" w14:textId="77777777" w:rsidR="00432A30" w:rsidRDefault="00432A30" w:rsidP="000C1CAD">
      <w:pPr>
        <w:spacing w:line="240" w:lineRule="auto"/>
      </w:pPr>
      <w:r>
        <w:separator/>
      </w:r>
    </w:p>
  </w:footnote>
  <w:footnote w:type="continuationSeparator" w:id="0">
    <w:p w14:paraId="40D5FF73" w14:textId="77777777" w:rsidR="00432A30" w:rsidRDefault="00432A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CEDE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A9F2B" wp14:anchorId="287E8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64FA" w14:paraId="2488E8C6" w14:textId="77777777">
                          <w:pPr>
                            <w:jc w:val="right"/>
                          </w:pPr>
                          <w:sdt>
                            <w:sdtPr>
                              <w:alias w:val="CC_Noformat_Partikod"/>
                              <w:tag w:val="CC_Noformat_Partikod"/>
                              <w:id w:val="-53464382"/>
                              <w:placeholder>
                                <w:docPart w:val="D7A11521A91842FBAE7BF651895B74DD"/>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7A7640FA4B04907BD7EA0A57FE4B35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7E8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64FA" w14:paraId="2488E8C6" w14:textId="77777777">
                    <w:pPr>
                      <w:jc w:val="right"/>
                    </w:pPr>
                    <w:sdt>
                      <w:sdtPr>
                        <w:alias w:val="CC_Noformat_Partikod"/>
                        <w:tag w:val="CC_Noformat_Partikod"/>
                        <w:id w:val="-53464382"/>
                        <w:placeholder>
                          <w:docPart w:val="D7A11521A91842FBAE7BF651895B74DD"/>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7A7640FA4B04907BD7EA0A57FE4B35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72B3C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64FA" w14:paraId="74573157" w14:textId="77777777">
    <w:pPr>
      <w:jc w:val="right"/>
    </w:pPr>
    <w:sdt>
      <w:sdtPr>
        <w:alias w:val="CC_Noformat_Partikod"/>
        <w:tag w:val="CC_Noformat_Partikod"/>
        <w:id w:val="559911109"/>
        <w:placeholder>
          <w:docPart w:val="67A7640FA4B04907BD7EA0A57FE4B359"/>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00CC0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64FA" w14:paraId="053C4709"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B64FA" w14:paraId="747DC8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64FA" w14:paraId="1885E6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64FA" w14:paraId="63DC6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:1479</w:t>
        </w:r>
      </w:sdtContent>
    </w:sdt>
  </w:p>
  <w:p w:rsidR="004F35FE" w:rsidP="00E03A3D" w:rsidRDefault="003B64FA" w14:paraId="19656160"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966FB5" w14:paraId="61555A18" w14:textId="77777777">
        <w:pPr>
          <w:pStyle w:val="FSHRub2"/>
        </w:pPr>
        <w:r>
          <w:t>Handel med sprutor och kanyler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6E29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BDE"/>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4F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A30"/>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B4C"/>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FB5"/>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3C3"/>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A0B"/>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7C5"/>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7F1"/>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36C6E"/>
  <w15:chartTrackingRefBased/>
  <w15:docId w15:val="{682DE36D-6558-4640-A70C-72598560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12F2F6A95446FBAF5706274A889093"/>
        <w:category>
          <w:name w:val="Allmänt"/>
          <w:gallery w:val="placeholder"/>
        </w:category>
        <w:types>
          <w:type w:val="bbPlcHdr"/>
        </w:types>
        <w:behaviors>
          <w:behavior w:val="content"/>
        </w:behaviors>
        <w:guid w:val="{79E1BFE6-3ECE-47AE-9928-159457639B85}"/>
      </w:docPartPr>
      <w:docPartBody>
        <w:p w:rsidR="00FA5F01" w:rsidRDefault="00FA5F01">
          <w:pPr>
            <w:pStyle w:val="1012F2F6A95446FBAF5706274A889093"/>
          </w:pPr>
          <w:r w:rsidRPr="005A0A93">
            <w:rPr>
              <w:rStyle w:val="Platshllartext"/>
            </w:rPr>
            <w:t>Förslag till riksdagsbeslut</w:t>
          </w:r>
        </w:p>
      </w:docPartBody>
    </w:docPart>
    <w:docPart>
      <w:docPartPr>
        <w:name w:val="FE99D5A76CA84779A8AC57C8B86D6ABB"/>
        <w:category>
          <w:name w:val="Allmänt"/>
          <w:gallery w:val="placeholder"/>
        </w:category>
        <w:types>
          <w:type w:val="bbPlcHdr"/>
        </w:types>
        <w:behaviors>
          <w:behavior w:val="content"/>
        </w:behaviors>
        <w:guid w:val="{ADC4A1D4-9E5B-467B-80CE-78110B54CF8A}"/>
      </w:docPartPr>
      <w:docPartBody>
        <w:p w:rsidR="00FA5F01" w:rsidRDefault="00FA5F01">
          <w:pPr>
            <w:pStyle w:val="FE99D5A76CA84779A8AC57C8B86D6ABB"/>
          </w:pPr>
          <w:r w:rsidRPr="005A0A93">
            <w:rPr>
              <w:rStyle w:val="Platshllartext"/>
            </w:rPr>
            <w:t>Motivering</w:t>
          </w:r>
        </w:p>
      </w:docPartBody>
    </w:docPart>
    <w:docPart>
      <w:docPartPr>
        <w:name w:val="D7A11521A91842FBAE7BF651895B74DD"/>
        <w:category>
          <w:name w:val="Allmänt"/>
          <w:gallery w:val="placeholder"/>
        </w:category>
        <w:types>
          <w:type w:val="bbPlcHdr"/>
        </w:types>
        <w:behaviors>
          <w:behavior w:val="content"/>
        </w:behaviors>
        <w:guid w:val="{2E17A707-8ADF-41A3-A3A3-081F51851DB3}"/>
      </w:docPartPr>
      <w:docPartBody>
        <w:p w:rsidR="00FA5F01" w:rsidRDefault="00FA5F01">
          <w:pPr>
            <w:pStyle w:val="D7A11521A91842FBAE7BF651895B74DD"/>
          </w:pPr>
          <w:r>
            <w:rPr>
              <w:rStyle w:val="Platshllartext"/>
            </w:rPr>
            <w:t xml:space="preserve"> </w:t>
          </w:r>
        </w:p>
      </w:docPartBody>
    </w:docPart>
    <w:docPart>
      <w:docPartPr>
        <w:name w:val="67A7640FA4B04907BD7EA0A57FE4B359"/>
        <w:category>
          <w:name w:val="Allmänt"/>
          <w:gallery w:val="placeholder"/>
        </w:category>
        <w:types>
          <w:type w:val="bbPlcHdr"/>
        </w:types>
        <w:behaviors>
          <w:behavior w:val="content"/>
        </w:behaviors>
        <w:guid w:val="{E0B0A3D5-9000-490D-87CC-5405E624091F}"/>
      </w:docPartPr>
      <w:docPartBody>
        <w:p w:rsidR="00FA5F01" w:rsidRDefault="00FA5F01">
          <w:pPr>
            <w:pStyle w:val="67A7640FA4B04907BD7EA0A57FE4B359"/>
          </w:pPr>
          <w:r>
            <w:t xml:space="preserve"> </w:t>
          </w:r>
        </w:p>
      </w:docPartBody>
    </w:docPart>
    <w:docPart>
      <w:docPartPr>
        <w:name w:val="AF12F4D703A34EE69D7F9E5FBCB99C03"/>
        <w:category>
          <w:name w:val="Allmänt"/>
          <w:gallery w:val="placeholder"/>
        </w:category>
        <w:types>
          <w:type w:val="bbPlcHdr"/>
        </w:types>
        <w:behaviors>
          <w:behavior w:val="content"/>
        </w:behaviors>
        <w:guid w:val="{6693E8EE-649F-462C-B708-9926D82AFDF6}"/>
      </w:docPartPr>
      <w:docPartBody>
        <w:p w:rsidR="00000000" w:rsidRDefault="00DF4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01"/>
    <w:rsid w:val="00FA5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2F2F6A95446FBAF5706274A889093">
    <w:name w:val="1012F2F6A95446FBAF5706274A889093"/>
  </w:style>
  <w:style w:type="paragraph" w:customStyle="1" w:styleId="BE88C4BA1C7241DC8C29A053E357BB6C">
    <w:name w:val="BE88C4BA1C7241DC8C29A053E357BB6C"/>
  </w:style>
  <w:style w:type="paragraph" w:customStyle="1" w:styleId="9E7B8B2B4D194980A81B7F2028D903D1">
    <w:name w:val="9E7B8B2B4D194980A81B7F2028D903D1"/>
  </w:style>
  <w:style w:type="paragraph" w:customStyle="1" w:styleId="FE99D5A76CA84779A8AC57C8B86D6ABB">
    <w:name w:val="FE99D5A76CA84779A8AC57C8B86D6ABB"/>
  </w:style>
  <w:style w:type="paragraph" w:customStyle="1" w:styleId="B77B18579F174F27B9AE682B727D87DC">
    <w:name w:val="B77B18579F174F27B9AE682B727D87DC"/>
  </w:style>
  <w:style w:type="paragraph" w:customStyle="1" w:styleId="D7A11521A91842FBAE7BF651895B74DD">
    <w:name w:val="D7A11521A91842FBAE7BF651895B74DD"/>
  </w:style>
  <w:style w:type="paragraph" w:customStyle="1" w:styleId="67A7640FA4B04907BD7EA0A57FE4B359">
    <w:name w:val="67A7640FA4B04907BD7EA0A57FE4B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CA996-9FC9-455F-BF39-7274768F3C35}"/>
</file>

<file path=customXml/itemProps2.xml><?xml version="1.0" encoding="utf-8"?>
<ds:datastoreItem xmlns:ds="http://schemas.openxmlformats.org/officeDocument/2006/customXml" ds:itemID="{483EF64A-EEAE-428B-AB3F-052E17DF4C0E}"/>
</file>

<file path=customXml/itemProps3.xml><?xml version="1.0" encoding="utf-8"?>
<ds:datastoreItem xmlns:ds="http://schemas.openxmlformats.org/officeDocument/2006/customXml" ds:itemID="{AAA29BB7-41C1-4BA9-AAC5-D00755018699}"/>
</file>

<file path=docProps/app.xml><?xml version="1.0" encoding="utf-8"?>
<Properties xmlns="http://schemas.openxmlformats.org/officeDocument/2006/extended-properties" xmlns:vt="http://schemas.openxmlformats.org/officeDocument/2006/docPropsVTypes">
  <Template>Normal</Template>
  <TotalTime>15</TotalTime>
  <Pages>2</Pages>
  <Words>451</Words>
  <Characters>2708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Sprutor och kanyler</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