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7DBBE6F7A6A461189E062CA70D4C985"/>
        </w:placeholder>
        <w:text/>
      </w:sdtPr>
      <w:sdtEndPr/>
      <w:sdtContent>
        <w:p w:rsidRPr="009B062B" w:rsidR="00AF30DD" w:rsidP="00DC0201" w:rsidRDefault="00AF30DD" w14:paraId="5A5B45F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46dc144-d29c-47a8-a21a-5e858df4b023"/>
        <w:id w:val="-2074258721"/>
        <w:lock w:val="sdtLocked"/>
      </w:sdtPr>
      <w:sdtEndPr/>
      <w:sdtContent>
        <w:p w:rsidR="002C18E6" w:rsidRDefault="00A63641" w14:paraId="7A981B8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återinföra särskilda beredskapspolisen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A7AD99D8FB8497985A54269D84BD0BF"/>
        </w:placeholder>
        <w:text/>
      </w:sdtPr>
      <w:sdtEndPr/>
      <w:sdtContent>
        <w:p w:rsidRPr="009B062B" w:rsidR="006D79C9" w:rsidP="00333E95" w:rsidRDefault="006D79C9" w14:paraId="3864DB1E" w14:textId="77777777">
          <w:pPr>
            <w:pStyle w:val="Rubrik1"/>
          </w:pPr>
          <w:r>
            <w:t>Motivering</w:t>
          </w:r>
        </w:p>
      </w:sdtContent>
    </w:sdt>
    <w:p w:rsidR="0032751E" w:rsidP="00F644B9" w:rsidRDefault="00DC0201" w14:paraId="1036D60F" w14:textId="77777777">
      <w:pPr>
        <w:pStyle w:val="Normalutanindragellerluft"/>
        <w:rPr>
          <w:kern w:val="0"/>
          <w14:numSpacing w14:val="default"/>
        </w:rPr>
      </w:pPr>
      <w:r>
        <w:t>Särskilda b</w:t>
      </w:r>
      <w:r w:rsidR="0032751E">
        <w:t xml:space="preserve">eredskapspolisen var en del av den svenska polisen som utgjordes av civilpliktiga poliser, och hade som främsta uppgift att bevaka och skydda objekt som var viktiga för Sveriges totalförsvar. </w:t>
      </w:r>
      <w:r>
        <w:t>Särskilda b</w:t>
      </w:r>
      <w:r w:rsidR="0032751E">
        <w:t>eredskapspolisen avskaffades 2012 då ett polisiärt förstärkningsbehov inte längre ansågs föreligga. Dels till följd av det säkerhetspolitiska läget i form av den avspänning som rått efter kalla krigets slut, dels som en följd av den då pågående ökningen av antalet yrkesarbetande poliser.</w:t>
      </w:r>
    </w:p>
    <w:p w:rsidR="0032751E" w:rsidP="0032751E" w:rsidRDefault="0032751E" w14:paraId="08206B13" w14:textId="761FD68E">
      <w:pPr>
        <w:tabs>
          <w:tab w:val="clear" w:pos="284"/>
          <w:tab w:val="left" w:pos="1304"/>
        </w:tabs>
      </w:pPr>
      <w:r>
        <w:t xml:space="preserve">Försvarsberedningen föreslog i rapporten Motståndskraft </w:t>
      </w:r>
      <w:r w:rsidR="00431F87">
        <w:t xml:space="preserve">– </w:t>
      </w:r>
      <w:r>
        <w:t>inriktningen av total</w:t>
      </w:r>
      <w:r w:rsidR="00F644B9">
        <w:softHyphen/>
      </w:r>
      <w:r>
        <w:t xml:space="preserve">försvaret återinförandet av en beredskapspolis som kunde förstärka polisen vid höjd beredskap och krig. Det finns flera goda skäl att återinföra en beredskapspolis. </w:t>
      </w:r>
    </w:p>
    <w:p w:rsidR="0032751E" w:rsidP="0032751E" w:rsidRDefault="0032751E" w14:paraId="663DFFEA" w14:textId="77777777">
      <w:pPr>
        <w:tabs>
          <w:tab w:val="clear" w:pos="284"/>
          <w:tab w:val="left" w:pos="1304"/>
        </w:tabs>
      </w:pPr>
      <w:r>
        <w:t xml:space="preserve">Den internationella avspänning som rådde runt sekelskiftet, och låg till grund för såväl ändrad inriktning för den svenska Försvarsmakten, som avskaffande av </w:t>
      </w:r>
      <w:r w:rsidR="00DC0201">
        <w:t xml:space="preserve">särskilda </w:t>
      </w:r>
      <w:r>
        <w:t xml:space="preserve">beredskapspolisen, har förbytts i ett ansträngt och instabilt läge. Aktualiteten för den avskaffade beredskapspolisens dåvarande huvuduppgift, att skydda objekt som var viktiga för totalförsvaret, inte minst i ett ”skymningsläge” torde därför ha ökat. </w:t>
      </w:r>
    </w:p>
    <w:p w:rsidR="0032751E" w:rsidP="0032751E" w:rsidRDefault="0032751E" w14:paraId="67891540" w14:textId="1DD100FE">
      <w:pPr>
        <w:tabs>
          <w:tab w:val="clear" w:pos="284"/>
          <w:tab w:val="left" w:pos="1304"/>
        </w:tabs>
      </w:pPr>
      <w:r>
        <w:t>Även om terrorism och hot om terrorism inte är att betrakta som krig eller skym</w:t>
      </w:r>
      <w:r w:rsidR="00F644B9">
        <w:softHyphen/>
      </w:r>
      <w:r>
        <w:t xml:space="preserve">ningsläge innebär det ofta höjd beredskap för flera samhällsfunktioner, och medför därför stor belastning på dessa. Inte minst på polisen, varför en förstärkning i form av en </w:t>
      </w:r>
      <w:r w:rsidR="003B4F49">
        <w:t xml:space="preserve">särskild </w:t>
      </w:r>
      <w:r>
        <w:t>beredskapspolis som kan kallas in vid särskilt ansträngda situationer skulle kunna vara påkalla</w:t>
      </w:r>
      <w:r w:rsidR="00431F87">
        <w:t>d</w:t>
      </w:r>
      <w:r>
        <w:t>.</w:t>
      </w:r>
    </w:p>
    <w:p w:rsidR="0032751E" w:rsidP="0032751E" w:rsidRDefault="0032751E" w14:paraId="722E01DE" w14:textId="01B2111E">
      <w:pPr>
        <w:tabs>
          <w:tab w:val="clear" w:pos="284"/>
          <w:tab w:val="left" w:pos="1304"/>
        </w:tabs>
      </w:pPr>
      <w:r>
        <w:t>En omfattande grov brottslighet, av alltmer komplex natur, gör att den ordinarie polisorganisationen i dag är mycket hårt ansträngd. Förutom att förstärka denna skulle en återinförd</w:t>
      </w:r>
      <w:r w:rsidR="00811611">
        <w:t xml:space="preserve"> särskild</w:t>
      </w:r>
      <w:r>
        <w:t xml:space="preserve"> beredskapspolis kunna komplettera </w:t>
      </w:r>
      <w:r w:rsidR="00431F87">
        <w:t xml:space="preserve">Polismyndigheten </w:t>
      </w:r>
      <w:r>
        <w:t xml:space="preserve">vid särskilda resurskrävande och långvariga insatser. Ett aktuellt exempel på detta är den </w:t>
      </w:r>
      <w:r>
        <w:lastRenderedPageBreak/>
        <w:t>pågående insatsen med anledning av stenkastningarna mot danska bilar på väg E65. Insatsen är till sin karaktär huvudsakligen ett bevakningsuppdrag, och är mycket resurskrävande.</w:t>
      </w:r>
    </w:p>
    <w:p w:rsidR="0032751E" w:rsidP="0032751E" w:rsidRDefault="0032751E" w14:paraId="344F012F" w14:textId="2E185002">
      <w:pPr>
        <w:tabs>
          <w:tab w:val="clear" w:pos="284"/>
          <w:tab w:val="left" w:pos="1304"/>
        </w:tabs>
      </w:pPr>
      <w:r>
        <w:t xml:space="preserve">Omfattningen av bevakningsinsatser i samband </w:t>
      </w:r>
      <w:r w:rsidR="00431F87">
        <w:t>med</w:t>
      </w:r>
      <w:r>
        <w:t xml:space="preserve"> internationella konferenser, idrottsevenemang och andra större arrangemang har ökat på senare år. Detta är ännu ett område där </w:t>
      </w:r>
      <w:r w:rsidR="00811611">
        <w:t xml:space="preserve">särskilda </w:t>
      </w:r>
      <w:r>
        <w:t xml:space="preserve">beredskapspolisen skulle kunna bistå, och frigöra resurser för </w:t>
      </w:r>
      <w:r w:rsidR="00431F87">
        <w:t xml:space="preserve">Polismyndigheten </w:t>
      </w:r>
      <w:r>
        <w:t>till andra mer specialiserade och kvalificerade uppgifter.</w:t>
      </w:r>
    </w:p>
    <w:p w:rsidR="0032751E" w:rsidP="0032751E" w:rsidRDefault="00431F87" w14:paraId="0B179366" w14:textId="3E76EDF6">
      <w:pPr>
        <w:tabs>
          <w:tab w:val="clear" w:pos="284"/>
          <w:tab w:val="left" w:pos="1304"/>
        </w:tabs>
      </w:pPr>
      <w:r>
        <w:t>Listan med e</w:t>
      </w:r>
      <w:r w:rsidR="0032751E">
        <w:t>xemp</w:t>
      </w:r>
      <w:r>
        <w:t>el</w:t>
      </w:r>
      <w:r w:rsidR="0032751E">
        <w:t xml:space="preserve"> på lämpliga och angelägna uppgifter kan för en </w:t>
      </w:r>
      <w:r w:rsidR="00811611">
        <w:t xml:space="preserve">särskild </w:t>
      </w:r>
      <w:r w:rsidR="0032751E">
        <w:t>beredskapspolis göras lång, men för att nämna ytterligare några</w:t>
      </w:r>
      <w:r>
        <w:t>:</w:t>
      </w:r>
      <w:r w:rsidR="0032751E">
        <w:t xml:space="preserve"> stötta vid gränsöver</w:t>
      </w:r>
      <w:r w:rsidR="00F644B9">
        <w:softHyphen/>
      </w:r>
      <w:r w:rsidR="0032751E">
        <w:t>vakning eller bevakning av områden som allmänheten inte har tillträde till, sökande efter försvunna personer och att bistå vid naturkatastrofer.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17984EB1EEE457597D728E7806851AA"/>
        </w:placeholder>
      </w:sdtPr>
      <w:sdtEndPr>
        <w:rPr>
          <w:i w:val="0"/>
          <w:noProof w:val="0"/>
        </w:rPr>
      </w:sdtEndPr>
      <w:sdtContent>
        <w:p w:rsidR="00DC0201" w:rsidP="006D7C86" w:rsidRDefault="00DC0201" w14:paraId="3B68A6C0" w14:textId="77777777"/>
        <w:p w:rsidRPr="008E0FE2" w:rsidR="004801AC" w:rsidP="006D7C86" w:rsidRDefault="00F644B9" w14:paraId="38D1E6C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41291" w14:paraId="28C9DF2B" w14:textId="77777777">
        <w:trPr>
          <w:cantSplit/>
        </w:trPr>
        <w:tc>
          <w:tcPr>
            <w:tcW w:w="50" w:type="pct"/>
            <w:vAlign w:val="bottom"/>
          </w:tcPr>
          <w:p w:rsidR="00641291" w:rsidRDefault="00431F87" w14:paraId="68D244CA" w14:textId="77777777"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 w:rsidR="00641291" w:rsidRDefault="00641291" w14:paraId="65A5E833" w14:textId="77777777">
            <w:pPr>
              <w:pStyle w:val="Underskrifter"/>
            </w:pPr>
          </w:p>
        </w:tc>
      </w:tr>
    </w:tbl>
    <w:p w:rsidR="000D0B5A" w:rsidRDefault="000D0B5A" w14:paraId="45827979" w14:textId="77777777"/>
    <w:sectPr w:rsidR="000D0B5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D302A" w14:textId="77777777" w:rsidR="003E3FD4" w:rsidRDefault="003E3FD4" w:rsidP="000C1CAD">
      <w:pPr>
        <w:spacing w:line="240" w:lineRule="auto"/>
      </w:pPr>
      <w:r>
        <w:separator/>
      </w:r>
    </w:p>
  </w:endnote>
  <w:endnote w:type="continuationSeparator" w:id="0">
    <w:p w14:paraId="64DCF50F" w14:textId="77777777" w:rsidR="003E3FD4" w:rsidRDefault="003E3F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B02E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757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C9492" w14:textId="77777777" w:rsidR="00262EA3" w:rsidRPr="006D7C86" w:rsidRDefault="00262EA3" w:rsidP="006D7C8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64E3C" w14:textId="77777777" w:rsidR="003E3FD4" w:rsidRDefault="003E3FD4" w:rsidP="000C1CAD">
      <w:pPr>
        <w:spacing w:line="240" w:lineRule="auto"/>
      </w:pPr>
      <w:r>
        <w:separator/>
      </w:r>
    </w:p>
  </w:footnote>
  <w:footnote w:type="continuationSeparator" w:id="0">
    <w:p w14:paraId="4F8E317A" w14:textId="77777777" w:rsidR="003E3FD4" w:rsidRDefault="003E3F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9059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84E417" wp14:editId="212F1ED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848ED" w14:textId="77777777" w:rsidR="00262EA3" w:rsidRDefault="00F644B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6ABF20194EE43B78AE80D77E98402D3"/>
                              </w:placeholder>
                              <w:text/>
                            </w:sdtPr>
                            <w:sdtEndPr/>
                            <w:sdtContent>
                              <w:r w:rsidR="0032751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F3C8B5EF5E4436AA431A1A9FB91EA35"/>
                              </w:placeholder>
                              <w:text/>
                            </w:sdtPr>
                            <w:sdtEndPr/>
                            <w:sdtContent>
                              <w:r w:rsidR="008C4333">
                                <w:t>1549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84E41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31848ED" w14:textId="77777777" w:rsidR="00262EA3" w:rsidRDefault="00F644B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6ABF20194EE43B78AE80D77E98402D3"/>
                        </w:placeholder>
                        <w:text/>
                      </w:sdtPr>
                      <w:sdtEndPr/>
                      <w:sdtContent>
                        <w:r w:rsidR="0032751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F3C8B5EF5E4436AA431A1A9FB91EA35"/>
                        </w:placeholder>
                        <w:text/>
                      </w:sdtPr>
                      <w:sdtEndPr/>
                      <w:sdtContent>
                        <w:r w:rsidR="008C4333">
                          <w:t>1549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9D8D54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7D4E3" w14:textId="77777777" w:rsidR="00262EA3" w:rsidRDefault="00262EA3" w:rsidP="008563AC">
    <w:pPr>
      <w:jc w:val="right"/>
    </w:pPr>
  </w:p>
  <w:p w14:paraId="758EFA6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63399" w14:textId="77777777" w:rsidR="00262EA3" w:rsidRDefault="00F644B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7BF322A" wp14:editId="6CF44C1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536510C" w14:textId="77777777" w:rsidR="00262EA3" w:rsidRDefault="00F644B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77B3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2751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C4333">
          <w:t>1549</w:t>
        </w:r>
      </w:sdtContent>
    </w:sdt>
  </w:p>
  <w:p w14:paraId="2FCFF262" w14:textId="77777777" w:rsidR="00262EA3" w:rsidRPr="008227B3" w:rsidRDefault="00F644B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79255D8" w14:textId="77777777" w:rsidR="00262EA3" w:rsidRPr="008227B3" w:rsidRDefault="00F644B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7B3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7B3F">
          <w:t>:1494</w:t>
        </w:r>
      </w:sdtContent>
    </w:sdt>
  </w:p>
  <w:p w14:paraId="23F41ACF" w14:textId="77777777" w:rsidR="00262EA3" w:rsidRDefault="00F644B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77B3F"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6B53AC8" w14:textId="77777777" w:rsidR="00262EA3" w:rsidRDefault="00DC0201" w:rsidP="00283E0F">
        <w:pPr>
          <w:pStyle w:val="FSHRub2"/>
        </w:pPr>
        <w:r>
          <w:t>Återinföra särskilda beredskapspolisen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19D04B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2751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B5A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8E6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51E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4F4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3FD4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1F87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291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C86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611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333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B3F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641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2B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201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E19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190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4B9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822130"/>
  <w15:chartTrackingRefBased/>
  <w15:docId w15:val="{1E9B8728-0190-4D95-BA79-8DB6FDAE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8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DBBE6F7A6A461189E062CA70D4C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D4CF9-4996-4C41-86F5-A75719D45BC2}"/>
      </w:docPartPr>
      <w:docPartBody>
        <w:p w:rsidR="005734A5" w:rsidRDefault="00562012">
          <w:pPr>
            <w:pStyle w:val="A7DBBE6F7A6A461189E062CA70D4C9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7AD99D8FB8497985A54269D84BD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8AA9F6-4AA3-4A55-A9D3-C053E5593603}"/>
      </w:docPartPr>
      <w:docPartBody>
        <w:p w:rsidR="005734A5" w:rsidRDefault="00562012">
          <w:pPr>
            <w:pStyle w:val="6A7AD99D8FB8497985A54269D84BD0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ABF20194EE43B78AE80D77E98402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2D2477-E771-48D5-9FCF-6E9499385465}"/>
      </w:docPartPr>
      <w:docPartBody>
        <w:p w:rsidR="005734A5" w:rsidRDefault="00562012">
          <w:pPr>
            <w:pStyle w:val="56ABF20194EE43B78AE80D77E98402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3C8B5EF5E4436AA431A1A9FB91E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383683-13D8-4B34-8BA4-3FBB063C9AAE}"/>
      </w:docPartPr>
      <w:docPartBody>
        <w:p w:rsidR="005734A5" w:rsidRDefault="00562012">
          <w:pPr>
            <w:pStyle w:val="2F3C8B5EF5E4436AA431A1A9FB91EA35"/>
          </w:pPr>
          <w:r>
            <w:t xml:space="preserve"> </w:t>
          </w:r>
        </w:p>
      </w:docPartBody>
    </w:docPart>
    <w:docPart>
      <w:docPartPr>
        <w:name w:val="917984EB1EEE457597D728E7806851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5476C-3A07-409C-8480-042E98EB3A68}"/>
      </w:docPartPr>
      <w:docPartBody>
        <w:p w:rsidR="004F5AFD" w:rsidRDefault="004F5A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A5"/>
    <w:rsid w:val="000A57AB"/>
    <w:rsid w:val="004F5AFD"/>
    <w:rsid w:val="00562012"/>
    <w:rsid w:val="005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7DBBE6F7A6A461189E062CA70D4C985">
    <w:name w:val="A7DBBE6F7A6A461189E062CA70D4C985"/>
  </w:style>
  <w:style w:type="paragraph" w:customStyle="1" w:styleId="3A96D60864B34680AF61BF766CE0E500">
    <w:name w:val="3A96D60864B34680AF61BF766CE0E50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983161B9DE446CA84875C67F2EDCA80">
    <w:name w:val="9983161B9DE446CA84875C67F2EDCA80"/>
  </w:style>
  <w:style w:type="paragraph" w:customStyle="1" w:styleId="6A7AD99D8FB8497985A54269D84BD0BF">
    <w:name w:val="6A7AD99D8FB8497985A54269D84BD0BF"/>
  </w:style>
  <w:style w:type="paragraph" w:customStyle="1" w:styleId="11AB55DF33234D838E1631A901E2F4FC">
    <w:name w:val="11AB55DF33234D838E1631A901E2F4FC"/>
  </w:style>
  <w:style w:type="paragraph" w:customStyle="1" w:styleId="60B043265C9F457EB26E078925C30D35">
    <w:name w:val="60B043265C9F457EB26E078925C30D35"/>
  </w:style>
  <w:style w:type="paragraph" w:customStyle="1" w:styleId="56ABF20194EE43B78AE80D77E98402D3">
    <w:name w:val="56ABF20194EE43B78AE80D77E98402D3"/>
  </w:style>
  <w:style w:type="paragraph" w:customStyle="1" w:styleId="2F3C8B5EF5E4436AA431A1A9FB91EA35">
    <w:name w:val="2F3C8B5EF5E4436AA431A1A9FB91EA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981F70-6FC5-470F-86AC-67E26CF901BB}"/>
</file>

<file path=customXml/itemProps2.xml><?xml version="1.0" encoding="utf-8"?>
<ds:datastoreItem xmlns:ds="http://schemas.openxmlformats.org/officeDocument/2006/customXml" ds:itemID="{A961A121-2CE3-4C56-8625-A269F92634C0}"/>
</file>

<file path=customXml/itemProps3.xml><?xml version="1.0" encoding="utf-8"?>
<ds:datastoreItem xmlns:ds="http://schemas.openxmlformats.org/officeDocument/2006/customXml" ds:itemID="{65D0E361-FF86-49FF-B663-39C670EC95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2489</Characters>
  <Application>Microsoft Office Word</Application>
  <DocSecurity>0</DocSecurity>
  <Lines>52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Återinföra beredskapspoliser</vt:lpstr>
      <vt:lpstr>
      </vt:lpstr>
    </vt:vector>
  </TitlesOfParts>
  <Company>Sveriges riksdag</Company>
  <LinksUpToDate>false</LinksUpToDate>
  <CharactersWithSpaces>2871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