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B57C" w14:textId="77777777" w:rsidR="00FB32B9" w:rsidRDefault="008B2E85" w:rsidP="00FB32B9">
      <w:pPr>
        <w:pStyle w:val="UDrubrik"/>
        <w:tabs>
          <w:tab w:val="left" w:pos="1701"/>
          <w:tab w:val="left" w:pos="1985"/>
        </w:tabs>
        <w:rPr>
          <w:rFonts w:cs="Arial"/>
          <w:sz w:val="28"/>
        </w:rPr>
      </w:pPr>
    </w:p>
    <w:p w14:paraId="4B46B57D" w14:textId="77777777" w:rsidR="00FB32B9" w:rsidRDefault="008B2E85" w:rsidP="00FB32B9">
      <w:pPr>
        <w:pStyle w:val="UDrubrik"/>
        <w:tabs>
          <w:tab w:val="left" w:pos="1701"/>
          <w:tab w:val="left" w:pos="1985"/>
        </w:tabs>
        <w:rPr>
          <w:rFonts w:cs="Arial"/>
          <w:sz w:val="28"/>
        </w:rPr>
      </w:pPr>
    </w:p>
    <w:p w14:paraId="4B46B57E" w14:textId="77777777" w:rsidR="00FB32B9" w:rsidRDefault="008B2E85" w:rsidP="00FB32B9">
      <w:pPr>
        <w:pStyle w:val="UDrubrik"/>
        <w:tabs>
          <w:tab w:val="left" w:pos="1701"/>
          <w:tab w:val="left" w:pos="1985"/>
        </w:tabs>
        <w:rPr>
          <w:rFonts w:cs="Arial"/>
          <w:sz w:val="28"/>
        </w:rPr>
      </w:pPr>
    </w:p>
    <w:p w14:paraId="4B46B57F" w14:textId="77777777" w:rsidR="00FB32B9" w:rsidRDefault="008B2E85" w:rsidP="00FB32B9">
      <w:pPr>
        <w:pStyle w:val="UDrubrik"/>
        <w:tabs>
          <w:tab w:val="left" w:pos="1701"/>
          <w:tab w:val="left" w:pos="1985"/>
        </w:tabs>
        <w:rPr>
          <w:rFonts w:cs="Arial"/>
          <w:sz w:val="28"/>
        </w:rPr>
      </w:pPr>
    </w:p>
    <w:p w14:paraId="4B46B580" w14:textId="2515D3E9" w:rsidR="00FB32B9" w:rsidRDefault="00E06C7A"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174868">
        <w:rPr>
          <w:rFonts w:cs="Arial"/>
          <w:sz w:val="28"/>
        </w:rPr>
        <w:t xml:space="preserve">onsdagen den 10 februari 2016, </w:t>
      </w:r>
      <w:r>
        <w:rPr>
          <w:rFonts w:cs="Arial"/>
          <w:sz w:val="28"/>
        </w:rPr>
        <w:t xml:space="preserve">vecka </w:t>
      </w:r>
      <w:r w:rsidR="00174868">
        <w:rPr>
          <w:rFonts w:cs="Arial"/>
          <w:sz w:val="28"/>
        </w:rPr>
        <w:t>6.</w:t>
      </w:r>
    </w:p>
    <w:p w14:paraId="4B46B581" w14:textId="77777777" w:rsidR="00FB32B9" w:rsidRDefault="008B2E85" w:rsidP="00FB32B9">
      <w:pPr>
        <w:pStyle w:val="Brdtext"/>
      </w:pPr>
    </w:p>
    <w:p w14:paraId="4B46B582" w14:textId="56CA22CD" w:rsidR="00FB32B9" w:rsidRDefault="00E06C7A" w:rsidP="00FB32B9">
      <w:pPr>
        <w:pStyle w:val="Brdtext"/>
      </w:pPr>
      <w:r>
        <w:t xml:space="preserve">Överlämnas för skriftligt samråd till </w:t>
      </w:r>
      <w:r w:rsidR="00174868">
        <w:t>torsdagen den 11 februari 2016, kl 14.00.</w:t>
      </w:r>
    </w:p>
    <w:p w14:paraId="4B46B583" w14:textId="77777777" w:rsidR="00FB32B9" w:rsidRDefault="00E06C7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B46B584" w14:textId="77777777" w:rsidR="00D957FB" w:rsidRPr="00FB32B9" w:rsidRDefault="00E06C7A">
          <w:pPr>
            <w:pStyle w:val="Innehllsfrteckningsrubrik"/>
            <w:rPr>
              <w:color w:val="auto"/>
            </w:rPr>
          </w:pPr>
          <w:r w:rsidRPr="00FB32B9">
            <w:rPr>
              <w:color w:val="auto"/>
            </w:rPr>
            <w:t>Innehållsförteckning</w:t>
          </w:r>
          <w:bookmarkStart w:id="0" w:name="_GoBack"/>
          <w:bookmarkEnd w:id="0"/>
        </w:p>
        <w:p w14:paraId="4B46B585" w14:textId="77777777" w:rsidR="00DA7250" w:rsidRPr="00DA7250" w:rsidRDefault="008B2E85" w:rsidP="00DA7250">
          <w:pPr>
            <w:rPr>
              <w:lang w:val="en-US" w:eastAsia="ja-JP"/>
            </w:rPr>
          </w:pPr>
        </w:p>
        <w:p w14:paraId="4B46B586" w14:textId="77777777" w:rsidR="009911D2" w:rsidRDefault="00E06C7A">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Replies to written questions put to the Council by Members of the European Parliament</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4B46B587" w14:textId="77777777" w:rsidR="009911D2" w:rsidRDefault="00E06C7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"_Toc256000004" </w:instrText>
          </w:r>
          <w:r>
            <w:rPr>
              <w:b/>
              <w:bCs/>
              <w:noProof/>
            </w:rPr>
            <w:fldChar w:fldCharType="separate"/>
          </w:r>
          <w:r>
            <w:rPr>
              <w:rStyle w:val="Hyperlnk"/>
            </w:rPr>
            <w:t>2.</w:t>
          </w:r>
          <w:r>
            <w:rPr>
              <w:rStyle w:val="Hyperlnk"/>
              <w:rFonts w:ascii="Calibri" w:hAnsi="Calibri"/>
              <w:noProof/>
            </w:rPr>
            <w:tab/>
          </w:r>
          <w:r>
            <w:rPr>
              <w:rStyle w:val="Hyperlnk"/>
              <w:noProof/>
            </w:rPr>
            <w:t>Commission Regulation (EU) …/... amending Annex I to Regulation (EC) No 1334/2008 of the European Parliament and of the Council as regards removal from the Union list of certain flavouring substances</w:t>
          </w:r>
          <w:r>
            <w:rPr>
              <w:rStyle w:val="Hyperlnk"/>
            </w:rPr>
            <w:tab/>
          </w:r>
          <w:r>
            <w:fldChar w:fldCharType="begin"/>
          </w:r>
          <w:r>
            <w:rPr>
              <w:rStyle w:val="Hyperlnk"/>
            </w:rPr>
            <w:instrText xml:space="preserve"> PAGEREF _Toc256000004 \h </w:instrText>
          </w:r>
          <w:r>
            <w:fldChar w:fldCharType="separate"/>
          </w:r>
          <w:r>
            <w:rPr>
              <w:rStyle w:val="Hyperlnk"/>
            </w:rPr>
            <w:t>3</w:t>
          </w:r>
          <w:r>
            <w:fldChar w:fldCharType="end"/>
          </w:r>
        </w:p>
        <w:p w14:paraId="4B46B588" w14:textId="77777777" w:rsidR="009911D2" w:rsidRDefault="00E06C7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"_Toc256000005" </w:instrText>
          </w:r>
          <w:r>
            <w:rPr>
              <w:b/>
              <w:bCs/>
              <w:noProof/>
            </w:rPr>
            <w:fldChar w:fldCharType="separate"/>
          </w:r>
          <w:r>
            <w:rPr>
              <w:rStyle w:val="Hyperlnk"/>
            </w:rPr>
            <w:t>3.</w:t>
          </w:r>
          <w:r>
            <w:rPr>
              <w:rStyle w:val="Hyperlnk"/>
              <w:rFonts w:ascii="Calibri" w:hAnsi="Calibri"/>
              <w:noProof/>
            </w:rPr>
            <w:tab/>
          </w:r>
          <w:r>
            <w:rPr>
              <w:rStyle w:val="Hyperlnk"/>
              <w:noProof/>
            </w:rPr>
            <w:t>Commission Directive (EU) .../… of XXX amending Directive 2009/43/EC of the European Parliament and of the Council as regards the list of defence-related products</w:t>
          </w:r>
          <w:r>
            <w:rPr>
              <w:rStyle w:val="Hyperlnk"/>
            </w:rPr>
            <w:tab/>
          </w:r>
          <w:r>
            <w:fldChar w:fldCharType="begin"/>
          </w:r>
          <w:r>
            <w:rPr>
              <w:rStyle w:val="Hyperlnk"/>
            </w:rPr>
            <w:instrText xml:space="preserve"> PAGEREF _Toc256000005 \h </w:instrText>
          </w:r>
          <w:r>
            <w:fldChar w:fldCharType="separate"/>
          </w:r>
          <w:r>
            <w:rPr>
              <w:rStyle w:val="Hyperlnk"/>
            </w:rPr>
            <w:t>4</w:t>
          </w:r>
          <w:r>
            <w:fldChar w:fldCharType="end"/>
          </w:r>
        </w:p>
        <w:p w14:paraId="4B46B589" w14:textId="77777777" w:rsidR="009911D2" w:rsidRDefault="00E06C7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"_Toc256000006" </w:instrText>
          </w:r>
          <w:r>
            <w:rPr>
              <w:b/>
              <w:bCs/>
              <w:noProof/>
            </w:rPr>
            <w:fldChar w:fldCharType="separate"/>
          </w:r>
          <w:r>
            <w:rPr>
              <w:rStyle w:val="Hyperlnk"/>
            </w:rPr>
            <w:t>4.</w:t>
          </w:r>
          <w:r>
            <w:rPr>
              <w:rStyle w:val="Hyperlnk"/>
              <w:rFonts w:ascii="Calibri" w:hAnsi="Calibri"/>
              <w:noProof/>
            </w:rPr>
            <w:tab/>
          </w:r>
          <w:r>
            <w:rPr>
              <w:rStyle w:val="Hyperlnk"/>
              <w:noProof/>
            </w:rPr>
            <w:t>Commission Directive ../…/EU of XXX amending Annex II to Directive 2000/53/EC of the European Parliament and of the Council on the end-of-life vehicles</w:t>
          </w:r>
          <w:r>
            <w:rPr>
              <w:rStyle w:val="Hyperlnk"/>
            </w:rPr>
            <w:tab/>
          </w:r>
          <w:r>
            <w:fldChar w:fldCharType="begin"/>
          </w:r>
          <w:r>
            <w:rPr>
              <w:rStyle w:val="Hyperlnk"/>
            </w:rPr>
            <w:instrText xml:space="preserve"> PAGEREF _Toc256000006 \h </w:instrText>
          </w:r>
          <w:r>
            <w:fldChar w:fldCharType="separate"/>
          </w:r>
          <w:r>
            <w:rPr>
              <w:rStyle w:val="Hyperlnk"/>
            </w:rPr>
            <w:t>4</w:t>
          </w:r>
          <w:r>
            <w:fldChar w:fldCharType="end"/>
          </w:r>
        </w:p>
        <w:p w14:paraId="4B46B58A" w14:textId="77777777" w:rsidR="009911D2" w:rsidRDefault="00E06C7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"_Toc256000007" </w:instrText>
          </w:r>
          <w:r>
            <w:rPr>
              <w:b/>
              <w:bCs/>
              <w:noProof/>
            </w:rPr>
            <w:fldChar w:fldCharType="separate"/>
          </w:r>
          <w:r>
            <w:rPr>
              <w:rStyle w:val="Hyperlnk"/>
            </w:rPr>
            <w:t>5.</w:t>
          </w:r>
          <w:r>
            <w:rPr>
              <w:rStyle w:val="Hyperlnk"/>
              <w:rFonts w:ascii="Calibri" w:hAnsi="Calibri"/>
              <w:noProof/>
            </w:rPr>
            <w:tab/>
          </w:r>
          <w:r>
            <w:rPr>
              <w:rStyle w:val="Hyperlnk"/>
              <w:noProof/>
            </w:rPr>
            <w:t>Commission Delegated Regulation (EU) …/... of 17.12.2015 supplementing Regulation (EU) No 952/2013 of the European Parliament and of the Council as regards transitional rules for certain provisions of the Union Customs Code where the relevant electronic systems are not yet operational and amending Delegated Regulation (EU) 2015/…</w:t>
          </w:r>
          <w:r>
            <w:rPr>
              <w:rStyle w:val="Hyperlnk"/>
            </w:rPr>
            <w:tab/>
          </w:r>
          <w:r>
            <w:fldChar w:fldCharType="begin"/>
          </w:r>
          <w:r>
            <w:rPr>
              <w:rStyle w:val="Hyperlnk"/>
            </w:rPr>
            <w:instrText xml:space="preserve"> PAGEREF _Toc256000007 \h </w:instrText>
          </w:r>
          <w:r>
            <w:fldChar w:fldCharType="separate"/>
          </w:r>
          <w:r>
            <w:rPr>
              <w:rStyle w:val="Hyperlnk"/>
            </w:rPr>
            <w:t>5</w:t>
          </w:r>
          <w:r>
            <w:fldChar w:fldCharType="end"/>
          </w:r>
        </w:p>
        <w:p w14:paraId="4B46B58B" w14:textId="77777777" w:rsidR="009911D2" w:rsidRDefault="00E06C7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"_Toc256000008" </w:instrText>
          </w:r>
          <w:r>
            <w:rPr>
              <w:b/>
              <w:bCs/>
              <w:noProof/>
            </w:rPr>
            <w:fldChar w:fldCharType="separate"/>
          </w:r>
          <w:r>
            <w:rPr>
              <w:rStyle w:val="Hyperlnk"/>
            </w:rPr>
            <w:t>6.</w:t>
          </w:r>
          <w:r>
            <w:rPr>
              <w:rStyle w:val="Hyperlnk"/>
              <w:rFonts w:ascii="Calibri" w:hAnsi="Calibri"/>
              <w:noProof/>
            </w:rPr>
            <w:tab/>
          </w:r>
          <w:r>
            <w:rPr>
              <w:rStyle w:val="Hyperlnk"/>
              <w:noProof/>
            </w:rPr>
            <w:t>Preparation of the 207th session of the ICAO Council (Montreal, 15 February - 11 March 2016)</w:t>
          </w:r>
          <w:r>
            <w:rPr>
              <w:rStyle w:val="Hyperlnk"/>
            </w:rPr>
            <w:tab/>
          </w:r>
          <w:r>
            <w:fldChar w:fldCharType="begin"/>
          </w:r>
          <w:r>
            <w:rPr>
              <w:rStyle w:val="Hyperlnk"/>
            </w:rPr>
            <w:instrText xml:space="preserve"> PAGEREF _Toc256000008 \h </w:instrText>
          </w:r>
          <w:r>
            <w:fldChar w:fldCharType="separate"/>
          </w:r>
          <w:r>
            <w:rPr>
              <w:rStyle w:val="Hyperlnk"/>
            </w:rPr>
            <w:t>6</w:t>
          </w:r>
          <w:r>
            <w:fldChar w:fldCharType="end"/>
          </w:r>
        </w:p>
        <w:p w14:paraId="4B46B58C" w14:textId="77777777" w:rsidR="00D957FB" w:rsidRDefault="00E06C7A">
          <w:r>
            <w:rPr>
              <w:b/>
              <w:bCs/>
              <w:noProof/>
            </w:rPr>
            <w:fldChar w:fldCharType="end"/>
          </w:r>
          <w:r>
            <w:rPr>
              <w:b/>
              <w:bCs/>
              <w:noProof/>
            </w:rPr>
            <w:fldChar w:fldCharType="end"/>
          </w:r>
        </w:p>
      </w:sdtContent>
    </w:sdt>
    <w:p w14:paraId="4B46B58D" w14:textId="77777777" w:rsidR="00D957FB" w:rsidRDefault="00E06C7A">
      <w:pPr>
        <w:ind w:left="0"/>
      </w:pPr>
      <w:r>
        <w:br w:type="page"/>
      </w:r>
    </w:p>
    <w:p w14:paraId="4B46B58E" w14:textId="77777777" w:rsidR="00643D86" w:rsidRDefault="008B2E85" w:rsidP="00643D86">
      <w:pPr>
        <w:pStyle w:val="Rubrik1"/>
        <w:numPr>
          <w:ilvl w:val="0"/>
          <w:numId w:val="0"/>
        </w:numPr>
      </w:pPr>
      <w:bookmarkStart w:id="1" w:name="_Toc364854645"/>
    </w:p>
    <w:p w14:paraId="4B46B58F" w14:textId="77777777" w:rsidR="00643D86" w:rsidRDefault="00E06C7A" w:rsidP="00643D86">
      <w:pPr>
        <w:pStyle w:val="Rubrik1"/>
      </w:pPr>
      <w:bookmarkStart w:id="2" w:name="_Toc256000003"/>
      <w:r>
        <w:rPr>
          <w:noProof/>
        </w:rPr>
        <w:t>Replies to written questions put to the Council by Members of the European Parliament</w:t>
      </w:r>
      <w:bookmarkEnd w:id="2"/>
      <w:r>
        <w:rPr>
          <w:noProof/>
        </w:rPr>
        <w:t xml:space="preserve"> </w:t>
      </w:r>
    </w:p>
    <w:p w14:paraId="204604FA" w14:textId="77777777" w:rsidR="00174868" w:rsidRPr="00174868" w:rsidRDefault="00E06C7A" w:rsidP="00174868">
      <w:pPr>
        <w:pStyle w:val="Liststycke"/>
        <w:numPr>
          <w:ilvl w:val="0"/>
          <w:numId w:val="3"/>
        </w:numPr>
      </w:pPr>
      <w:r w:rsidRPr="00174868">
        <w:rPr>
          <w:lang w:val="en-US"/>
        </w:rPr>
        <w:t>E-013642/2015 - Sergio Gutiérrez Prieto (S&amp;amp;D)</w:t>
      </w:r>
      <w:r w:rsidRPr="00174868">
        <w:rPr>
          <w:lang w:val="en-US"/>
        </w:rPr>
        <w:br/>
        <w:t>Adopting the new European legislation on product safety and market surveillance</w:t>
      </w:r>
      <w:r w:rsidR="00174868" w:rsidRPr="00174868">
        <w:rPr>
          <w:lang w:val="en-US"/>
        </w:rPr>
        <w:t xml:space="preserve"> </w:t>
      </w:r>
      <w:r w:rsidRPr="00174868">
        <w:rPr>
          <w:lang w:val="en-US"/>
        </w:rPr>
        <w:t>5770/16 PE-QE 45</w:t>
      </w:r>
      <w:r w:rsidR="00174868" w:rsidRPr="00174868">
        <w:rPr>
          <w:lang w:val="en-US"/>
        </w:rPr>
        <w:br/>
      </w:r>
      <w:r w:rsidRPr="00174868">
        <w:rPr>
          <w:lang w:val="en-US"/>
        </w:rPr>
        <w:t>b) E-013680/2015 - Ana Gomes (S&amp;amp;D)</w:t>
      </w:r>
      <w:r w:rsidR="00174868" w:rsidRPr="00174868">
        <w:rPr>
          <w:lang w:val="en-US"/>
        </w:rPr>
        <w:t xml:space="preserve"> </w:t>
      </w:r>
      <w:r w:rsidRPr="00174868">
        <w:rPr>
          <w:lang w:val="en-US"/>
        </w:rPr>
        <w:t>UK targeted killings</w:t>
      </w:r>
      <w:r w:rsidR="00174868" w:rsidRPr="00174868">
        <w:rPr>
          <w:lang w:val="en-US"/>
        </w:rPr>
        <w:t xml:space="preserve"> </w:t>
      </w:r>
      <w:r w:rsidRPr="00174868">
        <w:rPr>
          <w:lang w:val="en-US"/>
        </w:rPr>
        <w:t>5245/16 PE-QE 10</w:t>
      </w:r>
      <w:r w:rsidR="00174868" w:rsidRPr="00174868">
        <w:rPr>
          <w:lang w:val="en-US"/>
        </w:rPr>
        <w:br/>
      </w:r>
      <w:r w:rsidRPr="00174868">
        <w:rPr>
          <w:lang w:val="en-US"/>
        </w:rPr>
        <w:t>c) E-013829/2015 - Ramón Luis Valcárcel Siso (PPE) and Antonio Tajani (PPE)</w:t>
      </w:r>
      <w:r w:rsidR="00174868" w:rsidRPr="00174868">
        <w:rPr>
          <w:lang w:val="en-US"/>
        </w:rPr>
        <w:t xml:space="preserve"> </w:t>
      </w:r>
      <w:r w:rsidRPr="00174868">
        <w:rPr>
          <w:lang w:val="en-US"/>
        </w:rPr>
        <w:t>ECJ ruling on EPSO competitions</w:t>
      </w:r>
      <w:r w:rsidR="00174868" w:rsidRPr="00174868">
        <w:rPr>
          <w:lang w:val="en-US"/>
        </w:rPr>
        <w:t xml:space="preserve"> </w:t>
      </w:r>
      <w:r w:rsidRPr="00174868">
        <w:rPr>
          <w:lang w:val="en-US"/>
        </w:rPr>
        <w:t>5761/16 PE-QE 43</w:t>
      </w:r>
      <w:r w:rsidR="00174868" w:rsidRPr="00174868">
        <w:rPr>
          <w:lang w:val="en-US"/>
        </w:rPr>
        <w:br/>
      </w:r>
      <w:r w:rsidRPr="00174868">
        <w:rPr>
          <w:lang w:val="en-US"/>
        </w:rPr>
        <w:t>d) E-014244/2015 - Hugues Bayet (S&amp;amp;D)</w:t>
      </w:r>
      <w:r w:rsidR="00174868" w:rsidRPr="00174868">
        <w:rPr>
          <w:lang w:val="en-US"/>
        </w:rPr>
        <w:t xml:space="preserve"> </w:t>
      </w:r>
      <w:r w:rsidRPr="00174868">
        <w:rPr>
          <w:lang w:val="en-US"/>
        </w:rPr>
        <w:t>Support to help humanitarian organisations tackle the migration crisis</w:t>
      </w:r>
      <w:r w:rsidR="00174868" w:rsidRPr="00174868">
        <w:rPr>
          <w:lang w:val="en-US"/>
        </w:rPr>
        <w:t xml:space="preserve"> </w:t>
      </w:r>
      <w:r w:rsidRPr="00174868">
        <w:rPr>
          <w:lang w:val="en-US"/>
        </w:rPr>
        <w:t>5244/16 PE-QE 9</w:t>
      </w:r>
      <w:r w:rsidR="00174868" w:rsidRPr="00174868">
        <w:rPr>
          <w:lang w:val="en-US"/>
        </w:rPr>
        <w:br/>
      </w:r>
      <w:r w:rsidRPr="00174868">
        <w:rPr>
          <w:lang w:val="en-US"/>
        </w:rPr>
        <w:t>e) P-014256/2015 - Hans-Olaf Henkel (ECR)</w:t>
      </w:r>
      <w:r w:rsidR="00174868" w:rsidRPr="00174868">
        <w:rPr>
          <w:lang w:val="en-US"/>
        </w:rPr>
        <w:t xml:space="preserve"> </w:t>
      </w:r>
      <w:r w:rsidRPr="00174868">
        <w:rPr>
          <w:lang w:val="en-US"/>
        </w:rPr>
        <w:t>EU-Turkey deal</w:t>
      </w:r>
      <w:r w:rsidR="00174868" w:rsidRPr="00174868">
        <w:rPr>
          <w:lang w:val="en-US"/>
        </w:rPr>
        <w:t xml:space="preserve"> </w:t>
      </w:r>
      <w:r w:rsidRPr="00174868">
        <w:rPr>
          <w:lang w:val="en-US"/>
        </w:rPr>
        <w:t>5707/16 PE-QE 40</w:t>
      </w:r>
      <w:r w:rsidR="00174868" w:rsidRPr="00174868">
        <w:rPr>
          <w:lang w:val="en-US"/>
        </w:rPr>
        <w:br/>
      </w:r>
      <w:r w:rsidRPr="00174868">
        <w:rPr>
          <w:lang w:val="en-US"/>
        </w:rPr>
        <w:t>f) E-014456/2015 - Andrej Plenković (PPE)</w:t>
      </w:r>
      <w:r w:rsidR="00174868" w:rsidRPr="00174868">
        <w:rPr>
          <w:lang w:val="en-US"/>
        </w:rPr>
        <w:t xml:space="preserve"> </w:t>
      </w:r>
      <w:r w:rsidRPr="00174868">
        <w:rPr>
          <w:lang w:val="en-US"/>
        </w:rPr>
        <w:t>Referendum on the EU-Ukraine Association Agreement in the Kingdom of the Netherlands</w:t>
      </w:r>
      <w:r w:rsidR="00174868" w:rsidRPr="00174868">
        <w:rPr>
          <w:lang w:val="en-US"/>
        </w:rPr>
        <w:t xml:space="preserve"> </w:t>
      </w:r>
      <w:r w:rsidRPr="00174868">
        <w:rPr>
          <w:lang w:val="en-US"/>
        </w:rPr>
        <w:t>5330/16 PE-QE 20</w:t>
      </w:r>
      <w:r w:rsidR="00174868" w:rsidRPr="00174868">
        <w:rPr>
          <w:lang w:val="en-US"/>
        </w:rPr>
        <w:br/>
      </w:r>
      <w:r w:rsidRPr="00174868">
        <w:rPr>
          <w:lang w:val="en-US"/>
        </w:rPr>
        <w:t>g) E-014748/2015 - Antonio Tajani (PPE)</w:t>
      </w:r>
      <w:r w:rsidR="00174868" w:rsidRPr="00174868">
        <w:rPr>
          <w:lang w:val="en-US"/>
        </w:rPr>
        <w:t xml:space="preserve"> </w:t>
      </w:r>
      <w:r w:rsidRPr="00174868">
        <w:rPr>
          <w:lang w:val="en-US"/>
        </w:rPr>
        <w:t>Wounding of a member of the Jewish community in Milan: risk of copycat 'knife intifada'</w:t>
      </w:r>
      <w:r w:rsidR="00174868" w:rsidRPr="00174868">
        <w:rPr>
          <w:lang w:val="en-US"/>
        </w:rPr>
        <w:t xml:space="preserve"> </w:t>
      </w:r>
      <w:r w:rsidRPr="00174868">
        <w:rPr>
          <w:lang w:val="en-US"/>
        </w:rPr>
        <w:t>5331/16 PE-QE 21</w:t>
      </w:r>
      <w:r w:rsidR="00174868" w:rsidRPr="00174868">
        <w:rPr>
          <w:lang w:val="en-US"/>
        </w:rPr>
        <w:br/>
      </w:r>
      <w:r w:rsidRPr="00174868">
        <w:rPr>
          <w:lang w:val="en-US"/>
        </w:rPr>
        <w:t>h) P-014822/2015 - Hilde Vautmans (ALDE)</w:t>
      </w:r>
      <w:r w:rsidR="00174868" w:rsidRPr="00174868">
        <w:rPr>
          <w:lang w:val="en-US"/>
        </w:rPr>
        <w:t xml:space="preserve"> </w:t>
      </w:r>
      <w:r w:rsidRPr="00174868">
        <w:rPr>
          <w:lang w:val="en-US"/>
        </w:rPr>
        <w:t>Terrorist attacks in Paris5766/16 PE-QE 44</w:t>
      </w:r>
      <w:r w:rsidR="00174868" w:rsidRPr="00174868">
        <w:rPr>
          <w:lang w:val="en-US"/>
        </w:rPr>
        <w:t xml:space="preserve"> </w:t>
      </w:r>
      <w:r w:rsidR="00174868" w:rsidRPr="00174868">
        <w:rPr>
          <w:lang w:val="en-US"/>
        </w:rPr>
        <w:br/>
        <w:t>i)</w:t>
      </w:r>
      <w:r w:rsidRPr="00174868">
        <w:rPr>
          <w:lang w:val="en-US"/>
        </w:rPr>
        <w:t>E-014885/2015 - Marlene Mizzi (S&amp;amp;D)*European Central Intelligence Agency</w:t>
      </w:r>
      <w:r w:rsidR="00174868" w:rsidRPr="00174868">
        <w:rPr>
          <w:lang w:val="en-US"/>
        </w:rPr>
        <w:t xml:space="preserve"> </w:t>
      </w:r>
      <w:r w:rsidRPr="00174868">
        <w:rPr>
          <w:lang w:val="en-US"/>
        </w:rPr>
        <w:t>5327/16 PE-QE 19</w:t>
      </w:r>
      <w:r w:rsidRPr="00174868">
        <w:rPr>
          <w:lang w:val="en-US"/>
        </w:rPr>
        <w:br/>
        <w:t>j) E-015248/2015 - Lynn Boylan (GUE/NGL)</w:t>
      </w:r>
      <w:r w:rsidR="00174868" w:rsidRPr="00174868">
        <w:rPr>
          <w:lang w:val="en-US"/>
        </w:rPr>
        <w:t xml:space="preserve"> </w:t>
      </w:r>
      <w:r w:rsidRPr="00174868">
        <w:rPr>
          <w:lang w:val="en-US"/>
        </w:rPr>
        <w:t>Follow-up question on the Council's lack of transparency5313/16 PE-QE 17</w:t>
      </w:r>
      <w:r w:rsidR="00174868" w:rsidRPr="00174868">
        <w:rPr>
          <w:lang w:val="en-US"/>
        </w:rPr>
        <w:br/>
      </w:r>
      <w:r w:rsidRPr="00174868">
        <w:rPr>
          <w:lang w:val="en-US"/>
        </w:rPr>
        <w:t>k) P-015511/2015 - Tanja Fajon (S&amp;amp;D) and Juan Fernando López Aguilar (S&amp;amp;D)</w:t>
      </w:r>
      <w:r w:rsidR="00174868" w:rsidRPr="00174868">
        <w:rPr>
          <w:lang w:val="en-US"/>
        </w:rPr>
        <w:t xml:space="preserve"> </w:t>
      </w:r>
      <w:r w:rsidRPr="00174868">
        <w:rPr>
          <w:lang w:val="en-US"/>
        </w:rPr>
        <w:t>Alleged illegal issuing of Schengen visas in Belarus5306/16 PE-QE 16</w:t>
      </w:r>
      <w:r w:rsidR="00174868" w:rsidRPr="00174868">
        <w:rPr>
          <w:lang w:val="en-US"/>
        </w:rPr>
        <w:br/>
      </w:r>
      <w:r w:rsidRPr="00174868">
        <w:rPr>
          <w:lang w:val="en-US"/>
        </w:rPr>
        <w:t>l) P-015616/2015 - Stanisław Ożóg (ECR) and Zbigniew Kuźmiuk (ECR)</w:t>
      </w:r>
      <w:r w:rsidRPr="00174868">
        <w:rPr>
          <w:lang w:val="en-US"/>
        </w:rPr>
        <w:br/>
        <w:t>Threats to European unity from construction of the NordStream pipeline</w:t>
      </w:r>
      <w:r w:rsidR="00174868" w:rsidRPr="00174868">
        <w:rPr>
          <w:lang w:val="en-US"/>
        </w:rPr>
        <w:t xml:space="preserve"> </w:t>
      </w:r>
      <w:r w:rsidRPr="00174868">
        <w:rPr>
          <w:lang w:val="en-US"/>
        </w:rPr>
        <w:t>5352/16 PE-QE 22</w:t>
      </w:r>
      <w:r w:rsidR="00174868">
        <w:rPr>
          <w:lang w:val="en-US"/>
        </w:rPr>
        <w:t xml:space="preserve"> </w:t>
      </w:r>
    </w:p>
    <w:p w14:paraId="51A4DFAC" w14:textId="77777777" w:rsidR="00174868" w:rsidRPr="00174868" w:rsidRDefault="00174868" w:rsidP="00174868">
      <w:pPr>
        <w:pStyle w:val="Liststycke"/>
        <w:ind w:left="1074"/>
      </w:pPr>
    </w:p>
    <w:p w14:paraId="4B46B591" w14:textId="3939A8DD" w:rsidR="00643D86" w:rsidRDefault="00E06C7A" w:rsidP="00174868">
      <w:pPr>
        <w:pStyle w:val="Liststycke"/>
        <w:ind w:left="1074"/>
      </w:pPr>
      <w:r w:rsidRPr="00174868">
        <w:rPr>
          <w:b/>
        </w:rPr>
        <w:t>Ansvarigt statsråd</w:t>
      </w:r>
      <w:r w:rsidRPr="00174868">
        <w:rPr>
          <w:b/>
        </w:rPr>
        <w:br/>
      </w:r>
      <w:r>
        <w:rPr>
          <w:noProof/>
        </w:rPr>
        <w:t>Stefan Löfven</w:t>
      </w:r>
    </w:p>
    <w:p w14:paraId="4B46B594" w14:textId="77777777" w:rsidR="00643D86" w:rsidRDefault="00E06C7A" w:rsidP="00643D86">
      <w:r w:rsidRPr="00B44CE2">
        <w:rPr>
          <w:b/>
        </w:rPr>
        <w:t>Annotering</w:t>
      </w:r>
      <w:r>
        <w:rPr>
          <w:b/>
        </w:rPr>
        <w:br/>
      </w:r>
      <w:r>
        <w:t>Föranleder ingen annotering.</w:t>
      </w:r>
    </w:p>
    <w:p w14:paraId="4B46B595" w14:textId="77777777" w:rsidR="00643D86" w:rsidRDefault="00E06C7A" w:rsidP="00643D86">
      <w:pPr>
        <w:pStyle w:val="Rubrik1"/>
      </w:pPr>
      <w:bookmarkStart w:id="3" w:name="_Toc256000004"/>
      <w:r>
        <w:rPr>
          <w:noProof/>
        </w:rPr>
        <w:t>Commission Regulation (EU) …/... amending Annex I to Regulation (EC) No 1334/2008 of the European Parliament and of the Council as regards removal from the Union list of certain flavouring substances</w:t>
      </w:r>
      <w:bookmarkEnd w:id="3"/>
    </w:p>
    <w:p w14:paraId="4B46B596" w14:textId="6D019318" w:rsidR="00643D86" w:rsidRDefault="00E06C7A" w:rsidP="00643D86">
      <w:pPr>
        <w:rPr>
          <w:lang w:val="en-US"/>
        </w:rPr>
      </w:pPr>
      <w:r>
        <w:rPr>
          <w:noProof/>
          <w:lang w:val="en-US"/>
        </w:rPr>
        <w:t>Decision</w:t>
      </w:r>
      <w:r>
        <w:rPr>
          <w:lang w:val="en-US"/>
        </w:rPr>
        <w:t xml:space="preserve"> not to oppose adoption</w:t>
      </w:r>
      <w:r w:rsidR="00174868">
        <w:rPr>
          <w:lang w:val="en-US"/>
        </w:rPr>
        <w:t xml:space="preserve"> </w:t>
      </w:r>
      <w:r>
        <w:rPr>
          <w:lang w:val="en-US"/>
        </w:rPr>
        <w:br/>
      </w:r>
      <w:r>
        <w:rPr>
          <w:noProof/>
          <w:lang w:val="en-US"/>
        </w:rPr>
        <w:t>5553</w:t>
      </w:r>
      <w:r>
        <w:rPr>
          <w:lang w:val="en-US"/>
        </w:rPr>
        <w:t>/16 DENLEG 9 AGRI 25 SAN 29</w:t>
      </w:r>
      <w:r w:rsidR="00174868">
        <w:rPr>
          <w:lang w:val="en-US"/>
        </w:rPr>
        <w:t xml:space="preserve"> </w:t>
      </w:r>
      <w:r>
        <w:rPr>
          <w:lang w:val="en-US"/>
        </w:rPr>
        <w:t>5197/16 DENLEG 2 AGRI 8 SAN 5+ ADD 1</w:t>
      </w:r>
    </w:p>
    <w:p w14:paraId="4B46B597" w14:textId="77777777" w:rsidR="00643D86" w:rsidRDefault="00E06C7A" w:rsidP="00643D86">
      <w:r>
        <w:rPr>
          <w:b/>
        </w:rPr>
        <w:t>Ansvarigt statsråd</w:t>
      </w:r>
      <w:r>
        <w:rPr>
          <w:b/>
        </w:rPr>
        <w:br/>
      </w:r>
      <w:r>
        <w:rPr>
          <w:noProof/>
        </w:rPr>
        <w:t>Sven-Erik Bucht</w:t>
      </w:r>
    </w:p>
    <w:p w14:paraId="4B46B59A" w14:textId="77777777" w:rsidR="00643D86" w:rsidRDefault="00E06C7A" w:rsidP="00643D86">
      <w:r w:rsidRPr="00B44CE2">
        <w:rPr>
          <w:b/>
        </w:rPr>
        <w:t>Annotering</w:t>
      </w:r>
      <w:r>
        <w:rPr>
          <w:b/>
        </w:rPr>
        <w:br/>
      </w:r>
      <w:r>
        <w:t>Föranleder ingen annotering.</w:t>
      </w:r>
    </w:p>
    <w:p w14:paraId="4B46B59B" w14:textId="77777777" w:rsidR="00643D86" w:rsidRDefault="00E06C7A" w:rsidP="00643D86">
      <w:pPr>
        <w:pStyle w:val="Rubrik1"/>
      </w:pPr>
      <w:bookmarkStart w:id="4" w:name="_Toc256000005"/>
      <w:r>
        <w:rPr>
          <w:noProof/>
        </w:rPr>
        <w:lastRenderedPageBreak/>
        <w:t>Commission Directive (EU) .../… of XXX amending Directive 2009/43/EC of the European Parliament and of the Council as regards the list of defence-related products</w:t>
      </w:r>
      <w:bookmarkEnd w:id="4"/>
    </w:p>
    <w:p w14:paraId="4B46B59C" w14:textId="2977F25B" w:rsidR="00643D86" w:rsidRDefault="00E06C7A" w:rsidP="00643D86">
      <w:pPr>
        <w:rPr>
          <w:lang w:val="en-US"/>
        </w:rPr>
      </w:pPr>
      <w:r>
        <w:rPr>
          <w:noProof/>
          <w:lang w:val="en-US"/>
        </w:rPr>
        <w:t>Decision</w:t>
      </w:r>
      <w:r>
        <w:rPr>
          <w:lang w:val="en-US"/>
        </w:rPr>
        <w:t xml:space="preserve"> not to oppose adoption</w:t>
      </w:r>
      <w:r w:rsidR="00174868">
        <w:rPr>
          <w:lang w:val="en-US"/>
        </w:rPr>
        <w:t xml:space="preserve"> </w:t>
      </w:r>
      <w:r>
        <w:rPr>
          <w:lang w:val="en-US"/>
        </w:rPr>
        <w:br/>
      </w:r>
      <w:r>
        <w:rPr>
          <w:noProof/>
          <w:lang w:val="en-US"/>
        </w:rPr>
        <w:t>5517</w:t>
      </w:r>
      <w:r>
        <w:rPr>
          <w:lang w:val="en-US"/>
        </w:rPr>
        <w:t>/16 MI 32 COMPET 20 POLARM 1 CFSP/PESC 69 COARM 22DELACT 5</w:t>
      </w:r>
      <w:r w:rsidR="00174868">
        <w:rPr>
          <w:lang w:val="en-US"/>
        </w:rPr>
        <w:t xml:space="preserve"> </w:t>
      </w:r>
      <w:r>
        <w:rPr>
          <w:lang w:val="en-US"/>
        </w:rPr>
        <w:t>15295/15 MI 796 COMPET 564 POLARM 11 CFSP/PESC 861 COARM 262DELACT 171+ ADD 1</w:t>
      </w:r>
    </w:p>
    <w:p w14:paraId="4B46B59D" w14:textId="3AB0F532" w:rsidR="00643D86" w:rsidRDefault="00E06C7A" w:rsidP="00643D86">
      <w:r>
        <w:rPr>
          <w:b/>
        </w:rPr>
        <w:t>Ansvarigt statsråd</w:t>
      </w:r>
      <w:r>
        <w:rPr>
          <w:b/>
        </w:rPr>
        <w:br/>
      </w:r>
      <w:r>
        <w:t>Margot Wallström</w:t>
      </w:r>
    </w:p>
    <w:p w14:paraId="5ABB353A" w14:textId="77FFECBD" w:rsidR="00E06C7A" w:rsidRPr="00E06C7A" w:rsidRDefault="00E06C7A" w:rsidP="00E06C7A">
      <w:r w:rsidRPr="00B44CE2">
        <w:rPr>
          <w:b/>
        </w:rPr>
        <w:t>Annotering</w:t>
      </w:r>
      <w:r>
        <w:rPr>
          <w:b/>
        </w:rPr>
        <w:br/>
      </w:r>
      <w:r w:rsidRPr="00E06C7A">
        <w:rPr>
          <w:b/>
        </w:rPr>
        <w:t>Avsikt med behandlingen i rådet:</w:t>
      </w:r>
      <w:r w:rsidRPr="00E06C7A">
        <w:t xml:space="preserve"> Rådet föreslås besluta att inte motsätta sig utkast till åtgärd.</w:t>
      </w:r>
    </w:p>
    <w:p w14:paraId="569932D0" w14:textId="302A0F8A" w:rsidR="00E06C7A" w:rsidRPr="00E06C7A" w:rsidRDefault="00E06C7A" w:rsidP="00E06C7A">
      <w:r w:rsidRPr="00E06C7A">
        <w:rPr>
          <w:b/>
        </w:rPr>
        <w:t>Hur regeringen ställer sig till den blivande A-punkten</w:t>
      </w:r>
      <w:r w:rsidRPr="00E06C7A">
        <w:t xml:space="preserve">: Regeringen avser rösta ja i rådet. </w:t>
      </w:r>
    </w:p>
    <w:p w14:paraId="3C761DB3" w14:textId="58A2FBB8" w:rsidR="00E06C7A" w:rsidRPr="00E06C7A" w:rsidRDefault="00E06C7A" w:rsidP="00E06C7A">
      <w:r w:rsidRPr="00E06C7A">
        <w:rPr>
          <w:b/>
        </w:rPr>
        <w:t>Bakgrund</w:t>
      </w:r>
      <w:r w:rsidRPr="00E06C7A">
        <w:t xml:space="preserve">: Europaparlamentets och rådets direktiv 2009/43/EG av den 6 maj 2009 om förenkling av villkoren för överföring av försvarsrelaterade produkter inom gemenskapen (det s.k. ICT-direktivet) ska det finnas en bilaga som förtecknar de produkter som avses med direktivet. </w:t>
      </w:r>
    </w:p>
    <w:p w14:paraId="0A7426E7" w14:textId="7F9FB2D5" w:rsidR="00E06C7A" w:rsidRPr="00E06C7A" w:rsidRDefault="00E06C7A" w:rsidP="00E06C7A">
      <w:r w:rsidRPr="00E06C7A">
        <w:t>Den 9 februari 2015 antog rådet en uppdaterad bilaga till Rådets gemensamma ståndpunkt (2008/944/GUSP) om fastställande av gemensamma regler för kontrollen av export av militär teknik och krigsmateriel. Som en följd av detta lade Kommissionen den 11 december 2015 fram ett utkast till åtgärd som innebär att motsvarande förändringar sker i bilagan till ICT-direktivet.</w:t>
      </w:r>
    </w:p>
    <w:p w14:paraId="4B46B5A0" w14:textId="0648AC8C" w:rsidR="00643D86" w:rsidRDefault="00E06C7A" w:rsidP="00643D86">
      <w:r w:rsidRPr="00E06C7A">
        <w:t>Då Kommissions förslag överensstämmer med den av rådet antagna bilagan saknas anledning att motsätta sig utkastet till åtgärd.</w:t>
      </w:r>
    </w:p>
    <w:p w14:paraId="4B46B5A1" w14:textId="77777777" w:rsidR="00643D86" w:rsidRDefault="00E06C7A" w:rsidP="00643D86">
      <w:pPr>
        <w:pStyle w:val="Rubrik1"/>
      </w:pPr>
      <w:bookmarkStart w:id="5" w:name="_Toc256000006"/>
      <w:r>
        <w:rPr>
          <w:noProof/>
        </w:rPr>
        <w:t>Commission Directive ../…/EU of XXX amending Annex II to Directive 2000/53/EC of the European Parliament and of the Council on the end-of-life vehicles</w:t>
      </w:r>
      <w:bookmarkEnd w:id="5"/>
    </w:p>
    <w:p w14:paraId="4B46B5A2" w14:textId="51CD714C" w:rsidR="00643D86" w:rsidRDefault="00E06C7A" w:rsidP="00643D86">
      <w:pPr>
        <w:rPr>
          <w:lang w:val="en-US"/>
        </w:rPr>
      </w:pPr>
      <w:r>
        <w:rPr>
          <w:noProof/>
          <w:lang w:val="en-US"/>
        </w:rPr>
        <w:t>Decision</w:t>
      </w:r>
      <w:r>
        <w:rPr>
          <w:lang w:val="en-US"/>
        </w:rPr>
        <w:t xml:space="preserve"> not to oppose adoption</w:t>
      </w:r>
      <w:r w:rsidR="00174868">
        <w:rPr>
          <w:lang w:val="en-US"/>
        </w:rPr>
        <w:t xml:space="preserve"> </w:t>
      </w:r>
      <w:r>
        <w:rPr>
          <w:lang w:val="en-US"/>
        </w:rPr>
        <w:br/>
      </w:r>
      <w:r>
        <w:rPr>
          <w:noProof/>
          <w:lang w:val="en-US"/>
        </w:rPr>
        <w:t>5488</w:t>
      </w:r>
      <w:r>
        <w:rPr>
          <w:lang w:val="en-US"/>
        </w:rPr>
        <w:t>/16 ENV 22 ENT 145120/16 ENV 2 ENT 1+ ADD 1</w:t>
      </w:r>
    </w:p>
    <w:p w14:paraId="4B46B5A3" w14:textId="77777777" w:rsidR="00643D86" w:rsidRDefault="00E06C7A" w:rsidP="00643D86">
      <w:r>
        <w:rPr>
          <w:b/>
        </w:rPr>
        <w:t>Ansvarigt statsråd</w:t>
      </w:r>
      <w:r>
        <w:rPr>
          <w:b/>
        </w:rPr>
        <w:br/>
      </w:r>
      <w:r>
        <w:rPr>
          <w:noProof/>
        </w:rPr>
        <w:t xml:space="preserve">Åsa Romson </w:t>
      </w:r>
    </w:p>
    <w:p w14:paraId="4B46B5A7" w14:textId="31CB216B" w:rsidR="009911D2" w:rsidRDefault="00E06C7A" w:rsidP="00174868">
      <w:r w:rsidRPr="00B44CE2">
        <w:rPr>
          <w:b/>
        </w:rPr>
        <w:t>Annotering</w:t>
      </w:r>
      <w:r>
        <w:rPr>
          <w:b/>
        </w:rPr>
        <w:br/>
      </w:r>
      <w:r>
        <w:rPr>
          <w:b/>
          <w:bCs/>
        </w:rPr>
        <w:t>Avsikt med behandlingen i rådet:</w:t>
      </w:r>
      <w:r>
        <w:t xml:space="preserve"> Att inte emotsätta sig antagande av Kommissionens direktiv (EU) .../…om ändring av bilaga II till Europaparlamentets och rådets direktiv 2000/53/EG om uttjänta fordon </w:t>
      </w:r>
    </w:p>
    <w:p w14:paraId="4B46B5A9" w14:textId="083A58E7" w:rsidR="009911D2" w:rsidRDefault="00E06C7A">
      <w:pPr>
        <w:spacing w:after="280" w:afterAutospacing="1"/>
      </w:pPr>
      <w:r>
        <w:rPr>
          <w:b/>
          <w:bCs/>
        </w:rPr>
        <w:t>Hur regeringen ställer sig till den blivande A-punkten:</w:t>
      </w:r>
      <w:r>
        <w:t xml:space="preserve"> Regeringen stöder förslaget </w:t>
      </w:r>
    </w:p>
    <w:p w14:paraId="4B46B5AB" w14:textId="17F031F9" w:rsidR="009911D2" w:rsidRDefault="00E06C7A">
      <w:pPr>
        <w:spacing w:after="280" w:afterAutospacing="1"/>
      </w:pPr>
      <w:r>
        <w:rPr>
          <w:b/>
          <w:bCs/>
        </w:rPr>
        <w:t>Bakgrund:</w:t>
      </w:r>
      <w:r w:rsidR="00174868">
        <w:rPr>
          <w:b/>
          <w:bCs/>
        </w:rPr>
        <w:t xml:space="preserve"> </w:t>
      </w:r>
      <w:r>
        <w:t>Direktivet om uttjänta fordon förbjuder användning av bly, kvicksilver, kadmium och sexvärt krom i material och komponenter i fordon som släpps ut på marknaden efter den 1 juli 2003.</w:t>
      </w:r>
      <w:r>
        <w:br/>
        <w:t xml:space="preserve"> I bilaga II till direktivet listas material och komponenter som är undantagna från förbudet.  Kommissionen skulle 2014 se över undantagen i 8 e, 8 f, 8 g, 8 h 8 j och 10 d. En bedömning av den tekniska och vetenskapliga utvecklingen har visat att användningen av bly i </w:t>
      </w:r>
      <w:r>
        <w:lastRenderedPageBreak/>
        <w:t>de tillämpningar som omfattas av undantag 8 h, 8 j och 10 d inte bör förlängas, eftersom användningen av bly i dessa tillämpningar kan undvikas.</w:t>
      </w:r>
      <w:r>
        <w:br/>
        <w:t>Kommissionen </w:t>
      </w:r>
      <w:r w:rsidR="008B2E85">
        <w:t>gör bedömning</w:t>
      </w:r>
      <w:r>
        <w:t> att den tekniska och vetenskapliga utvecklingen har visat att användningen av bly i de tillämpningar som omfattas av undantagen 8 e, 8 f och 8 g även fortsättningsvis inte går att undvika, eftersom det saknas alternativ. Men eftersom det finns information om möjliga framtida blyersättningar för dessa tillämpningar, är det lämpligt att införa ett översynsdatum till 2019. Kommissionen föreslår således att direktivet bilaga II ändras enligt detta.</w:t>
      </w:r>
    </w:p>
    <w:p w14:paraId="4B46B5AD" w14:textId="249F2CE1" w:rsidR="00FB32B9" w:rsidRDefault="00E06C7A">
      <w:pPr>
        <w:spacing w:after="280" w:afterAutospacing="1"/>
        <w:rPr>
          <w:noProof/>
        </w:rPr>
      </w:pPr>
      <w:r>
        <w:t>SE röstade för förslaget i kommittén och har inga invändningar</w:t>
      </w:r>
    </w:p>
    <w:p w14:paraId="4B46B5AE" w14:textId="77777777" w:rsidR="00643D86" w:rsidRDefault="00E06C7A" w:rsidP="00643D86">
      <w:pPr>
        <w:pStyle w:val="Rubrik1"/>
      </w:pPr>
      <w:bookmarkStart w:id="6" w:name="_Toc256000007"/>
      <w:r>
        <w:rPr>
          <w:noProof/>
        </w:rPr>
        <w:t>Commission Delegated Regulation (EU) …/... of 17.12.2015 supplementing Regulation (EU) No 952/2013 of the European Parliament and of the Council as regards transitional rules for certain provisions of the Union Customs Code where the relevant electronic systems are not yet operational and amending Delegated Regulation (EU) 2015/…</w:t>
      </w:r>
      <w:bookmarkEnd w:id="6"/>
    </w:p>
    <w:p w14:paraId="4B46B5AF" w14:textId="11674B9A" w:rsidR="00643D86" w:rsidRDefault="00E06C7A" w:rsidP="00643D86">
      <w:pPr>
        <w:rPr>
          <w:lang w:val="en-US"/>
        </w:rPr>
      </w:pPr>
      <w:r>
        <w:rPr>
          <w:noProof/>
          <w:lang w:val="en-US"/>
        </w:rPr>
        <w:t>Intention</w:t>
      </w:r>
      <w:r>
        <w:rPr>
          <w:lang w:val="en-US"/>
        </w:rPr>
        <w:t xml:space="preserve"> not to raise objections to a delegated act</w:t>
      </w:r>
      <w:r w:rsidR="00174868">
        <w:rPr>
          <w:lang w:val="en-US"/>
        </w:rPr>
        <w:t xml:space="preserve"> </w:t>
      </w:r>
      <w:r>
        <w:rPr>
          <w:lang w:val="en-US"/>
        </w:rPr>
        <w:br/>
      </w:r>
      <w:r>
        <w:rPr>
          <w:noProof/>
          <w:lang w:val="en-US"/>
        </w:rPr>
        <w:t>5822</w:t>
      </w:r>
      <w:r>
        <w:rPr>
          <w:lang w:val="en-US"/>
        </w:rPr>
        <w:t>/16 UD 18 DELACT 13</w:t>
      </w:r>
      <w:r w:rsidR="00174868">
        <w:rPr>
          <w:lang w:val="en-US"/>
        </w:rPr>
        <w:t xml:space="preserve"> </w:t>
      </w:r>
      <w:r>
        <w:rPr>
          <w:lang w:val="en-US"/>
        </w:rPr>
        <w:t>15515/15 UD 263 DELACT 178+ ADD 1</w:t>
      </w:r>
    </w:p>
    <w:p w14:paraId="4B46B5B0" w14:textId="77777777" w:rsidR="00643D86" w:rsidRDefault="00E06C7A" w:rsidP="00643D86">
      <w:r>
        <w:rPr>
          <w:b/>
        </w:rPr>
        <w:t>Ansvarigt statsråd</w:t>
      </w:r>
      <w:r>
        <w:rPr>
          <w:b/>
        </w:rPr>
        <w:br/>
      </w:r>
      <w:r>
        <w:rPr>
          <w:noProof/>
        </w:rPr>
        <w:t>Magdalena Andersson</w:t>
      </w:r>
    </w:p>
    <w:p w14:paraId="4B46B5B3" w14:textId="77777777" w:rsidR="00643D86" w:rsidRDefault="00E06C7A" w:rsidP="00643D86">
      <w:r w:rsidRPr="00B44CE2">
        <w:rPr>
          <w:b/>
        </w:rPr>
        <w:t>Annotering</w:t>
      </w:r>
      <w:r>
        <w:rPr>
          <w:b/>
        </w:rPr>
        <w:br/>
      </w:r>
      <w:r>
        <w:rPr>
          <w:b/>
          <w:bCs/>
        </w:rPr>
        <w:t>Avsikt med behandlingen i rådet:</w:t>
      </w:r>
      <w:r>
        <w:t xml:space="preserve"> Beslut om att inte göra invändningar mot den delegerade förordningen. </w:t>
      </w:r>
    </w:p>
    <w:p w14:paraId="4B46B5B4" w14:textId="77777777" w:rsidR="009911D2" w:rsidRDefault="00E06C7A">
      <w:pPr>
        <w:spacing w:after="280" w:afterAutospacing="1"/>
      </w:pPr>
      <w:r>
        <w:rPr>
          <w:b/>
          <w:bCs/>
        </w:rPr>
        <w:t>Hur regeringen ställer sig till den blivande A-punkten:</w:t>
      </w:r>
      <w:r>
        <w:t xml:space="preserve"> Vi har inga invändningar mot den delegerade förordningen och kan godkänna förslaget till beslut. </w:t>
      </w:r>
    </w:p>
    <w:p w14:paraId="4B46B5B6" w14:textId="06AF342A" w:rsidR="00FB32B9" w:rsidRDefault="00E06C7A">
      <w:pPr>
        <w:spacing w:after="280" w:afterAutospacing="1"/>
        <w:rPr>
          <w:noProof/>
        </w:rPr>
      </w:pPr>
      <w:r>
        <w:rPr>
          <w:b/>
          <w:bCs/>
        </w:rPr>
        <w:t xml:space="preserve">Bakgrund: </w:t>
      </w:r>
      <w:r>
        <w:t>Den 1 maj i år ska förordning (EU) nr 952/2013, unionstullkodexen, börja tillämpas. Eftersom samtliga IT-system inte kommer att vara på plats till dess, innehåller den delegerade förordningen bestämmelser som gör det möjligt att under en övergångsperiod (2016-2020) använda befintliga system eller pappersdeklarationer för genomförande av unionstullkodexen. Under tiden pågår arbetet med att utveckla, uppgradera och efterhand införa de nödvändiga IT-systemen.</w:t>
      </w:r>
    </w:p>
    <w:p w14:paraId="4B46B5B7" w14:textId="77777777" w:rsidR="00643D86" w:rsidRDefault="00E06C7A" w:rsidP="00643D86">
      <w:pPr>
        <w:pStyle w:val="Rubrik1"/>
      </w:pPr>
      <w:bookmarkStart w:id="7" w:name="_Toc256000008"/>
      <w:r>
        <w:rPr>
          <w:noProof/>
        </w:rPr>
        <w:t>Preparation of the 207th session of the ICAO Council</w:t>
      </w:r>
      <w:r>
        <w:rPr>
          <w:noProof/>
        </w:rPr>
        <w:br/>
        <w:t>(Montreal, 15 February - 11 March 2016)</w:t>
      </w:r>
      <w:bookmarkEnd w:id="7"/>
    </w:p>
    <w:p w14:paraId="4B46B5B8" w14:textId="77777777" w:rsidR="00643D86" w:rsidRDefault="00E06C7A" w:rsidP="00643D86">
      <w:pPr>
        <w:rPr>
          <w:lang w:val="en-US"/>
        </w:rPr>
      </w:pPr>
      <w:r>
        <w:rPr>
          <w:noProof/>
          <w:lang w:val="en-US"/>
        </w:rPr>
        <w:t>European</w:t>
      </w:r>
      <w:r>
        <w:rPr>
          <w:lang w:val="en-US"/>
        </w:rPr>
        <w:t xml:space="preserve"> Union coordination of a common position5784/16 AVIATION 18 RELEX 76 ENV 40</w:t>
      </w:r>
      <w:r>
        <w:rPr>
          <w:lang w:val="en-US"/>
        </w:rPr>
        <w:br/>
      </w:r>
      <w:r>
        <w:rPr>
          <w:noProof/>
          <w:lang w:val="en-US"/>
        </w:rPr>
        <w:t>5784</w:t>
      </w:r>
      <w:r>
        <w:rPr>
          <w:lang w:val="en-US"/>
        </w:rPr>
        <w:t>/16 AVIATION 18 RELEX 76 ENV 40</w:t>
      </w:r>
    </w:p>
    <w:p w14:paraId="4B46B5B9" w14:textId="77777777" w:rsidR="00643D86" w:rsidRDefault="00E06C7A" w:rsidP="00643D86">
      <w:r>
        <w:rPr>
          <w:b/>
        </w:rPr>
        <w:t>Ansvarigt statsråd</w:t>
      </w:r>
      <w:r>
        <w:rPr>
          <w:b/>
        </w:rPr>
        <w:br/>
      </w:r>
      <w:r>
        <w:rPr>
          <w:noProof/>
        </w:rPr>
        <w:t>Anna Johansson</w:t>
      </w:r>
    </w:p>
    <w:p w14:paraId="4B46B5BE" w14:textId="616B7391" w:rsidR="009911D2" w:rsidRDefault="00E06C7A" w:rsidP="00174868">
      <w:r w:rsidRPr="00B44CE2">
        <w:rPr>
          <w:b/>
        </w:rPr>
        <w:t>Annotering</w:t>
      </w:r>
      <w:r>
        <w:rPr>
          <w:b/>
        </w:rPr>
        <w:br/>
      </w:r>
      <w:r>
        <w:rPr>
          <w:b/>
          <w:bCs/>
        </w:rPr>
        <w:t>Avsikt med behandlingen i rådet:</w:t>
      </w:r>
      <w:r w:rsidR="00174868">
        <w:rPr>
          <w:b/>
          <w:bCs/>
        </w:rPr>
        <w:t xml:space="preserve"> </w:t>
      </w:r>
      <w:r>
        <w:t>Att godkänna kommissionens förslag till EU-position. </w:t>
      </w:r>
    </w:p>
    <w:p w14:paraId="4B46B5C0" w14:textId="339D696E" w:rsidR="009911D2" w:rsidRDefault="00E06C7A">
      <w:pPr>
        <w:spacing w:after="280" w:afterAutospacing="1"/>
      </w:pPr>
      <w:r>
        <w:rPr>
          <w:b/>
          <w:bCs/>
        </w:rPr>
        <w:lastRenderedPageBreak/>
        <w:t>Hur regeringen ställer sig till den blivande A-punkten:</w:t>
      </w:r>
      <w:r>
        <w:t xml:space="preserve"> Regeringen avser rösta ja till förslaget </w:t>
      </w:r>
    </w:p>
    <w:p w14:paraId="4B46B5C2" w14:textId="71251BD7" w:rsidR="009911D2" w:rsidRDefault="00E06C7A">
      <w:pPr>
        <w:spacing w:after="280" w:afterAutospacing="1"/>
      </w:pPr>
      <w:r>
        <w:rPr>
          <w:b/>
          <w:bCs/>
        </w:rPr>
        <w:t>Bakgrund:</w:t>
      </w:r>
      <w:r w:rsidR="00174868">
        <w:rPr>
          <w:b/>
          <w:bCs/>
        </w:rPr>
        <w:t xml:space="preserve"> </w:t>
      </w:r>
      <w:r>
        <w:t>Inför koordineringen av EU:s position vid den 207:e sessionen i Icaos råd (Montreal den 15 februari - 11 mars 2016), har kommissionen presenterat ett förslag till sådan position när det gäller områdena flygsäkerhet och flygnavigering samt luftfartsskydd.</w:t>
      </w:r>
    </w:p>
    <w:p w14:paraId="4B46B5C3" w14:textId="77777777" w:rsidR="009911D2" w:rsidRDefault="00E06C7A">
      <w:pPr>
        <w:spacing w:after="280" w:afterAutospacing="1"/>
      </w:pPr>
      <w:r>
        <w:t>Kommissionens förslag fick allmänt stöd i arbetsgruppen för luftfart vid dess möte den 5 februari 2016.</w:t>
      </w:r>
    </w:p>
    <w:p w14:paraId="4B46B5C4" w14:textId="77777777" w:rsidR="009911D2" w:rsidRDefault="00E06C7A">
      <w:pPr>
        <w:spacing w:after="280" w:afterAutospacing="1"/>
      </w:pPr>
      <w:r>
        <w:t>Rådets beslut nu innebär att förslaget till EU-position godkänns.</w:t>
      </w:r>
    </w:p>
    <w:p w14:paraId="4B46B5C5" w14:textId="77777777" w:rsidR="00FB32B9" w:rsidRDefault="008B2E85">
      <w:pPr>
        <w:spacing w:after="280" w:afterAutospacing="1"/>
        <w:rPr>
          <w:noProof/>
        </w:rPr>
      </w:pPr>
    </w:p>
    <w:bookmarkEnd w:id="1"/>
    <w:p w14:paraId="4B46B5C6" w14:textId="77777777" w:rsidR="00643D86" w:rsidRPr="00643D86" w:rsidRDefault="008B2E85"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6B5D8" w14:textId="77777777" w:rsidR="004F692C" w:rsidRDefault="00E06C7A">
      <w:pPr>
        <w:spacing w:after="0" w:line="240" w:lineRule="auto"/>
      </w:pPr>
      <w:r>
        <w:separator/>
      </w:r>
    </w:p>
  </w:endnote>
  <w:endnote w:type="continuationSeparator" w:id="0">
    <w:p w14:paraId="4B46B5DA" w14:textId="77777777" w:rsidR="004F692C" w:rsidRDefault="00E0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6B5D4" w14:textId="77777777" w:rsidR="004F692C" w:rsidRDefault="00E06C7A">
      <w:pPr>
        <w:spacing w:after="0" w:line="240" w:lineRule="auto"/>
      </w:pPr>
      <w:r>
        <w:separator/>
      </w:r>
    </w:p>
  </w:footnote>
  <w:footnote w:type="continuationSeparator" w:id="0">
    <w:p w14:paraId="4B46B5D6" w14:textId="77777777" w:rsidR="004F692C" w:rsidRDefault="00E06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20747"/>
      <w:docPartObj>
        <w:docPartGallery w:val="Page Numbers (Top of Page)"/>
        <w:docPartUnique/>
      </w:docPartObj>
    </w:sdtPr>
    <w:sdtEndPr/>
    <w:sdtContent>
      <w:p w14:paraId="6A59F206" w14:textId="716D811F" w:rsidR="00174868" w:rsidRDefault="00174868">
        <w:pPr>
          <w:pStyle w:val="Sidhuvud"/>
          <w:jc w:val="right"/>
        </w:pPr>
        <w:r>
          <w:fldChar w:fldCharType="begin"/>
        </w:r>
        <w:r>
          <w:instrText>PAGE   \* MERGEFORMAT</w:instrText>
        </w:r>
        <w:r>
          <w:fldChar w:fldCharType="separate"/>
        </w:r>
        <w:r w:rsidR="008B2E85">
          <w:rPr>
            <w:noProof/>
          </w:rPr>
          <w:t>2</w:t>
        </w:r>
        <w:r>
          <w:fldChar w:fldCharType="end"/>
        </w:r>
      </w:p>
    </w:sdtContent>
  </w:sdt>
  <w:p w14:paraId="4B46B5C8" w14:textId="77777777" w:rsidR="006F1C0D" w:rsidRDefault="008B2E85"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911D2" w14:paraId="4B46B5CE" w14:textId="77777777" w:rsidTr="006E71D7">
      <w:tc>
        <w:tcPr>
          <w:tcW w:w="4606" w:type="dxa"/>
        </w:tcPr>
        <w:p w14:paraId="4B46B5C9" w14:textId="77777777" w:rsidR="006E71D7" w:rsidRDefault="00E06C7A" w:rsidP="00752770">
          <w:pPr>
            <w:pStyle w:val="Sidhuvud"/>
            <w:ind w:left="0"/>
          </w:pPr>
          <w:r>
            <w:rPr>
              <w:noProof/>
              <w:lang w:eastAsia="sv-SE"/>
            </w:rPr>
            <w:drawing>
              <wp:inline distT="0" distB="0" distL="0" distR="0" wp14:anchorId="4B46B5D4" wp14:editId="4B46B5D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B46B5CA" w14:textId="77777777" w:rsidR="00FB32B9" w:rsidRDefault="008B2E85" w:rsidP="00FB32B9">
          <w:pPr>
            <w:ind w:right="916"/>
            <w:rPr>
              <w:rFonts w:ascii="TradeGothic" w:hAnsi="TradeGothic"/>
              <w:b/>
            </w:rPr>
          </w:pPr>
        </w:p>
        <w:p w14:paraId="4B46B5CB" w14:textId="77777777" w:rsidR="00FB32B9" w:rsidRDefault="00E06C7A" w:rsidP="00FB32B9">
          <w:pPr>
            <w:ind w:right="916"/>
          </w:pPr>
          <w:r>
            <w:rPr>
              <w:rFonts w:ascii="TradeGothic" w:hAnsi="TradeGothic"/>
              <w:b/>
            </w:rPr>
            <w:t>Promemoria</w:t>
          </w:r>
        </w:p>
        <w:p w14:paraId="4B46B5CC" w14:textId="77777777" w:rsidR="00FB32B9" w:rsidRDefault="008B2E85" w:rsidP="00FB32B9">
          <w:pPr>
            <w:jc w:val="right"/>
          </w:pPr>
        </w:p>
        <w:p w14:paraId="4B46B5CD" w14:textId="18787E9A" w:rsidR="006E71D7" w:rsidRDefault="00E06C7A" w:rsidP="00FB32B9">
          <w:pPr>
            <w:ind w:right="916"/>
          </w:pPr>
          <w:r>
            <w:rPr>
              <w:rFonts w:ascii="TradeGothic" w:hAnsi="TradeGothic"/>
              <w:b/>
              <w:noProof/>
            </w:rPr>
            <w:t>2016-02-</w:t>
          </w:r>
          <w:r w:rsidR="00174868">
            <w:rPr>
              <w:rFonts w:ascii="TradeGothic" w:hAnsi="TradeGothic"/>
              <w:b/>
              <w:noProof/>
            </w:rPr>
            <w:t>10</w:t>
          </w:r>
          <w:r w:rsidRPr="00934953">
            <w:t xml:space="preserve"> </w:t>
          </w:r>
        </w:p>
      </w:tc>
    </w:tr>
  </w:tbl>
  <w:p w14:paraId="4B46B5CF" w14:textId="77777777" w:rsidR="00FB32B9" w:rsidRDefault="008B2E85" w:rsidP="00FB32B9">
    <w:pPr>
      <w:pStyle w:val="Avsndare"/>
      <w:framePr w:w="0" w:hRule="auto" w:hSpace="0" w:wrap="auto" w:vAnchor="margin" w:hAnchor="text" w:xAlign="left" w:yAlign="inline"/>
      <w:rPr>
        <w:b/>
        <w:i w:val="0"/>
        <w:sz w:val="22"/>
      </w:rPr>
    </w:pPr>
  </w:p>
  <w:p w14:paraId="4B46B5D0" w14:textId="77777777" w:rsidR="00FB32B9" w:rsidRDefault="00E06C7A" w:rsidP="00FB32B9">
    <w:pPr>
      <w:pStyle w:val="Avsndare"/>
      <w:framePr w:w="0" w:hRule="auto" w:hSpace="0" w:wrap="auto" w:vAnchor="margin" w:hAnchor="text" w:xAlign="left" w:yAlign="inline"/>
      <w:rPr>
        <w:b/>
        <w:i w:val="0"/>
        <w:sz w:val="22"/>
      </w:rPr>
    </w:pPr>
    <w:r>
      <w:rPr>
        <w:b/>
        <w:i w:val="0"/>
        <w:sz w:val="22"/>
      </w:rPr>
      <w:t>Statsrådsberedningen</w:t>
    </w:r>
  </w:p>
  <w:p w14:paraId="4B46B5D1" w14:textId="77777777" w:rsidR="00FB32B9" w:rsidRDefault="008B2E85" w:rsidP="00FB32B9">
    <w:pPr>
      <w:pStyle w:val="Avsndare"/>
      <w:framePr w:w="0" w:hRule="auto" w:hSpace="0" w:wrap="auto" w:vAnchor="margin" w:hAnchor="text" w:xAlign="left" w:yAlign="inline"/>
    </w:pPr>
  </w:p>
  <w:p w14:paraId="4B46B5D2" w14:textId="77777777" w:rsidR="00FB32B9" w:rsidRDefault="00E06C7A" w:rsidP="00FB32B9">
    <w:pPr>
      <w:pStyle w:val="Avsndare"/>
      <w:framePr w:w="0" w:hRule="auto" w:hSpace="0" w:wrap="auto" w:vAnchor="margin" w:hAnchor="text" w:xAlign="left" w:yAlign="inline"/>
    </w:pPr>
    <w:r>
      <w:t>EU-kansliet</w:t>
    </w:r>
  </w:p>
  <w:p w14:paraId="4B46B5D3" w14:textId="77777777" w:rsidR="0012376B" w:rsidRDefault="008B2E8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13969"/>
    <w:multiLevelType w:val="hybridMultilevel"/>
    <w:tmpl w:val="4246E53E"/>
    <w:lvl w:ilvl="0" w:tplc="E8C42768">
      <w:start w:val="1"/>
      <w:numFmt w:val="lowerLetter"/>
      <w:lvlText w:val="%1)"/>
      <w:lvlJc w:val="left"/>
      <w:pPr>
        <w:ind w:left="1074" w:hanging="360"/>
      </w:pPr>
      <w:rPr>
        <w:rFonts w:hint="default"/>
        <w:b w:val="0"/>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44DAEF70">
      <w:start w:val="1"/>
      <w:numFmt w:val="decimal"/>
      <w:pStyle w:val="Rubrik1"/>
      <w:lvlText w:val="%1."/>
      <w:lvlJc w:val="left"/>
      <w:pPr>
        <w:ind w:left="720" w:hanging="360"/>
      </w:pPr>
    </w:lvl>
    <w:lvl w:ilvl="1" w:tplc="373EA58E" w:tentative="1">
      <w:start w:val="1"/>
      <w:numFmt w:val="lowerLetter"/>
      <w:lvlText w:val="%2."/>
      <w:lvlJc w:val="left"/>
      <w:pPr>
        <w:ind w:left="1440" w:hanging="360"/>
      </w:pPr>
    </w:lvl>
    <w:lvl w:ilvl="2" w:tplc="D0109F66" w:tentative="1">
      <w:start w:val="1"/>
      <w:numFmt w:val="lowerRoman"/>
      <w:lvlText w:val="%3."/>
      <w:lvlJc w:val="right"/>
      <w:pPr>
        <w:ind w:left="2160" w:hanging="180"/>
      </w:pPr>
    </w:lvl>
    <w:lvl w:ilvl="3" w:tplc="A8844AE6" w:tentative="1">
      <w:start w:val="1"/>
      <w:numFmt w:val="decimal"/>
      <w:lvlText w:val="%4."/>
      <w:lvlJc w:val="left"/>
      <w:pPr>
        <w:ind w:left="2880" w:hanging="360"/>
      </w:pPr>
    </w:lvl>
    <w:lvl w:ilvl="4" w:tplc="D86A0418" w:tentative="1">
      <w:start w:val="1"/>
      <w:numFmt w:val="lowerLetter"/>
      <w:lvlText w:val="%5."/>
      <w:lvlJc w:val="left"/>
      <w:pPr>
        <w:ind w:left="3600" w:hanging="360"/>
      </w:pPr>
    </w:lvl>
    <w:lvl w:ilvl="5" w:tplc="65002E8E" w:tentative="1">
      <w:start w:val="1"/>
      <w:numFmt w:val="lowerRoman"/>
      <w:lvlText w:val="%6."/>
      <w:lvlJc w:val="right"/>
      <w:pPr>
        <w:ind w:left="4320" w:hanging="180"/>
      </w:pPr>
    </w:lvl>
    <w:lvl w:ilvl="6" w:tplc="8264ADF2" w:tentative="1">
      <w:start w:val="1"/>
      <w:numFmt w:val="decimal"/>
      <w:lvlText w:val="%7."/>
      <w:lvlJc w:val="left"/>
      <w:pPr>
        <w:ind w:left="5040" w:hanging="360"/>
      </w:pPr>
    </w:lvl>
    <w:lvl w:ilvl="7" w:tplc="A66AC990" w:tentative="1">
      <w:start w:val="1"/>
      <w:numFmt w:val="lowerLetter"/>
      <w:lvlText w:val="%8."/>
      <w:lvlJc w:val="left"/>
      <w:pPr>
        <w:ind w:left="5760" w:hanging="360"/>
      </w:pPr>
    </w:lvl>
    <w:lvl w:ilvl="8" w:tplc="56928460" w:tentative="1">
      <w:start w:val="1"/>
      <w:numFmt w:val="lowerRoman"/>
      <w:lvlText w:val="%9."/>
      <w:lvlJc w:val="right"/>
      <w:pPr>
        <w:ind w:left="6480" w:hanging="180"/>
      </w:pPr>
    </w:lvl>
  </w:abstractNum>
  <w:abstractNum w:abstractNumId="2">
    <w:nsid w:val="73990993"/>
    <w:multiLevelType w:val="hybridMultilevel"/>
    <w:tmpl w:val="3BD822EE"/>
    <w:lvl w:ilvl="0" w:tplc="3444A29A">
      <w:start w:val="1"/>
      <w:numFmt w:val="decimal"/>
      <w:lvlText w:val="%1."/>
      <w:lvlJc w:val="left"/>
      <w:pPr>
        <w:ind w:left="360" w:hanging="360"/>
      </w:pPr>
      <w:rPr>
        <w:b w:val="0"/>
      </w:rPr>
    </w:lvl>
    <w:lvl w:ilvl="1" w:tplc="9618BB0C" w:tentative="1">
      <w:start w:val="1"/>
      <w:numFmt w:val="lowerLetter"/>
      <w:lvlText w:val="%2."/>
      <w:lvlJc w:val="left"/>
      <w:pPr>
        <w:ind w:left="1080" w:hanging="360"/>
      </w:pPr>
    </w:lvl>
    <w:lvl w:ilvl="2" w:tplc="55761FC0" w:tentative="1">
      <w:start w:val="1"/>
      <w:numFmt w:val="lowerRoman"/>
      <w:lvlText w:val="%3."/>
      <w:lvlJc w:val="right"/>
      <w:pPr>
        <w:ind w:left="1800" w:hanging="180"/>
      </w:pPr>
    </w:lvl>
    <w:lvl w:ilvl="3" w:tplc="804C49D8" w:tentative="1">
      <w:start w:val="1"/>
      <w:numFmt w:val="decimal"/>
      <w:lvlText w:val="%4."/>
      <w:lvlJc w:val="left"/>
      <w:pPr>
        <w:ind w:left="2520" w:hanging="360"/>
      </w:pPr>
    </w:lvl>
    <w:lvl w:ilvl="4" w:tplc="48EC0D92" w:tentative="1">
      <w:start w:val="1"/>
      <w:numFmt w:val="lowerLetter"/>
      <w:lvlText w:val="%5."/>
      <w:lvlJc w:val="left"/>
      <w:pPr>
        <w:ind w:left="3240" w:hanging="360"/>
      </w:pPr>
    </w:lvl>
    <w:lvl w:ilvl="5" w:tplc="1E201754" w:tentative="1">
      <w:start w:val="1"/>
      <w:numFmt w:val="lowerRoman"/>
      <w:lvlText w:val="%6."/>
      <w:lvlJc w:val="right"/>
      <w:pPr>
        <w:ind w:left="3960" w:hanging="180"/>
      </w:pPr>
    </w:lvl>
    <w:lvl w:ilvl="6" w:tplc="6D2ED510" w:tentative="1">
      <w:start w:val="1"/>
      <w:numFmt w:val="decimal"/>
      <w:lvlText w:val="%7."/>
      <w:lvlJc w:val="left"/>
      <w:pPr>
        <w:ind w:left="4680" w:hanging="360"/>
      </w:pPr>
    </w:lvl>
    <w:lvl w:ilvl="7" w:tplc="77DA4D1A" w:tentative="1">
      <w:start w:val="1"/>
      <w:numFmt w:val="lowerLetter"/>
      <w:lvlText w:val="%8."/>
      <w:lvlJc w:val="left"/>
      <w:pPr>
        <w:ind w:left="5400" w:hanging="360"/>
      </w:pPr>
    </w:lvl>
    <w:lvl w:ilvl="8" w:tplc="61766BFC"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D2"/>
    <w:rsid w:val="00174868"/>
    <w:rsid w:val="004F692C"/>
    <w:rsid w:val="008B2E85"/>
    <w:rsid w:val="009911D2"/>
    <w:rsid w:val="00D136F5"/>
    <w:rsid w:val="00E06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1748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17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8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JE6N4JFJXNNF-17-41499</_dlc_DocId>
    <_dlc_DocIdUrl xmlns="8b66ae41-1ec6-402e-b662-35d1932ca064">
      <Url>http://rkdhs-sb/enhet/EUKansli/_layouts/DocIdRedir.aspx?ID=JE6N4JFJXNNF-17-41499</Url>
      <Description>JE6N4JFJXNNF-17-41499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46A9-4FB5-47FB-A74E-8C00E24D9BCE}"/>
</file>

<file path=customXml/itemProps2.xml><?xml version="1.0" encoding="utf-8"?>
<ds:datastoreItem xmlns:ds="http://schemas.openxmlformats.org/officeDocument/2006/customXml" ds:itemID="{69B6FB3A-20E3-4BE0-BCC2-91AFAAE8F735}"/>
</file>

<file path=customXml/itemProps3.xml><?xml version="1.0" encoding="utf-8"?>
<ds:datastoreItem xmlns:ds="http://schemas.openxmlformats.org/officeDocument/2006/customXml" ds:itemID="{1063B208-72A6-4D0A-8A39-04CACACBA1CB}"/>
</file>

<file path=customXml/itemProps4.xml><?xml version="1.0" encoding="utf-8"?>
<ds:datastoreItem xmlns:ds="http://schemas.openxmlformats.org/officeDocument/2006/customXml" ds:itemID="{7C929483-9E84-4055-B95C-45774B716E37}"/>
</file>

<file path=customXml/itemProps5.xml><?xml version="1.0" encoding="utf-8"?>
<ds:datastoreItem xmlns:ds="http://schemas.openxmlformats.org/officeDocument/2006/customXml" ds:itemID="{9855C642-B041-483D-B02B-137CB9921131}"/>
</file>

<file path=customXml/itemProps6.xml><?xml version="1.0" encoding="utf-8"?>
<ds:datastoreItem xmlns:ds="http://schemas.openxmlformats.org/officeDocument/2006/customXml" ds:itemID="{0311D5CE-E8C4-4B98-866F-9090FF0628DA}"/>
</file>

<file path=customXml/itemProps7.xml><?xml version="1.0" encoding="utf-8"?>
<ds:datastoreItem xmlns:ds="http://schemas.openxmlformats.org/officeDocument/2006/customXml" ds:itemID="{2800EF81-8473-4758-9DBA-2F8ACF621445}"/>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7432</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2016-02-09T14:50:00Z</dcterms:created>
  <dcterms:modified xsi:type="dcterms:W3CDTF">2016-02-09T14:50:00Z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51095539-a34d-494a-80b5-ced94d91e4ba</vt:lpwstr>
  </property>
</Properties>
</file>