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033FE" w:rsidRPr="0000182F" w:rsidRDefault="00D033FE">
      <w:pPr>
        <w:pStyle w:val="Hemstlrubrik"/>
        <w:shd w:val="clear" w:color="000000" w:fill="auto"/>
      </w:pPr>
      <w:r w:rsidRPr="0000182F">
        <w:t>Förslag till riksdagsbeslut</w:t>
      </w:r>
    </w:p>
    <w:p w:rsidR="00AE3B81" w:rsidRPr="0000182F" w:rsidRDefault="00AE3B81">
      <w:pPr>
        <w:pStyle w:val="Hemstlatt"/>
        <w:numPr>
          <w:ilvl w:val="0"/>
          <w:numId w:val="1"/>
        </w:numPr>
        <w:shd w:val="clear" w:color="000000" w:fill="auto"/>
      </w:pPr>
      <w:r w:rsidRPr="0000182F">
        <w:t>Riksdagen begär att regeringen återkommer med förslag till förtydliganden i preskriptionslagens tillämpning.</w:t>
      </w:r>
    </w:p>
    <w:p w:rsidR="00AE3B81" w:rsidRPr="0000182F" w:rsidRDefault="00AE3B81">
      <w:pPr>
        <w:pStyle w:val="Hemstlatt"/>
        <w:numPr>
          <w:ilvl w:val="0"/>
          <w:numId w:val="1"/>
        </w:numPr>
        <w:shd w:val="clear" w:color="000000" w:fill="auto"/>
      </w:pPr>
      <w:r w:rsidRPr="0000182F">
        <w:t>Riksdagen tillkännager för regeringen som sin mening vad som i motionen anförs om att den definition av begreppet näringsidkare som finns i konsumentköplagen ska införas i preskriptionsl</w:t>
      </w:r>
      <w:r w:rsidRPr="0000182F">
        <w:t>a</w:t>
      </w:r>
      <w:r w:rsidRPr="0000182F">
        <w:t>gen.</w:t>
      </w:r>
    </w:p>
    <w:p w:rsidR="00D033FE" w:rsidRPr="0000182F" w:rsidRDefault="00D033FE">
      <w:pPr>
        <w:pStyle w:val="Rubrik1"/>
        <w:shd w:val="clear" w:color="000000" w:fill="auto"/>
      </w:pPr>
      <w:r w:rsidRPr="0000182F">
        <w:t>Inledning</w:t>
      </w:r>
    </w:p>
    <w:p w:rsidR="00D033FE" w:rsidRPr="0000182F" w:rsidRDefault="00D033FE">
      <w:pPr>
        <w:shd w:val="clear" w:color="000000" w:fill="auto"/>
      </w:pPr>
      <w:r w:rsidRPr="0000182F">
        <w:t>Preskriptionslagen (PL) trädde i kraft 1981. Den huvudsakliga förändringen i förhållande till tidigare lagstiftning var att preskriptionstiden för näringsidk</w:t>
      </w:r>
      <w:r w:rsidRPr="0000182F">
        <w:t>a</w:t>
      </w:r>
      <w:r w:rsidRPr="0000182F">
        <w:t>res fordringar på enskilda medborgare skulle förkortas t</w:t>
      </w:r>
      <w:r w:rsidR="009D71DE" w:rsidRPr="0000182F">
        <w:t>ill tre år. I lagens förarbeten</w:t>
      </w:r>
      <w:r w:rsidRPr="0000182F">
        <w:t xml:space="preserve"> </w:t>
      </w:r>
      <w:r w:rsidR="009D71DE" w:rsidRPr="0000182F">
        <w:t>(</w:t>
      </w:r>
      <w:r w:rsidRPr="0000182F">
        <w:t>prop. 1979/80:119</w:t>
      </w:r>
      <w:r w:rsidR="009D71DE" w:rsidRPr="0000182F">
        <w:t>)</w:t>
      </w:r>
      <w:r w:rsidRPr="0000182F">
        <w:t xml:space="preserve"> framkommer att den treåriga preskriptionst</w:t>
      </w:r>
      <w:r w:rsidRPr="0000182F">
        <w:t>i</w:t>
      </w:r>
      <w:r w:rsidRPr="0000182F">
        <w:t>den tillkom som ett konsumentintresse. Ändringar genomfördes i syfte att näringsidkares fordringar på enskilda medborgare skall avvecklas inom en rimlig tid. Det har varit lagstiftarens avsikt att skydda medborgare mot den tioåriga preskriptionstid som gällde för fordringar före lagändringen 1981 enär denna tidsrymd ansågs orimlig.</w:t>
      </w:r>
    </w:p>
    <w:p w:rsidR="00D033FE" w:rsidRPr="0000182F" w:rsidRDefault="00D033FE">
      <w:pPr>
        <w:pStyle w:val="Normaltindrag"/>
        <w:shd w:val="clear" w:color="000000" w:fill="auto"/>
      </w:pPr>
      <w:r w:rsidRPr="0000182F">
        <w:t>Ett av de problem som debatterades redan när den nya lagen föreslogs var gränsdragningen vad gäller begreppen konsument och näringsidkare. Farh</w:t>
      </w:r>
      <w:r w:rsidRPr="0000182F">
        <w:t>å</w:t>
      </w:r>
      <w:r w:rsidRPr="0000182F">
        <w:t>gorna har dessvärre besannats och lagens innebörd har orsakat – och fortsätter att orsaka – en lång rad tvister i rättsinstanser. Besluten i dessa tvister har inte varit helt entydiga och rättsläget är alltjämt oklart</w:t>
      </w:r>
      <w:r w:rsidR="009D71DE" w:rsidRPr="0000182F">
        <w:t>.</w:t>
      </w:r>
      <w:r w:rsidRPr="0000182F">
        <w:t xml:space="preserve"> vilket utgör ett problem för rättssäkerheten.</w:t>
      </w:r>
    </w:p>
    <w:p w:rsidR="00D033FE" w:rsidRPr="0000182F" w:rsidRDefault="00D033FE">
      <w:pPr>
        <w:pStyle w:val="Rubrik1"/>
        <w:shd w:val="clear" w:color="000000" w:fill="auto"/>
      </w:pPr>
      <w:r w:rsidRPr="0000182F">
        <w:lastRenderedPageBreak/>
        <w:t>Preskriptionslagen</w:t>
      </w:r>
    </w:p>
    <w:p w:rsidR="00D033FE" w:rsidRPr="0000182F" w:rsidRDefault="00D033FE">
      <w:pPr>
        <w:shd w:val="clear" w:color="000000" w:fill="auto"/>
        <w:rPr>
          <w:rStyle w:val="CitatChar"/>
        </w:rPr>
      </w:pPr>
      <w:r w:rsidRPr="0000182F">
        <w:rPr>
          <w:szCs w:val="24"/>
        </w:rPr>
        <w:t>Enligt 2 § PL är den allmänna preskriptionstiden för e</w:t>
      </w:r>
      <w:r w:rsidRPr="0000182F">
        <w:rPr>
          <w:bCs/>
          <w:szCs w:val="24"/>
        </w:rPr>
        <w:t xml:space="preserve">n fordran tio år efter tillkomsten, om inte preskriptionen avbryts dessförinnan. Lagen säger vidare att </w:t>
      </w:r>
      <w:r w:rsidRPr="0000182F">
        <w:rPr>
          <w:rStyle w:val="CitatChar"/>
        </w:rPr>
        <w:t>”[p]reskriptionstiden är dock tre år för fordran mot en konsument, om fordringen avser en vara, tjänst eller annan nyttighet som en näringsidkare i sin yrkesmässiga verksamhet har tillhandahållit konsumenten</w:t>
      </w:r>
      <w:r w:rsidR="009D71DE" w:rsidRPr="0000182F">
        <w:rPr>
          <w:rStyle w:val="CitatChar"/>
        </w:rPr>
        <w:t xml:space="preserve"> för huvudsakl</w:t>
      </w:r>
      <w:r w:rsidR="009D71DE" w:rsidRPr="0000182F">
        <w:rPr>
          <w:rStyle w:val="CitatChar"/>
        </w:rPr>
        <w:t>i</w:t>
      </w:r>
      <w:r w:rsidR="009D71DE" w:rsidRPr="0000182F">
        <w:rPr>
          <w:rStyle w:val="CitatChar"/>
        </w:rPr>
        <w:t>gen enskilt bruk</w:t>
      </w:r>
      <w:r w:rsidRPr="0000182F">
        <w:rPr>
          <w:rStyle w:val="CitatChar"/>
        </w:rPr>
        <w:t>”.</w:t>
      </w:r>
    </w:p>
    <w:p w:rsidR="00D033FE" w:rsidRPr="0000182F" w:rsidRDefault="00D033FE">
      <w:pPr>
        <w:pStyle w:val="Rubrik1"/>
        <w:shd w:val="clear" w:color="000000" w:fill="auto"/>
      </w:pPr>
      <w:r w:rsidRPr="0000182F">
        <w:t>Propositionen</w:t>
      </w:r>
    </w:p>
    <w:p w:rsidR="00D033FE" w:rsidRPr="0000182F" w:rsidRDefault="00D033FE">
      <w:pPr>
        <w:shd w:val="clear" w:color="000000" w:fill="auto"/>
        <w:rPr>
          <w:szCs w:val="24"/>
        </w:rPr>
      </w:pPr>
      <w:r w:rsidRPr="0000182F">
        <w:rPr>
          <w:szCs w:val="24"/>
        </w:rPr>
        <w:t>I lagens förarbeten förs ganska ingående resonemang om lagändringens a</w:t>
      </w:r>
      <w:r w:rsidRPr="0000182F">
        <w:rPr>
          <w:szCs w:val="24"/>
        </w:rPr>
        <w:t>v</w:t>
      </w:r>
      <w:r w:rsidRPr="0000182F">
        <w:rPr>
          <w:szCs w:val="24"/>
        </w:rPr>
        <w:t>sikt, att skydda konsumenter mot långa preskriptionstider på fordringar från näringsidkare. Enligt propositionen skall dessa begrepp tolkas enligt följande: ”Begreppen konsument och näringsidkare har samma innebörd här som i t.ex. avtalsvillkorslagen, konsumentköplagen och konsumentkreditlagen</w:t>
      </w:r>
      <w:r w:rsidR="009D71DE" w:rsidRPr="0000182F">
        <w:rPr>
          <w:szCs w:val="24"/>
        </w:rPr>
        <w:t>.</w:t>
      </w:r>
      <w:r w:rsidRPr="0000182F">
        <w:rPr>
          <w:szCs w:val="24"/>
        </w:rPr>
        <w:t xml:space="preserve"> Med konsument avses en enskild medborgare i egenskap av privatperson</w:t>
      </w:r>
      <w:r w:rsidR="009D71DE" w:rsidRPr="0000182F">
        <w:rPr>
          <w:szCs w:val="24"/>
        </w:rPr>
        <w:t xml:space="preserve">. Termen näringsidkare </w:t>
      </w:r>
      <w:r w:rsidRPr="0000182F">
        <w:rPr>
          <w:szCs w:val="24"/>
        </w:rPr>
        <w:t>omfattar varje fysisk eller juridisk person som yrkesmässigt bedriver verksamhet av ekonomisk natur”. Vidare sades att treårspreskription skall tillämpas när ”den nyttighet som fordringen avser har tillhandahållits i näringsidkarens yrkesmässiga verksamhet”.</w:t>
      </w:r>
    </w:p>
    <w:p w:rsidR="00D033FE" w:rsidRPr="0000182F" w:rsidRDefault="00D033FE">
      <w:pPr>
        <w:pStyle w:val="Normaltindrag"/>
        <w:shd w:val="clear" w:color="000000" w:fill="auto"/>
        <w:rPr>
          <w:szCs w:val="24"/>
        </w:rPr>
      </w:pPr>
      <w:r w:rsidRPr="0000182F">
        <w:rPr>
          <w:szCs w:val="24"/>
        </w:rPr>
        <w:t>Definitionen öppnar dessvärre för flera tolkningsmöjligheter som är orsak till tvister. En fråga är exempelvis vad som menas med ”yrkesmässigt bedr</w:t>
      </w:r>
      <w:r w:rsidRPr="0000182F">
        <w:rPr>
          <w:szCs w:val="24"/>
        </w:rPr>
        <w:t>i</w:t>
      </w:r>
      <w:r w:rsidRPr="0000182F">
        <w:rPr>
          <w:szCs w:val="24"/>
        </w:rPr>
        <w:t>ver verksamhet”</w:t>
      </w:r>
      <w:r w:rsidR="00F25259" w:rsidRPr="0000182F">
        <w:rPr>
          <w:szCs w:val="24"/>
        </w:rPr>
        <w:t xml:space="preserve">. </w:t>
      </w:r>
      <w:r w:rsidRPr="0000182F">
        <w:rPr>
          <w:szCs w:val="24"/>
        </w:rPr>
        <w:t>En annan är vad som avses med ”näringsid</w:t>
      </w:r>
      <w:r w:rsidR="009D71DE" w:rsidRPr="0000182F">
        <w:rPr>
          <w:szCs w:val="24"/>
        </w:rPr>
        <w:t>karens yrkesmä</w:t>
      </w:r>
      <w:r w:rsidR="009D71DE" w:rsidRPr="0000182F">
        <w:rPr>
          <w:szCs w:val="24"/>
        </w:rPr>
        <w:t>s</w:t>
      </w:r>
      <w:r w:rsidR="009D71DE" w:rsidRPr="0000182F">
        <w:rPr>
          <w:szCs w:val="24"/>
        </w:rPr>
        <w:t>siga verksamhet”</w:t>
      </w:r>
      <w:r w:rsidR="00F25259" w:rsidRPr="0000182F">
        <w:rPr>
          <w:szCs w:val="24"/>
        </w:rPr>
        <w:t>.</w:t>
      </w:r>
    </w:p>
    <w:p w:rsidR="00D033FE" w:rsidRPr="0000182F" w:rsidRDefault="00D033FE">
      <w:pPr>
        <w:pStyle w:val="Normaltindrag"/>
        <w:shd w:val="clear" w:color="000000" w:fill="auto"/>
      </w:pPr>
      <w:r w:rsidRPr="0000182F">
        <w:rPr>
          <w:spacing w:val="-4"/>
        </w:rPr>
        <w:t>Med avsikt att förtydliga detta klargörs att treårspreskription även kan tillä</w:t>
      </w:r>
      <w:r w:rsidRPr="0000182F">
        <w:rPr>
          <w:spacing w:val="-4"/>
        </w:rPr>
        <w:t>m</w:t>
      </w:r>
      <w:r w:rsidRPr="0000182F">
        <w:rPr>
          <w:spacing w:val="-4"/>
        </w:rPr>
        <w:t xml:space="preserve">pas </w:t>
      </w:r>
      <w:r w:rsidRPr="0000182F">
        <w:t>när en tjänst eller vara tillhandahållits av ett statligt eller kommunalt o</w:t>
      </w:r>
      <w:r w:rsidRPr="0000182F">
        <w:t>r</w:t>
      </w:r>
      <w:r w:rsidRPr="0000182F">
        <w:t xml:space="preserve">gan, förutsatt att det är fråga om leverans till en konsument för </w:t>
      </w:r>
      <w:r w:rsidR="009D71DE" w:rsidRPr="0000182F">
        <w:t>enskilt bruk. Således omfattas – uttryckligen –</w:t>
      </w:r>
      <w:r w:rsidRPr="0000182F">
        <w:t xml:space="preserve"> leveranser av vatten, gas, elektricitet, tel</w:t>
      </w:r>
      <w:r w:rsidRPr="0000182F">
        <w:t>e</w:t>
      </w:r>
      <w:r w:rsidRPr="0000182F">
        <w:t>foni och renhållning av treårspreskription. Man skall i detta sammanhang vara medveten om att lagen skrevs då stat och kommun ännu hade ensamrätt på leverans av sådana tjänster, innan de avreglerades. Inom flera av områdena förelåg till och med en leveransskyldighet. Gränsen för treårspreskriptionen går, enligt propositionen, vid statens fordringar till följd av ren myndighetsu</w:t>
      </w:r>
      <w:r w:rsidRPr="0000182F">
        <w:t>t</w:t>
      </w:r>
      <w:r w:rsidRPr="0000182F">
        <w:t>övning, exempelvis gällande återbetalning av studie- eller bostadslån (prop. 1979/80:119 s</w:t>
      </w:r>
      <w:r w:rsidR="009D71DE" w:rsidRPr="0000182F">
        <w:t>.</w:t>
      </w:r>
      <w:r w:rsidRPr="0000182F">
        <w:t xml:space="preserve"> 22</w:t>
      </w:r>
      <w:r w:rsidR="009D71DE" w:rsidRPr="0000182F">
        <w:t>–</w:t>
      </w:r>
      <w:r w:rsidRPr="0000182F">
        <w:t>36, 89</w:t>
      </w:r>
      <w:r w:rsidR="009D71DE" w:rsidRPr="0000182F">
        <w:t>–</w:t>
      </w:r>
      <w:r w:rsidRPr="0000182F">
        <w:t>96).</w:t>
      </w:r>
    </w:p>
    <w:p w:rsidR="00D033FE" w:rsidRPr="0000182F" w:rsidRDefault="00D033FE">
      <w:pPr>
        <w:pStyle w:val="Normaltindrag"/>
        <w:shd w:val="clear" w:color="000000" w:fill="auto"/>
      </w:pPr>
      <w:r w:rsidRPr="0000182F">
        <w:t>Definitionen av begreppet näringsidkare orsakade även oklarhet och tvister vid tillämpningen av konsumentköplagen. År 2002 klargjordes definitionen</w:t>
      </w:r>
      <w:r w:rsidR="009D71DE" w:rsidRPr="0000182F">
        <w:t>, i Ändringar i konsumentköplagen (prop. 2001/02:134)</w:t>
      </w:r>
      <w:r w:rsidRPr="0000182F">
        <w:t>. Sedan dess definieras begreppen konsument och näringsidkare sålunda: ”</w:t>
      </w:r>
      <w:r w:rsidR="009D71DE" w:rsidRPr="0000182F">
        <w:rPr>
          <w:iCs/>
        </w:rPr>
        <w:t>Konsument</w:t>
      </w:r>
      <w:r w:rsidRPr="0000182F">
        <w:rPr>
          <w:iCs/>
        </w:rPr>
        <w:t>: en fysisk person som handlar huvudsakligen för ändamål som faller utanför näring</w:t>
      </w:r>
      <w:r w:rsidRPr="0000182F">
        <w:rPr>
          <w:iCs/>
        </w:rPr>
        <w:t>s</w:t>
      </w:r>
      <w:r w:rsidRPr="0000182F">
        <w:rPr>
          <w:iCs/>
        </w:rPr>
        <w:t xml:space="preserve">verksamhet, </w:t>
      </w:r>
      <w:r w:rsidRPr="0000182F">
        <w:t xml:space="preserve">näringsidkare: </w:t>
      </w:r>
      <w:r w:rsidRPr="0000182F">
        <w:rPr>
          <w:iCs/>
        </w:rPr>
        <w:t xml:space="preserve">en fysisk eller juridisk person som handlar för ändamål som har samband med den egna näringsverksamheten” </w:t>
      </w:r>
      <w:r w:rsidR="009D71DE" w:rsidRPr="0000182F">
        <w:rPr>
          <w:iCs/>
        </w:rPr>
        <w:t>(l</w:t>
      </w:r>
      <w:r w:rsidRPr="0000182F">
        <w:rPr>
          <w:iCs/>
        </w:rPr>
        <w:t>ag 2002:587). Någon motsvarande ändring infördes dock inte i preskriptions</w:t>
      </w:r>
      <w:r w:rsidR="004C47E0" w:rsidRPr="0000182F">
        <w:rPr>
          <w:iCs/>
        </w:rPr>
        <w:softHyphen/>
      </w:r>
      <w:r w:rsidRPr="0000182F">
        <w:rPr>
          <w:iCs/>
        </w:rPr>
        <w:t>lagen, trots att denna skall använda samma definitioner som konsumentköp</w:t>
      </w:r>
      <w:r w:rsidR="004C47E0" w:rsidRPr="0000182F">
        <w:rPr>
          <w:iCs/>
        </w:rPr>
        <w:softHyphen/>
      </w:r>
      <w:r w:rsidRPr="0000182F">
        <w:rPr>
          <w:iCs/>
        </w:rPr>
        <w:t>l</w:t>
      </w:r>
      <w:r w:rsidRPr="0000182F">
        <w:rPr>
          <w:iCs/>
        </w:rPr>
        <w:t>a</w:t>
      </w:r>
      <w:r w:rsidRPr="0000182F">
        <w:rPr>
          <w:iCs/>
        </w:rPr>
        <w:t>gen.</w:t>
      </w:r>
    </w:p>
    <w:p w:rsidR="00D033FE" w:rsidRPr="0000182F" w:rsidRDefault="00D033FE">
      <w:pPr>
        <w:pStyle w:val="Rubrik1"/>
        <w:shd w:val="clear" w:color="000000" w:fill="auto"/>
      </w:pPr>
      <w:r w:rsidRPr="0000182F">
        <w:t>Rättsfall</w:t>
      </w:r>
    </w:p>
    <w:p w:rsidR="00D033FE" w:rsidRPr="0000182F" w:rsidRDefault="00D033FE">
      <w:pPr>
        <w:shd w:val="clear" w:color="000000" w:fill="auto"/>
        <w:rPr>
          <w:szCs w:val="24"/>
        </w:rPr>
      </w:pPr>
      <w:r w:rsidRPr="0000182F">
        <w:rPr>
          <w:szCs w:val="24"/>
        </w:rPr>
        <w:t>Som nämnts tidigare har en rad tvister uppstått till följd av den oklarhet lagen innehåller. Besluten är dock inte entydiga och utgör ett osäkert underlag för praxis. I Ny</w:t>
      </w:r>
      <w:r w:rsidR="009D71DE" w:rsidRPr="0000182F">
        <w:rPr>
          <w:szCs w:val="24"/>
        </w:rPr>
        <w:t>tt juridiskt arkiv (NJA 1988:89–</w:t>
      </w:r>
      <w:r w:rsidRPr="0000182F">
        <w:rPr>
          <w:szCs w:val="24"/>
        </w:rPr>
        <w:t>90 s</w:t>
      </w:r>
      <w:r w:rsidR="009D71DE" w:rsidRPr="0000182F">
        <w:rPr>
          <w:szCs w:val="24"/>
        </w:rPr>
        <w:t>.</w:t>
      </w:r>
      <w:r w:rsidRPr="0000182F">
        <w:rPr>
          <w:szCs w:val="24"/>
        </w:rPr>
        <w:t xml:space="preserve"> 503</w:t>
      </w:r>
      <w:r w:rsidR="009D71DE" w:rsidRPr="0000182F">
        <w:rPr>
          <w:szCs w:val="24"/>
        </w:rPr>
        <w:t>–</w:t>
      </w:r>
      <w:r w:rsidRPr="0000182F">
        <w:rPr>
          <w:szCs w:val="24"/>
        </w:rPr>
        <w:t>512) redogörs till e</w:t>
      </w:r>
      <w:r w:rsidRPr="0000182F">
        <w:rPr>
          <w:szCs w:val="24"/>
        </w:rPr>
        <w:t>x</w:t>
      </w:r>
      <w:r w:rsidRPr="0000182F">
        <w:rPr>
          <w:szCs w:val="24"/>
        </w:rPr>
        <w:t>empel för vad HD har ansett i två snarlika fall. Domstolen har i dessa prövat tioårig preskription när det gäller (dåvarande) Televerkets avgift för telev</w:t>
      </w:r>
      <w:r w:rsidRPr="0000182F">
        <w:rPr>
          <w:szCs w:val="24"/>
        </w:rPr>
        <w:t>i</w:t>
      </w:r>
      <w:r w:rsidRPr="0000182F">
        <w:rPr>
          <w:szCs w:val="24"/>
        </w:rPr>
        <w:t>sionsmottagare (</w:t>
      </w:r>
      <w:r w:rsidR="009D71DE" w:rsidRPr="0000182F">
        <w:rPr>
          <w:szCs w:val="24"/>
        </w:rPr>
        <w:t>tv</w:t>
      </w:r>
      <w:r w:rsidRPr="0000182F">
        <w:rPr>
          <w:szCs w:val="24"/>
        </w:rPr>
        <w:t>-avgift) samt engångsavgift från en ko</w:t>
      </w:r>
      <w:r w:rsidR="009D71DE" w:rsidRPr="0000182F">
        <w:rPr>
          <w:szCs w:val="24"/>
        </w:rPr>
        <w:t>mmun för utförande av allmän VA-</w:t>
      </w:r>
      <w:r w:rsidRPr="0000182F">
        <w:rPr>
          <w:szCs w:val="24"/>
        </w:rPr>
        <w:t>anläggning. I båda fallen ansåg borgenärerna att kravet inte kunde anses vara en konsumentfordran eftersom dessa kommunala och statl</w:t>
      </w:r>
      <w:r w:rsidRPr="0000182F">
        <w:rPr>
          <w:szCs w:val="24"/>
        </w:rPr>
        <w:t>i</w:t>
      </w:r>
      <w:r w:rsidRPr="0000182F">
        <w:rPr>
          <w:szCs w:val="24"/>
        </w:rPr>
        <w:t>ga organ inte var att betrakta som näringsidkare enligt bedömningen att deras verksamhet inte bedrivs i syfte att nå ekonomisk vinning. Vidare hävdade man att det inte förelåg något avtalsförhållande mellan parterna, vilket också skulle innebära att borgenären inte var att betrakta som näringsidkare.</w:t>
      </w:r>
    </w:p>
    <w:p w:rsidR="00D033FE" w:rsidRPr="0000182F" w:rsidRDefault="00D033FE">
      <w:pPr>
        <w:pStyle w:val="Normaltindrag"/>
        <w:shd w:val="clear" w:color="000000" w:fill="auto"/>
      </w:pPr>
      <w:r w:rsidRPr="0000182F">
        <w:t>HD menade dock att treårig preskription skall tillämpas eftersom det sa</w:t>
      </w:r>
      <w:r w:rsidRPr="0000182F">
        <w:t>k</w:t>
      </w:r>
      <w:r w:rsidRPr="0000182F">
        <w:t>nas anledning att se Tele</w:t>
      </w:r>
      <w:r w:rsidR="009D71DE" w:rsidRPr="0000182F">
        <w:t xml:space="preserve">verkets respektive kommunens VA-verksamhet som </w:t>
      </w:r>
      <w:r w:rsidR="00A13CAC" w:rsidRPr="0000182F">
        <w:t>”</w:t>
      </w:r>
      <w:r w:rsidRPr="0000182F">
        <w:t>annat än yrkesmässig näringsverksamhet</w:t>
      </w:r>
      <w:r w:rsidR="00A13CAC" w:rsidRPr="0000182F">
        <w:t>”</w:t>
      </w:r>
      <w:r w:rsidRPr="0000182F">
        <w:t>.</w:t>
      </w:r>
    </w:p>
    <w:p w:rsidR="00D033FE" w:rsidRPr="0000182F" w:rsidRDefault="00D033FE">
      <w:pPr>
        <w:pStyle w:val="Normaltindrag"/>
        <w:shd w:val="clear" w:color="000000" w:fill="auto"/>
      </w:pPr>
      <w:r w:rsidRPr="0000182F">
        <w:t>Avgörande för HD synes ha varit preskriptionsinstitutets syfte, att förkorta preskriptionstiden för enskilda medborgare, och hur rättsförhållandet uppfa</w:t>
      </w:r>
      <w:r w:rsidRPr="0000182F">
        <w:t>t</w:t>
      </w:r>
      <w:r w:rsidRPr="0000182F">
        <w:t>tas ur medborgarens perspektiv, det vill säga om han eller hon uppfattar att fordran till sin natur på ett väsentligt sätt skiljer sig från en vanlig konsumen</w:t>
      </w:r>
      <w:r w:rsidRPr="0000182F">
        <w:t>t</w:t>
      </w:r>
      <w:r w:rsidRPr="0000182F">
        <w:t>fordran. Enligt HD är det gäldenärens status som privatperson och borgen</w:t>
      </w:r>
      <w:r w:rsidRPr="0000182F">
        <w:t>ä</w:t>
      </w:r>
      <w:r w:rsidRPr="0000182F">
        <w:t xml:space="preserve">rens aktivitet som näringsidkare enligt PL:s definition som avgör om fordran är att anse som konsumentfordran eller ej. I det sammanhanget väger </w:t>
      </w:r>
      <w:r w:rsidR="009D71DE" w:rsidRPr="0000182F">
        <w:t>me</w:t>
      </w:r>
      <w:r w:rsidR="009D71DE" w:rsidRPr="0000182F">
        <w:t>d</w:t>
      </w:r>
      <w:r w:rsidR="009D71DE" w:rsidRPr="0000182F">
        <w:t>borgarens uppfattning om</w:t>
      </w:r>
      <w:r w:rsidRPr="0000182F">
        <w:t xml:space="preserve"> avtalsförhållandet tyngre än borgenärens juridiska eller tekniska förhållanden.</w:t>
      </w:r>
    </w:p>
    <w:p w:rsidR="00D033FE" w:rsidRPr="0000182F" w:rsidRDefault="00D033FE">
      <w:pPr>
        <w:pStyle w:val="Rubrik2"/>
        <w:shd w:val="clear" w:color="000000" w:fill="auto"/>
      </w:pPr>
      <w:r w:rsidRPr="0000182F">
        <w:t xml:space="preserve">NJA 1988 </w:t>
      </w:r>
      <w:r w:rsidR="00A13CAC" w:rsidRPr="0000182F">
        <w:t xml:space="preserve">s. </w:t>
      </w:r>
      <w:r w:rsidRPr="0000182F">
        <w:t>503</w:t>
      </w:r>
      <w:r w:rsidR="009D71DE" w:rsidRPr="0000182F">
        <w:t xml:space="preserve"> </w:t>
      </w:r>
      <w:r w:rsidRPr="0000182F">
        <w:t>I</w:t>
      </w:r>
    </w:p>
    <w:p w:rsidR="00D033FE" w:rsidRPr="0000182F" w:rsidRDefault="00D033FE">
      <w:pPr>
        <w:shd w:val="clear" w:color="000000" w:fill="auto"/>
        <w:rPr>
          <w:szCs w:val="24"/>
        </w:rPr>
      </w:pPr>
      <w:r w:rsidRPr="0000182F">
        <w:rPr>
          <w:szCs w:val="24"/>
        </w:rPr>
        <w:t>I frågan om pr</w:t>
      </w:r>
      <w:r w:rsidR="009D71DE" w:rsidRPr="0000182F">
        <w:rPr>
          <w:szCs w:val="24"/>
        </w:rPr>
        <w:t>eskriptionstid för kommunala VA-</w:t>
      </w:r>
      <w:r w:rsidRPr="0000182F">
        <w:rPr>
          <w:szCs w:val="24"/>
        </w:rPr>
        <w:t xml:space="preserve">avgifter ansåg </w:t>
      </w:r>
      <w:r w:rsidR="009D71DE" w:rsidRPr="0000182F">
        <w:rPr>
          <w:szCs w:val="24"/>
        </w:rPr>
        <w:t xml:space="preserve">Statens </w:t>
      </w:r>
      <w:r w:rsidR="00A13CAC" w:rsidRPr="0000182F">
        <w:rPr>
          <w:szCs w:val="24"/>
        </w:rPr>
        <w:t>VA</w:t>
      </w:r>
      <w:r w:rsidRPr="0000182F">
        <w:rPr>
          <w:szCs w:val="24"/>
        </w:rPr>
        <w:t>-nämnd i beslut den 17 mars 1987 att kommunens arbete inte kunde betraktas som yrkesmässig näringsverksamhet och att det saknades ett avtalsförhållande mellan kommunen och gäldenären. Därmed skulle tioårig preskription gälla i en föreliggande tvist o</w:t>
      </w:r>
      <w:r w:rsidR="009D71DE" w:rsidRPr="0000182F">
        <w:rPr>
          <w:szCs w:val="24"/>
        </w:rPr>
        <w:t>m kommunens fordran avseende VA-</w:t>
      </w:r>
      <w:r w:rsidRPr="0000182F">
        <w:rPr>
          <w:szCs w:val="24"/>
        </w:rPr>
        <w:t>avgifter. Ärendet togs upp vid Svea hovrätt, vattenöverdomstolen, som dock ansåg att preskri</w:t>
      </w:r>
      <w:r w:rsidRPr="0000182F">
        <w:rPr>
          <w:szCs w:val="24"/>
        </w:rPr>
        <w:t>p</w:t>
      </w:r>
      <w:r w:rsidRPr="0000182F">
        <w:rPr>
          <w:szCs w:val="24"/>
        </w:rPr>
        <w:t xml:space="preserve">tionstiden skall vara tre år. Skälen till domstolens uppfattning var främst att det gällde leverans till en privatperson och att denne uppfattade kommunens </w:t>
      </w:r>
      <w:r w:rsidR="009D71DE" w:rsidRPr="0000182F">
        <w:rPr>
          <w:szCs w:val="24"/>
        </w:rPr>
        <w:t>VA</w:t>
      </w:r>
      <w:r w:rsidRPr="0000182F">
        <w:rPr>
          <w:szCs w:val="24"/>
        </w:rPr>
        <w:t>-avgift som en tjänst till honom som konsument för enskilt bruk. Hovrä</w:t>
      </w:r>
      <w:r w:rsidRPr="0000182F">
        <w:rPr>
          <w:szCs w:val="24"/>
        </w:rPr>
        <w:t>t</w:t>
      </w:r>
      <w:r w:rsidRPr="0000182F">
        <w:rPr>
          <w:szCs w:val="24"/>
        </w:rPr>
        <w:t>ten påpekade särskilt att bestämmelsen om treårig preskription har tillkommit i konsumenternas intresse.</w:t>
      </w:r>
    </w:p>
    <w:p w:rsidR="00D033FE" w:rsidRPr="0000182F" w:rsidRDefault="00D033FE">
      <w:pPr>
        <w:pStyle w:val="Normaltindrag"/>
        <w:shd w:val="clear" w:color="000000" w:fill="auto"/>
      </w:pPr>
      <w:r w:rsidRPr="0000182F">
        <w:t>Kommunen ifråga sökte revision och begärde att HD skulle ändra vatte</w:t>
      </w:r>
      <w:r w:rsidRPr="0000182F">
        <w:t>n</w:t>
      </w:r>
      <w:r w:rsidRPr="0000182F">
        <w:t>överdomstolens beslut. HD gick dock på samma linje som hovrätten och slog fast att treårig preskription skall gälla, med bl</w:t>
      </w:r>
      <w:r w:rsidR="009D71DE" w:rsidRPr="0000182F">
        <w:t xml:space="preserve">and annat följande motivering: </w:t>
      </w:r>
      <w:r w:rsidR="00A13CAC" w:rsidRPr="0000182F">
        <w:t>”</w:t>
      </w:r>
      <w:r w:rsidRPr="0000182F">
        <w:t>För den enskilde brukaren måste det te sig främmande att uppfatta rättsfö</w:t>
      </w:r>
      <w:r w:rsidRPr="0000182F">
        <w:t>r</w:t>
      </w:r>
      <w:r w:rsidRPr="0000182F">
        <w:t>hållandet till anläggningens huvudman olika beroende på vem denne är. Med hänsyn till det anförda bör en avgiftsfordran på en privatperson, vare sig a</w:t>
      </w:r>
      <w:r w:rsidRPr="0000182F">
        <w:t>v</w:t>
      </w:r>
      <w:r w:rsidRPr="0000182F">
        <w:t>giften är av engångsnatur eller den utgår periodiskt, betraktas som en kons</w:t>
      </w:r>
      <w:r w:rsidRPr="0000182F">
        <w:t>u</w:t>
      </w:r>
      <w:r w:rsidRPr="0000182F">
        <w:t>mentfordran och således vara underkastad treårspreskription.</w:t>
      </w:r>
      <w:r w:rsidR="00A13CAC" w:rsidRPr="0000182F">
        <w:t>”</w:t>
      </w:r>
    </w:p>
    <w:p w:rsidR="00D033FE" w:rsidRPr="0000182F" w:rsidRDefault="00D033FE">
      <w:pPr>
        <w:pStyle w:val="Normaltindrag"/>
        <w:shd w:val="clear" w:color="000000" w:fill="auto"/>
      </w:pPr>
      <w:r w:rsidRPr="0000182F">
        <w:t>HD angav vidare, med hänvisning till det intresse som uppbär särregeln om konsumentfordringar, att bestämmelsen om treårspreskription bör ges en vidsträckt tillämpning, att utgångspunkten för bedömningen bör vara hur rättsförhållandet uppfattas ur en konsuments perspektiv och att ett inslag av myndighetsutövning inte skall vara avgörande. Samtidigt uttalade domstolen också att den längre preskriptions</w:t>
      </w:r>
      <w:r w:rsidRPr="0000182F">
        <w:softHyphen/>
        <w:t>tiden blir tillämplig, när inslaget av my</w:t>
      </w:r>
      <w:r w:rsidRPr="0000182F">
        <w:t>n</w:t>
      </w:r>
      <w:r w:rsidRPr="0000182F">
        <w:t>dighetsutövning är så påtagligt att förhållandet helt skiljer sig från en priva</w:t>
      </w:r>
      <w:r w:rsidRPr="0000182F">
        <w:t>t</w:t>
      </w:r>
      <w:r w:rsidRPr="0000182F">
        <w:t>rättslig relation.</w:t>
      </w:r>
    </w:p>
    <w:p w:rsidR="00D033FE" w:rsidRPr="0000182F" w:rsidRDefault="009D71DE">
      <w:pPr>
        <w:pStyle w:val="Rubrik2"/>
        <w:shd w:val="clear" w:color="000000" w:fill="auto"/>
      </w:pPr>
      <w:r w:rsidRPr="0000182F">
        <w:t>NJA 1988</w:t>
      </w:r>
      <w:r w:rsidR="00D033FE" w:rsidRPr="0000182F">
        <w:t xml:space="preserve"> </w:t>
      </w:r>
      <w:r w:rsidR="00A13CAC" w:rsidRPr="0000182F">
        <w:t xml:space="preserve">s. </w:t>
      </w:r>
      <w:r w:rsidR="00D033FE" w:rsidRPr="0000182F">
        <w:t>503 II</w:t>
      </w:r>
    </w:p>
    <w:p w:rsidR="00D033FE" w:rsidRPr="0000182F" w:rsidRDefault="00D033FE">
      <w:pPr>
        <w:shd w:val="clear" w:color="000000" w:fill="auto"/>
        <w:rPr>
          <w:szCs w:val="24"/>
        </w:rPr>
      </w:pPr>
      <w:r w:rsidRPr="0000182F">
        <w:rPr>
          <w:szCs w:val="24"/>
        </w:rPr>
        <w:t xml:space="preserve">När det gäller preskriptionen av </w:t>
      </w:r>
      <w:r w:rsidR="009D71DE" w:rsidRPr="0000182F">
        <w:rPr>
          <w:szCs w:val="24"/>
        </w:rPr>
        <w:t>tv</w:t>
      </w:r>
      <w:r w:rsidRPr="0000182F">
        <w:rPr>
          <w:szCs w:val="24"/>
        </w:rPr>
        <w:t>-licens behandlades ett ärende av Svea hovrätt den 11 december 1987. Svea hovrätt menade att tioårig preskription</w:t>
      </w:r>
      <w:r w:rsidRPr="0000182F">
        <w:rPr>
          <w:szCs w:val="24"/>
        </w:rPr>
        <w:t>s</w:t>
      </w:r>
      <w:r w:rsidRPr="0000182F">
        <w:rPr>
          <w:szCs w:val="24"/>
        </w:rPr>
        <w:t>tid skulle tillämpas eftersom fordran inte kunde anses vara en konsumentfor</w:t>
      </w:r>
      <w:r w:rsidRPr="0000182F">
        <w:rPr>
          <w:szCs w:val="24"/>
        </w:rPr>
        <w:t>d</w:t>
      </w:r>
      <w:r w:rsidRPr="0000182F">
        <w:rPr>
          <w:szCs w:val="24"/>
        </w:rPr>
        <w:t>ran då Televerkets rätt att uppbära avgiften följer direkt av författning och alltså inte är ett avtalsförhållande.</w:t>
      </w:r>
    </w:p>
    <w:p w:rsidR="00D033FE" w:rsidRPr="0000182F" w:rsidRDefault="00D033FE">
      <w:pPr>
        <w:pStyle w:val="Normaltindrag"/>
        <w:shd w:val="clear" w:color="000000" w:fill="auto"/>
      </w:pPr>
      <w:r w:rsidRPr="0000182F">
        <w:t>En hovrättslagman var dock skiljaktig och menade att det är konsumen</w:t>
      </w:r>
      <w:r w:rsidRPr="0000182F">
        <w:t>t</w:t>
      </w:r>
      <w:r w:rsidRPr="0000182F">
        <w:t>köplagen och konsumentkreditlagens definitioner som skall vara styrande när det gäller definitionen av vad som omfattas av begreppet yrkesmässig nä</w:t>
      </w:r>
      <w:r w:rsidRPr="0000182F">
        <w:t>r</w:t>
      </w:r>
      <w:r w:rsidRPr="0000182F">
        <w:t>ingsverksamhet eftersom dessa används för alla andra definitioner i PL. I förarbetena till dessa anges att begreppet näringsidkare skall fattas i vid b</w:t>
      </w:r>
      <w:r w:rsidRPr="0000182F">
        <w:t>e</w:t>
      </w:r>
      <w:r w:rsidRPr="0000182F">
        <w:t>märkelse.</w:t>
      </w:r>
    </w:p>
    <w:p w:rsidR="00D033FE" w:rsidRPr="0000182F" w:rsidRDefault="00D033FE">
      <w:pPr>
        <w:pStyle w:val="Normaltindrag"/>
        <w:shd w:val="clear" w:color="000000" w:fill="auto"/>
      </w:pPr>
      <w:r w:rsidRPr="0000182F">
        <w:t>HD tog upp ärendet och lämnade avgörande den 19 oktober 1988 (SÖ 584). Domstolen var av en annan mening än Svea hovrätt och slog fast att preskriptionstiden skall vara tre</w:t>
      </w:r>
      <w:r w:rsidR="009D71DE" w:rsidRPr="0000182F">
        <w:t xml:space="preserve"> år. I domen sägs bland annat: </w:t>
      </w:r>
      <w:r w:rsidR="00A13CAC" w:rsidRPr="0000182F">
        <w:t>”</w:t>
      </w:r>
      <w:r w:rsidRPr="0000182F">
        <w:t>För apparati</w:t>
      </w:r>
      <w:r w:rsidRPr="0000182F">
        <w:t>n</w:t>
      </w:r>
      <w:r w:rsidRPr="0000182F">
        <w:t>nehavaren framstår avgiften naturligen som en ersättning för hans möjlighet att motta de program som produceras. Rent faktiskt finansieras också fra</w:t>
      </w:r>
      <w:r w:rsidRPr="0000182F">
        <w:t>m</w:t>
      </w:r>
      <w:r w:rsidRPr="0000182F">
        <w:t xml:space="preserve">ställningen av program i huvudsak genom avgifterna. Avgiften bör därför, enligt HD, anses vara en konsumentfordran </w:t>
      </w:r>
      <w:r w:rsidR="00F25259" w:rsidRPr="0000182F">
        <w:t>’</w:t>
      </w:r>
      <w:r w:rsidRPr="0000182F">
        <w:t>när appara</w:t>
      </w:r>
      <w:r w:rsidR="00F25259" w:rsidRPr="0000182F">
        <w:t>tinnehavaren är en privatperson’.”</w:t>
      </w:r>
    </w:p>
    <w:p w:rsidR="00D033FE" w:rsidRPr="0000182F" w:rsidRDefault="00D033FE">
      <w:pPr>
        <w:pStyle w:val="Normaltindrag"/>
        <w:shd w:val="clear" w:color="000000" w:fill="auto"/>
      </w:pPr>
      <w:r w:rsidRPr="0000182F">
        <w:t>I båda dessa fall ansåg alltså HD att kommunala och statliga organ var att betrakta som näringsidkare, vilket är i överensstämmelse med vad som sägs i förarbetena till PL. I andra snarlika rättsfall har domstolar dock gjort en annan tolkning, som dessutom kommit att bli praxis för myndigheter.</w:t>
      </w:r>
    </w:p>
    <w:p w:rsidR="00D033FE" w:rsidRPr="0000182F" w:rsidRDefault="00D033FE">
      <w:pPr>
        <w:pStyle w:val="Rubrik2"/>
        <w:shd w:val="clear" w:color="000000" w:fill="auto"/>
      </w:pPr>
      <w:r w:rsidRPr="0000182F">
        <w:t>Trafikförsäkringsföreningen</w:t>
      </w:r>
    </w:p>
    <w:p w:rsidR="00D033FE" w:rsidRPr="0000182F" w:rsidRDefault="00D033FE">
      <w:pPr>
        <w:shd w:val="clear" w:color="000000" w:fill="auto"/>
        <w:rPr>
          <w:szCs w:val="24"/>
        </w:rPr>
      </w:pPr>
      <w:r w:rsidRPr="0000182F">
        <w:rPr>
          <w:szCs w:val="24"/>
        </w:rPr>
        <w:t>Trafikskadelagen anger att ett fordon som är registrerat för trafik måste trafi</w:t>
      </w:r>
      <w:r w:rsidRPr="0000182F">
        <w:rPr>
          <w:szCs w:val="24"/>
        </w:rPr>
        <w:t>k</w:t>
      </w:r>
      <w:r w:rsidRPr="0000182F">
        <w:rPr>
          <w:szCs w:val="24"/>
        </w:rPr>
        <w:t>försäkras. För att skydda trafikanter och andra medborgare mot de ekonomi</w:t>
      </w:r>
      <w:r w:rsidRPr="0000182F">
        <w:rPr>
          <w:szCs w:val="24"/>
        </w:rPr>
        <w:t>s</w:t>
      </w:r>
      <w:r w:rsidRPr="0000182F">
        <w:rPr>
          <w:szCs w:val="24"/>
        </w:rPr>
        <w:t>ka skador som skulle kunna orsakas av oförsäkrade fordon har staten lagt det ekonomiska ansvaret för dessa på försäkringsbolagen. Lagen anger att ett krav för att få tillstånd att verka som försäkringsbolag är att bolaget ifråga även tar ersättningsansvar för oförsäkrade fordon. Enligt § 16 trafikskadel</w:t>
      </w:r>
      <w:r w:rsidRPr="0000182F">
        <w:rPr>
          <w:szCs w:val="24"/>
        </w:rPr>
        <w:t>a</w:t>
      </w:r>
      <w:r w:rsidRPr="0000182F">
        <w:rPr>
          <w:szCs w:val="24"/>
        </w:rPr>
        <w:t>gen samt § 6 trafikförsäkringsförordningen åligger det därför de försäkring</w:t>
      </w:r>
      <w:r w:rsidRPr="0000182F">
        <w:rPr>
          <w:szCs w:val="24"/>
        </w:rPr>
        <w:t>s</w:t>
      </w:r>
      <w:r w:rsidRPr="0000182F">
        <w:rPr>
          <w:szCs w:val="24"/>
        </w:rPr>
        <w:t>bolag som har tillstånd att verka inom den svenska trafikförsäkrings</w:t>
      </w:r>
      <w:r w:rsidRPr="0000182F">
        <w:rPr>
          <w:szCs w:val="24"/>
        </w:rPr>
        <w:softHyphen/>
        <w:t>sektorn att bära samma ersättningsansvar för skador som sker med oförsäkrade fordon som för försäkrade fordon.</w:t>
      </w:r>
    </w:p>
    <w:p w:rsidR="00D033FE" w:rsidRPr="0000182F" w:rsidRDefault="00D033FE">
      <w:pPr>
        <w:pStyle w:val="Normaltindrag"/>
        <w:shd w:val="clear" w:color="000000" w:fill="auto"/>
        <w:rPr>
          <w:szCs w:val="23"/>
        </w:rPr>
      </w:pPr>
      <w:r w:rsidRPr="0000182F">
        <w:t>För att solidariskt bära kostnaderna för denna skyldighet har försäkring</w:t>
      </w:r>
      <w:r w:rsidRPr="0000182F">
        <w:t>s</w:t>
      </w:r>
      <w:r w:rsidRPr="0000182F">
        <w:t>bolagen bildat Trafikförsäkringsföreningen (TFF), vilken är en direkt fö</w:t>
      </w:r>
      <w:r w:rsidRPr="0000182F">
        <w:t>r</w:t>
      </w:r>
      <w:r w:rsidRPr="0000182F">
        <w:t>längning av bolagen och tillvaratar branschens ekonomiska intressen och skyldigheter gentemot staten. I syfte att minska de kostnader detta ansvar medför, har bolagen givits tillstånd att kräva ersättning från den som inte försäkrar sitt fordon i enlighet</w:t>
      </w:r>
      <w:r w:rsidRPr="0000182F">
        <w:rPr>
          <w:szCs w:val="23"/>
        </w:rPr>
        <w:t xml:space="preserve"> </w:t>
      </w:r>
      <w:r w:rsidR="009D71DE" w:rsidRPr="0000182F">
        <w:rPr>
          <w:szCs w:val="23"/>
        </w:rPr>
        <w:t xml:space="preserve">med lagen. Enligt § 34 har TFF </w:t>
      </w:r>
      <w:r w:rsidR="00A13CAC" w:rsidRPr="0000182F">
        <w:rPr>
          <w:szCs w:val="23"/>
        </w:rPr>
        <w:t>”</w:t>
      </w:r>
      <w:r w:rsidRPr="0000182F">
        <w:rPr>
          <w:szCs w:val="23"/>
        </w:rPr>
        <w:t>rätt till got</w:t>
      </w:r>
      <w:r w:rsidRPr="0000182F">
        <w:rPr>
          <w:szCs w:val="23"/>
        </w:rPr>
        <w:t>t</w:t>
      </w:r>
      <w:r w:rsidRPr="0000182F">
        <w:rPr>
          <w:szCs w:val="23"/>
        </w:rPr>
        <w:t>görelse</w:t>
      </w:r>
      <w:r w:rsidR="00A13CAC" w:rsidRPr="0000182F">
        <w:rPr>
          <w:szCs w:val="23"/>
        </w:rPr>
        <w:t>”</w:t>
      </w:r>
      <w:r w:rsidRPr="0000182F">
        <w:rPr>
          <w:szCs w:val="23"/>
        </w:rPr>
        <w:t xml:space="preserve"> om en fordonsägare underlåter att trafikförsäkra sitt fordon. Gottg</w:t>
      </w:r>
      <w:r w:rsidRPr="0000182F">
        <w:rPr>
          <w:szCs w:val="23"/>
        </w:rPr>
        <w:t>ö</w:t>
      </w:r>
      <w:r w:rsidRPr="0000182F">
        <w:rPr>
          <w:szCs w:val="23"/>
        </w:rPr>
        <w:t>relsen baseras på fordonets beskaffenhet och den tid fordonet varit oförsäkrat och är avsedd att täcka TFF:s kostnader för administration och olyckor där oförsäkrade fordon är inblandade. År 2005 uppgick TFF:s ersättning för ofö</w:t>
      </w:r>
      <w:r w:rsidRPr="0000182F">
        <w:rPr>
          <w:szCs w:val="23"/>
        </w:rPr>
        <w:t>r</w:t>
      </w:r>
      <w:r w:rsidRPr="0000182F">
        <w:rPr>
          <w:szCs w:val="23"/>
        </w:rPr>
        <w:t>säkrade fordon till 345 miljoner kronor och antalet ärenden är stort.</w:t>
      </w:r>
    </w:p>
    <w:p w:rsidR="00D033FE" w:rsidRPr="0000182F" w:rsidRDefault="00D033FE">
      <w:pPr>
        <w:pStyle w:val="Normaltindrag"/>
        <w:shd w:val="clear" w:color="000000" w:fill="auto"/>
        <w:rPr>
          <w:szCs w:val="24"/>
        </w:rPr>
      </w:pPr>
      <w:r w:rsidRPr="0000182F">
        <w:t>En del av dessa ärenden går till inkassering och indrivning via kronofogde</w:t>
      </w:r>
      <w:r w:rsidRPr="0000182F">
        <w:softHyphen/>
        <w:t>myndigheten varvid tvister om preskriptionstid uppstår. TFF har i dessa fall hävdat att deras verksamhet inte uppfyller lagens definition av näringsidkare, varför deras fordringar inte skall anses omfattas av den treåriga preskription</w:t>
      </w:r>
      <w:r w:rsidRPr="0000182F">
        <w:t>s</w:t>
      </w:r>
      <w:r w:rsidRPr="0000182F">
        <w:t>tid som konsumenter annars skyddas av. TFF har fått rätt i två beslut från ho</w:t>
      </w:r>
      <w:r w:rsidRPr="0000182F">
        <w:rPr>
          <w:spacing w:val="-2"/>
        </w:rPr>
        <w:t>vrätter</w:t>
      </w:r>
      <w:r w:rsidR="009D71DE" w:rsidRPr="0000182F">
        <w:rPr>
          <w:spacing w:val="-2"/>
        </w:rPr>
        <w:t>,</w:t>
      </w:r>
      <w:r w:rsidRPr="0000182F">
        <w:rPr>
          <w:spacing w:val="-2"/>
        </w:rPr>
        <w:t xml:space="preserve"> vilket</w:t>
      </w:r>
      <w:r w:rsidR="009D71DE" w:rsidRPr="0000182F">
        <w:rPr>
          <w:spacing w:val="-2"/>
        </w:rPr>
        <w:t xml:space="preserve"> anses ha skapat en praxis som k</w:t>
      </w:r>
      <w:r w:rsidRPr="0000182F">
        <w:rPr>
          <w:spacing w:val="-2"/>
        </w:rPr>
        <w:t>ronofogdemyndigheten til</w:t>
      </w:r>
      <w:r w:rsidRPr="0000182F">
        <w:t>lä</w:t>
      </w:r>
      <w:r w:rsidRPr="0000182F">
        <w:t>m</w:t>
      </w:r>
      <w:r w:rsidRPr="0000182F">
        <w:t>par.</w:t>
      </w:r>
    </w:p>
    <w:p w:rsidR="00D033FE" w:rsidRPr="0000182F" w:rsidRDefault="00D033FE">
      <w:pPr>
        <w:pStyle w:val="Rubrik2"/>
        <w:shd w:val="clear" w:color="000000" w:fill="auto"/>
      </w:pPr>
      <w:r w:rsidRPr="0000182F">
        <w:t>Göta hovrätt och Hovrätten över Skåne och Blekinge</w:t>
      </w:r>
    </w:p>
    <w:p w:rsidR="00D033FE" w:rsidRPr="0000182F" w:rsidRDefault="00D033FE">
      <w:pPr>
        <w:shd w:val="clear" w:color="000000" w:fill="auto"/>
        <w:rPr>
          <w:szCs w:val="24"/>
        </w:rPr>
      </w:pPr>
      <w:r w:rsidRPr="0000182F">
        <w:rPr>
          <w:szCs w:val="24"/>
        </w:rPr>
        <w:t>I Göta hovrätt och Hovrätten över Skåne och Blekinge har enskilda medbo</w:t>
      </w:r>
      <w:r w:rsidRPr="0000182F">
        <w:rPr>
          <w:szCs w:val="24"/>
        </w:rPr>
        <w:t>r</w:t>
      </w:r>
      <w:r w:rsidRPr="0000182F">
        <w:rPr>
          <w:szCs w:val="24"/>
        </w:rPr>
        <w:t>gare och kronofogdemyndighet i två olika fall hävdat att trafikförsäkringsa</w:t>
      </w:r>
      <w:r w:rsidRPr="0000182F">
        <w:rPr>
          <w:szCs w:val="24"/>
        </w:rPr>
        <w:t>v</w:t>
      </w:r>
      <w:r w:rsidRPr="0000182F">
        <w:rPr>
          <w:szCs w:val="24"/>
        </w:rPr>
        <w:t>gifter omfattas av en treårig preskriptionstid. TFF har å sin sida hävdat att preskriptionstiden för sagda avgifter är tio år eftersom de inte är att anse som konsumentfordringar. TFF:s motiv till denna ståndpunkt har uttryckts på flera sätt men genomgående haft</w:t>
      </w:r>
      <w:r w:rsidR="009D71DE" w:rsidRPr="0000182F">
        <w:rPr>
          <w:szCs w:val="24"/>
        </w:rPr>
        <w:t xml:space="preserve"> följande</w:t>
      </w:r>
      <w:r w:rsidRPr="0000182F">
        <w:rPr>
          <w:szCs w:val="24"/>
        </w:rPr>
        <w:t xml:space="preserve"> innebörd:</w:t>
      </w:r>
    </w:p>
    <w:p w:rsidR="00D033FE" w:rsidRPr="0000182F" w:rsidRDefault="00D033FE">
      <w:pPr>
        <w:pStyle w:val="Normaltindrag"/>
        <w:shd w:val="clear" w:color="000000" w:fill="auto"/>
      </w:pPr>
      <w:r w:rsidRPr="0000182F">
        <w:t>a) Fordran på trafikförsäkringsavgift är inte en fordran som förekommer i det dagliga livet och är därför inte att betrakta som en konsumentfordran (Göta hovrätt).</w:t>
      </w:r>
    </w:p>
    <w:p w:rsidR="00D033FE" w:rsidRPr="0000182F" w:rsidRDefault="00D033FE">
      <w:pPr>
        <w:pStyle w:val="Normaltindrag"/>
        <w:shd w:val="clear" w:color="000000" w:fill="auto"/>
      </w:pPr>
      <w:r w:rsidRPr="0000182F">
        <w:t xml:space="preserve">b) Föreningen har ett skadeansvar oavsett om den försäkringspliktige krävs på ersättning eller ej och </w:t>
      </w:r>
      <w:r w:rsidR="009D71DE" w:rsidRPr="0000182F">
        <w:t xml:space="preserve">därmed föreligger </w:t>
      </w:r>
      <w:r w:rsidRPr="0000182F">
        <w:t>det inte något avtalsförhållande mellan föreningen och den försäkrade. Fordran utgör därför inte ersättning för någon vara, tjänst eller annan nyttighet som tillhandahållits (Göta hovrätt och Hovrätten över Skåne och Blekinge).</w:t>
      </w:r>
    </w:p>
    <w:p w:rsidR="00D033FE" w:rsidRPr="0000182F" w:rsidRDefault="00D033FE">
      <w:pPr>
        <w:pStyle w:val="Normaltindrag"/>
        <w:shd w:val="clear" w:color="000000" w:fill="auto"/>
      </w:pPr>
      <w:r w:rsidRPr="0000182F">
        <w:t>c) TFF:s verksamhet bedrivs inte i syfte att nå ekonomisk vinst och är föl</w:t>
      </w:r>
      <w:r w:rsidRPr="0000182F">
        <w:t>j</w:t>
      </w:r>
      <w:r w:rsidRPr="0000182F">
        <w:t>aktligen inte är att betrakta såsom näringsidkare enligt PL (Göta hovrätt och Hovrätten över Skåne och Blekinge).</w:t>
      </w:r>
    </w:p>
    <w:p w:rsidR="00D033FE" w:rsidRPr="0000182F" w:rsidRDefault="00D033FE">
      <w:pPr>
        <w:pStyle w:val="Normaltindrag"/>
        <w:shd w:val="clear" w:color="000000" w:fill="auto"/>
      </w:pPr>
      <w:r w:rsidRPr="0000182F">
        <w:t>d) Trafikförsäkringsavgift är i första hand en sanktion (Hovrätten över Skåne och Blekinge).</w:t>
      </w:r>
    </w:p>
    <w:p w:rsidR="00D033FE" w:rsidRPr="0000182F" w:rsidRDefault="00D033FE">
      <w:pPr>
        <w:pStyle w:val="Normaltindrag"/>
        <w:shd w:val="clear" w:color="000000" w:fill="auto"/>
      </w:pPr>
      <w:r w:rsidRPr="0000182F">
        <w:t>I hovrätternas beslut har rätten accepterat vad TFF anfört och anslutit sig till föreningens ståndpunkt. I beslutet från Göta hovrätt (1988) görs bedö</w:t>
      </w:r>
      <w:r w:rsidRPr="0000182F">
        <w:t>m</w:t>
      </w:r>
      <w:r w:rsidRPr="0000182F">
        <w:t>ningen att TFF:s verksamhet ”inte bedrivs i syfte att bereda sig ekonomisk vinning” och med anledning härav anser hovrätten</w:t>
      </w:r>
      <w:r w:rsidR="001A54D8" w:rsidRPr="0000182F">
        <w:t>:</w:t>
      </w:r>
      <w:r w:rsidRPr="0000182F">
        <w:t xml:space="preserve"> ”Trafikförsäkringsför</w:t>
      </w:r>
      <w:r w:rsidRPr="0000182F">
        <w:t>e</w:t>
      </w:r>
      <w:r w:rsidRPr="0000182F">
        <w:t>ningen kan – såvitt gäller dess handhavande av trafikförsäkringsavgifter – inte anses vara näringsidkare i preskriptionslagens mening. Inte heller avser trafi</w:t>
      </w:r>
      <w:r w:rsidRPr="0000182F">
        <w:t>k</w:t>
      </w:r>
      <w:r w:rsidRPr="0000182F">
        <w:t>försäkringsavgift ersättning för en vara, tjänst eller annan nyttighet som har tillhandahållits enskild. Fordran avseende sådan avgift utgör således inte en konsumentfordran.”</w:t>
      </w:r>
      <w:r w:rsidR="001A54D8" w:rsidRPr="0000182F">
        <w:t xml:space="preserve"> (SÖ 636 s</w:t>
      </w:r>
      <w:r w:rsidRPr="0000182F">
        <w:t>. 4</w:t>
      </w:r>
      <w:r w:rsidR="001A54D8" w:rsidRPr="0000182F">
        <w:t>–</w:t>
      </w:r>
      <w:r w:rsidRPr="0000182F">
        <w:t>5).</w:t>
      </w:r>
    </w:p>
    <w:p w:rsidR="00D033FE" w:rsidRPr="0000182F" w:rsidRDefault="00D033FE">
      <w:pPr>
        <w:pStyle w:val="Normaltindrag"/>
        <w:shd w:val="clear" w:color="000000" w:fill="auto"/>
      </w:pPr>
      <w:r w:rsidRPr="0000182F">
        <w:t>Till skillnad från Göta hovrätt tar Hovrätten över Skåne och Blekinge i sin dom år 2000 inte ställning till huruvida TFF är att anse som en näringsidkare eller ej. Istället hänvisar rätten till trafikskadelagens förarbeten (prop. 1998/99:42 s. 20) och anför att trafikförsäkringsavgiften inte skall ses som en premie, utan mer som en sanktion. Hovrätten anför vidare at</w:t>
      </w:r>
      <w:r w:rsidR="001A54D8" w:rsidRPr="0000182F">
        <w:t xml:space="preserve">t </w:t>
      </w:r>
      <w:r w:rsidR="00A13CAC" w:rsidRPr="0000182F">
        <w:t>”</w:t>
      </w:r>
      <w:r w:rsidRPr="0000182F">
        <w:t>ersättningsa</w:t>
      </w:r>
      <w:r w:rsidRPr="0000182F">
        <w:t>n</w:t>
      </w:r>
      <w:r w:rsidRPr="0000182F">
        <w:t>svaret är oberoende av om den trafikförsäkringspliktige krävs på trafikförsä</w:t>
      </w:r>
      <w:r w:rsidRPr="0000182F">
        <w:t>k</w:t>
      </w:r>
      <w:r w:rsidRPr="0000182F">
        <w:t>ringsavgift eller ej</w:t>
      </w:r>
      <w:r w:rsidR="00A13CAC" w:rsidRPr="0000182F">
        <w:t>”</w:t>
      </w:r>
      <w:r w:rsidR="001A54D8" w:rsidRPr="0000182F">
        <w:t>.</w:t>
      </w:r>
    </w:p>
    <w:p w:rsidR="00D033FE" w:rsidRPr="0000182F" w:rsidRDefault="00D033FE">
      <w:pPr>
        <w:pStyle w:val="Normaltindrag"/>
        <w:shd w:val="clear" w:color="000000" w:fill="auto"/>
      </w:pPr>
      <w:r w:rsidRPr="0000182F">
        <w:t>Båda hovrätterna har därmed ansett att trafikförsäkringsavgifter inte är att betrakta som konsumentfordringar och har en tioårig preskriptionstid, men på delvis olika grunder. Tyvärr har inget av dessa beslut prövats av HD varför saken alltjämt är öppen för tolkning.</w:t>
      </w:r>
    </w:p>
    <w:p w:rsidR="00D033FE" w:rsidRPr="0000182F" w:rsidRDefault="00D033FE">
      <w:pPr>
        <w:pStyle w:val="Rubrik1"/>
        <w:shd w:val="clear" w:color="000000" w:fill="auto"/>
      </w:pPr>
      <w:r w:rsidRPr="0000182F">
        <w:t>Diskrepanser i beslut</w:t>
      </w:r>
    </w:p>
    <w:p w:rsidR="00D033FE" w:rsidRPr="0000182F" w:rsidRDefault="00D033FE">
      <w:pPr>
        <w:shd w:val="clear" w:color="000000" w:fill="auto"/>
        <w:rPr>
          <w:szCs w:val="24"/>
        </w:rPr>
      </w:pPr>
      <w:r w:rsidRPr="0000182F">
        <w:rPr>
          <w:szCs w:val="24"/>
        </w:rPr>
        <w:t>Besluten förbryllar av flera skäl. Vad Göta hovrätt anfört om att TFF inte drivs i syfte att ”bereda sig ekonomisk vinning”</w:t>
      </w:r>
      <w:r w:rsidR="001A54D8" w:rsidRPr="0000182F">
        <w:rPr>
          <w:szCs w:val="24"/>
        </w:rPr>
        <w:t xml:space="preserve"> (SÖ 636 s</w:t>
      </w:r>
      <w:r w:rsidRPr="0000182F">
        <w:rPr>
          <w:szCs w:val="24"/>
        </w:rPr>
        <w:t>. 5) kan diskuteras med tanke på organisationens syften och ägarskap, men är i sak ovidko</w:t>
      </w:r>
      <w:r w:rsidRPr="0000182F">
        <w:rPr>
          <w:szCs w:val="24"/>
        </w:rPr>
        <w:t>m</w:t>
      </w:r>
      <w:r w:rsidRPr="0000182F">
        <w:rPr>
          <w:szCs w:val="24"/>
        </w:rPr>
        <w:t>mande. Ett sådant kriterium omnämns inte i PL eller dess förarbeten. Huruv</w:t>
      </w:r>
      <w:r w:rsidRPr="0000182F">
        <w:rPr>
          <w:szCs w:val="24"/>
        </w:rPr>
        <w:t>i</w:t>
      </w:r>
      <w:r w:rsidRPr="0000182F">
        <w:rPr>
          <w:szCs w:val="24"/>
        </w:rPr>
        <w:t>da organisationen drivs i syfte att bereda sig ekonomisk vinning eller ej avgör därmed inte om gäldenären är en näringsidkare enligt lagens mening.</w:t>
      </w:r>
    </w:p>
    <w:p w:rsidR="00D033FE" w:rsidRPr="0000182F" w:rsidRDefault="00D033FE">
      <w:pPr>
        <w:pStyle w:val="Normaltindrag"/>
        <w:shd w:val="clear" w:color="000000" w:fill="auto"/>
      </w:pPr>
      <w:r w:rsidRPr="0000182F">
        <w:t>Istället säger lagen att en juridisk person som yrkesmässigt bedriver ver</w:t>
      </w:r>
      <w:r w:rsidRPr="0000182F">
        <w:t>k</w:t>
      </w:r>
      <w:r w:rsidRPr="0000182F">
        <w:t>samhet av ekonomisk natur är en näringsidkare, oavsett dess syfte eller org</w:t>
      </w:r>
      <w:r w:rsidRPr="0000182F">
        <w:t>a</w:t>
      </w:r>
      <w:r w:rsidRPr="0000182F">
        <w:t>nisationsform. I propositionen sägs t</w:t>
      </w:r>
      <w:r w:rsidR="001A54D8" w:rsidRPr="0000182F">
        <w:t xml:space="preserve">ill och med </w:t>
      </w:r>
      <w:r w:rsidRPr="0000182F">
        <w:t>uttryckligen, att till och med tjänster som tillhandahålls av stat eller kommun, som inte heller bedriver verksamhet för att bereda sig ekonomisk vinning, kan omfattas av treårspr</w:t>
      </w:r>
      <w:r w:rsidRPr="0000182F">
        <w:t>e</w:t>
      </w:r>
      <w:r w:rsidRPr="0000182F">
        <w:t xml:space="preserve">skription. I HD har såväl kommunal </w:t>
      </w:r>
      <w:r w:rsidR="001A54D8" w:rsidRPr="0000182F">
        <w:t>VA</w:t>
      </w:r>
      <w:r w:rsidRPr="0000182F">
        <w:t xml:space="preserve">-avgift som </w:t>
      </w:r>
      <w:r w:rsidR="001A54D8" w:rsidRPr="0000182F">
        <w:t>tv</w:t>
      </w:r>
      <w:r w:rsidRPr="0000182F">
        <w:t>-avgift ans</w:t>
      </w:r>
      <w:r w:rsidR="001A54D8" w:rsidRPr="0000182F">
        <w:t xml:space="preserve">etts utgöra näringsverksamhet: Vad </w:t>
      </w:r>
      <w:r w:rsidRPr="0000182F">
        <w:t>är det då som gör att trafikförsäkringsavgifter från TFF inte omfattas av samma definition?</w:t>
      </w:r>
    </w:p>
    <w:p w:rsidR="00D033FE" w:rsidRPr="0000182F" w:rsidRDefault="00D033FE">
      <w:pPr>
        <w:pStyle w:val="Normaltindrag"/>
        <w:shd w:val="clear" w:color="000000" w:fill="auto"/>
      </w:pPr>
      <w:r w:rsidRPr="0000182F">
        <w:t>TFF:s rätt att ta ut avgift är reglerad i lagen på liknande sätt som till exe</w:t>
      </w:r>
      <w:r w:rsidRPr="0000182F">
        <w:t>m</w:t>
      </w:r>
      <w:r w:rsidRPr="0000182F">
        <w:t xml:space="preserve">pel betalning av </w:t>
      </w:r>
      <w:r w:rsidR="001A54D8" w:rsidRPr="0000182F">
        <w:t>tv</w:t>
      </w:r>
      <w:r w:rsidRPr="0000182F">
        <w:t>-avgift vilken enligt avgörande i HD omfatta</w:t>
      </w:r>
      <w:r w:rsidR="001A54D8" w:rsidRPr="0000182F">
        <w:t xml:space="preserve">s av treårig preskriptionstid </w:t>
      </w:r>
      <w:r w:rsidRPr="0000182F">
        <w:t xml:space="preserve">eller vissa andra avgifter från statliga och kommunala organ. Jämförelsen är särskilt intressant eftersom Radiotjänst i </w:t>
      </w:r>
      <w:r w:rsidR="001A54D8" w:rsidRPr="0000182F">
        <w:t xml:space="preserve">lagen </w:t>
      </w:r>
      <w:r w:rsidRPr="0000182F">
        <w:t xml:space="preserve">om </w:t>
      </w:r>
      <w:r w:rsidR="00F25259" w:rsidRPr="0000182F">
        <w:t>TV</w:t>
      </w:r>
      <w:r w:rsidRPr="0000182F">
        <w:t xml:space="preserve">-avgift ges rätt att ta ut en tilläggsavgift på 40 procent av </w:t>
      </w:r>
      <w:r w:rsidR="00F25259" w:rsidRPr="0000182F">
        <w:t>tv</w:t>
      </w:r>
      <w:r w:rsidRPr="0000182F">
        <w:t xml:space="preserve">-avgiften om denna inte betalas i tid, på samma sätt som TFF i trafikskadelagen ges rätt att ta ut en högre trafikförsäkringspremie. Varför är </w:t>
      </w:r>
      <w:r w:rsidR="001A54D8" w:rsidRPr="0000182F">
        <w:t>tv</w:t>
      </w:r>
      <w:r w:rsidRPr="0000182F">
        <w:t>-avgiften en avgift medan trafi</w:t>
      </w:r>
      <w:r w:rsidRPr="0000182F">
        <w:t>k</w:t>
      </w:r>
      <w:r w:rsidRPr="0000182F">
        <w:t>försäkringsavgiften är en sanktion? TFF</w:t>
      </w:r>
      <w:r w:rsidR="001A54D8" w:rsidRPr="0000182F">
        <w:rPr>
          <w:szCs w:val="24"/>
        </w:rPr>
        <w:t xml:space="preserve"> är – enligt egen utsago –</w:t>
      </w:r>
      <w:r w:rsidRPr="0000182F">
        <w:rPr>
          <w:szCs w:val="24"/>
        </w:rPr>
        <w:t xml:space="preserve"> ett priva</w:t>
      </w:r>
      <w:r w:rsidRPr="0000182F">
        <w:rPr>
          <w:szCs w:val="24"/>
        </w:rPr>
        <w:t>t</w:t>
      </w:r>
      <w:r w:rsidRPr="0000182F">
        <w:rPr>
          <w:szCs w:val="24"/>
        </w:rPr>
        <w:t>rättsligt organ i form av en ideell förening med karaktär av ekonomisk för</w:t>
      </w:r>
      <w:r w:rsidRPr="0000182F">
        <w:rPr>
          <w:szCs w:val="24"/>
        </w:rPr>
        <w:t>e</w:t>
      </w:r>
      <w:r w:rsidRPr="0000182F">
        <w:rPr>
          <w:szCs w:val="24"/>
        </w:rPr>
        <w:t>ning.</w:t>
      </w:r>
      <w:r w:rsidR="001A54D8" w:rsidRPr="0000182F">
        <w:rPr>
          <w:szCs w:val="24"/>
        </w:rPr>
        <w:t xml:space="preserve"> TFF:s verksamhet består i att </w:t>
      </w:r>
      <w:r w:rsidR="00A13CAC" w:rsidRPr="0000182F">
        <w:rPr>
          <w:szCs w:val="24"/>
        </w:rPr>
        <w:t>”</w:t>
      </w:r>
      <w:r w:rsidRPr="0000182F">
        <w:rPr>
          <w:szCs w:val="24"/>
        </w:rPr>
        <w:t>ta ut avgifter av ägare till oförsäkrade motorfordon och att reglera trafikskador</w:t>
      </w:r>
      <w:r w:rsidR="00A13CAC" w:rsidRPr="0000182F">
        <w:rPr>
          <w:szCs w:val="24"/>
        </w:rPr>
        <w:t>”</w:t>
      </w:r>
      <w:r w:rsidRPr="0000182F">
        <w:rPr>
          <w:szCs w:val="24"/>
        </w:rPr>
        <w:t xml:space="preserve"> (TFF</w:t>
      </w:r>
      <w:r w:rsidR="001A54D8" w:rsidRPr="0000182F">
        <w:rPr>
          <w:szCs w:val="24"/>
        </w:rPr>
        <w:t>:s</w:t>
      </w:r>
      <w:r w:rsidRPr="0000182F">
        <w:rPr>
          <w:szCs w:val="24"/>
        </w:rPr>
        <w:t xml:space="preserve"> årsredovisning 2003 samt hemsida www.tff.se). Föreningen har bildats av de i Sverige verksamma fö</w:t>
      </w:r>
      <w:r w:rsidRPr="0000182F">
        <w:rPr>
          <w:szCs w:val="24"/>
        </w:rPr>
        <w:t>r</w:t>
      </w:r>
      <w:r w:rsidRPr="0000182F">
        <w:rPr>
          <w:szCs w:val="24"/>
        </w:rPr>
        <w:t>säkrings</w:t>
      </w:r>
      <w:r w:rsidRPr="0000182F">
        <w:rPr>
          <w:szCs w:val="24"/>
        </w:rPr>
        <w:softHyphen/>
        <w:t>bolagen för att tillvarata bolagens ekonomiska intressen gentemot fordonsägare som underlåtit att teckna trafikförsäkring. Föreningen inkasserar avgifter som gottgörelse för att ansvara för de eventuella kostnader som för</w:t>
      </w:r>
      <w:r w:rsidRPr="0000182F">
        <w:rPr>
          <w:szCs w:val="24"/>
        </w:rPr>
        <w:t>a</w:t>
      </w:r>
      <w:r w:rsidRPr="0000182F">
        <w:rPr>
          <w:szCs w:val="24"/>
        </w:rPr>
        <w:t>ren av ett oförsäkrat fordon kan åsamka andra.</w:t>
      </w:r>
    </w:p>
    <w:p w:rsidR="00D033FE" w:rsidRPr="0000182F" w:rsidRDefault="00D033FE">
      <w:pPr>
        <w:pStyle w:val="Rubrik1"/>
        <w:shd w:val="clear" w:color="000000" w:fill="auto"/>
      </w:pPr>
      <w:r w:rsidRPr="0000182F">
        <w:t>Hemställan</w:t>
      </w:r>
    </w:p>
    <w:p w:rsidR="00D033FE" w:rsidRPr="0000182F" w:rsidRDefault="00D033FE">
      <w:pPr>
        <w:shd w:val="clear" w:color="000000" w:fill="auto"/>
      </w:pPr>
      <w:r w:rsidRPr="0000182F">
        <w:t>Man får lätt en känsla av att rättstillämpningen inom detta område har ett inslag av godtycke. Det är förbryllande och utgör ett problem för rättssäkerh</w:t>
      </w:r>
      <w:r w:rsidRPr="0000182F">
        <w:t>e</w:t>
      </w:r>
      <w:r w:rsidRPr="0000182F">
        <w:t xml:space="preserve">ten att fordringar som är så lika som kommunal </w:t>
      </w:r>
      <w:r w:rsidR="001A54D8" w:rsidRPr="0000182F">
        <w:t>VA</w:t>
      </w:r>
      <w:r w:rsidRPr="0000182F">
        <w:t xml:space="preserve">-avgift, </w:t>
      </w:r>
      <w:r w:rsidR="001A54D8" w:rsidRPr="0000182F">
        <w:t>tv</w:t>
      </w:r>
      <w:r w:rsidRPr="0000182F">
        <w:t>-licens och trafikförsäkringsavgift kan anses ha olika preskriptionstider. Med anledning av det ovan anförda är det av stor vikt att klargöra rättsläget när det gäller tillämpningen av preskriptionslagen. Riksdagen begär att regeringen åte</w:t>
      </w:r>
      <w:r w:rsidRPr="0000182F">
        <w:t>r</w:t>
      </w:r>
      <w:r w:rsidRPr="0000182F">
        <w:t xml:space="preserve">kommer med ändringar i lagstiftningen som förtydligar tillämpningen av preskriptionslagen </w:t>
      </w:r>
      <w:r w:rsidR="001A54D8" w:rsidRPr="0000182F">
        <w:t>och därvid tar i</w:t>
      </w:r>
      <w:r w:rsidRPr="0000182F">
        <w:t xml:space="preserve"> beaktande de bedömningar som låg till grund för lagens tillkomst. Det är heller inte rimligt att lagstiftningen har olika definitioner av begreppet näringsidkare. Den definition som används i konsumentköplagen av begreppet näringsidkare bör rimligen gälla även i preskriptionslagen. Detta bör riksdagen ge regeringen till</w:t>
      </w:r>
      <w:r w:rsidR="001A54D8" w:rsidRPr="0000182F">
        <w:t xml:space="preserve"> </w:t>
      </w:r>
      <w:r w:rsidRPr="0000182F">
        <w:t>känna som sin m</w:t>
      </w:r>
      <w:r w:rsidRPr="0000182F">
        <w:t>e</w:t>
      </w:r>
      <w:r w:rsidRPr="0000182F">
        <w:t>ning.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182F">
        <w:trPr>
          <w:cantSplit/>
        </w:trPr>
        <w:tc>
          <w:tcPr>
            <w:tcW w:w="3046" w:type="dxa"/>
          </w:tcPr>
          <w:p w:rsidR="00AE3B81" w:rsidRPr="0000182F" w:rsidRDefault="00AE3B81">
            <w:pPr>
              <w:pStyle w:val="UnderskriftDatum"/>
              <w:shd w:val="clear" w:color="000000" w:fill="auto"/>
              <w:spacing w:before="240"/>
            </w:pPr>
            <w:r w:rsidRPr="0000182F">
              <w:t>Stockholm den 27 oktober 2006</w:t>
            </w:r>
          </w:p>
        </w:tc>
        <w:tc>
          <w:tcPr>
            <w:tcW w:w="3047" w:type="dxa"/>
          </w:tcPr>
          <w:p w:rsidR="00AE3B81" w:rsidRPr="0000182F" w:rsidRDefault="00AE3B81">
            <w:pPr>
              <w:pStyle w:val="Underskrifter"/>
              <w:shd w:val="clear" w:color="000000" w:fill="auto"/>
              <w:spacing w:before="240"/>
            </w:pPr>
          </w:p>
        </w:tc>
      </w:tr>
      <w:tr w:rsidR="00000000" w:rsidRPr="0000182F">
        <w:trPr>
          <w:cantSplit/>
        </w:trPr>
        <w:tc>
          <w:tcPr>
            <w:tcW w:w="3046" w:type="dxa"/>
          </w:tcPr>
          <w:p w:rsidR="00AE3B81" w:rsidRPr="0000182F" w:rsidRDefault="00AE3B81">
            <w:pPr>
              <w:pStyle w:val="Underskrifter"/>
              <w:shd w:val="clear" w:color="000000" w:fill="auto"/>
            </w:pPr>
            <w:r w:rsidRPr="0000182F">
              <w:t>Jan Lindholm (mp)</w:t>
            </w:r>
          </w:p>
        </w:tc>
        <w:tc>
          <w:tcPr>
            <w:tcW w:w="3046" w:type="dxa"/>
          </w:tcPr>
          <w:p w:rsidR="00AE3B81" w:rsidRPr="0000182F" w:rsidRDefault="00AE3B81">
            <w:pPr>
              <w:pStyle w:val="Underskrifter"/>
              <w:shd w:val="clear" w:color="000000" w:fill="auto"/>
            </w:pPr>
          </w:p>
        </w:tc>
      </w:tr>
    </w:tbl>
    <w:p w:rsidR="00D033FE" w:rsidRPr="0000182F" w:rsidRDefault="00D033FE">
      <w:pPr>
        <w:pStyle w:val="Normaltindrag"/>
        <w:shd w:val="clear" w:color="000000" w:fill="auto"/>
      </w:pPr>
    </w:p>
    <w:sectPr w:rsidR="00D033FE" w:rsidRPr="0000182F" w:rsidSect="001A54D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B81" w:rsidRPr="0000182F" w:rsidRDefault="00AE3B81">
      <w:r w:rsidRPr="0000182F">
        <w:separator/>
      </w:r>
    </w:p>
  </w:endnote>
  <w:endnote w:type="continuationSeparator" w:id="0">
    <w:p w:rsidR="00AE3B81" w:rsidRPr="0000182F" w:rsidRDefault="00AE3B81">
      <w:r w:rsidRPr="0000182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DE" w:rsidRPr="0000182F" w:rsidRDefault="0000182F" w:rsidP="001A54D8">
    <w:pPr>
      <w:pStyle w:val="Sidfot"/>
    </w:pPr>
    <w:r w:rsidRPr="0000182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461948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D8" w:rsidRDefault="00AE3B81">
                          <w:pPr>
                            <w:pStyle w:val="NormalS5sidnrV"/>
                          </w:pPr>
                          <w:r>
                            <w:fldChar w:fldCharType="begin"/>
                          </w:r>
                          <w:r w:rsidR="001A54D8">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A54D8" w:rsidRDefault="00AE3B81">
                    <w:pPr>
                      <w:pStyle w:val="NormalS5sidnrV"/>
                    </w:pPr>
                    <w:r>
                      <w:fldChar w:fldCharType="begin"/>
                    </w:r>
                    <w:r w:rsidR="001A54D8">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CA" w:rsidRPr="0000182F" w:rsidRDefault="0000182F" w:rsidP="001A54D8">
    <w:pPr>
      <w:pStyle w:val="Sidfot"/>
    </w:pPr>
    <w:r w:rsidRPr="0000182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44707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D8" w:rsidRDefault="00AE3B81">
                          <w:pPr>
                            <w:pStyle w:val="NormalS5sidnrH"/>
                            <w:ind w:right="0"/>
                          </w:pPr>
                          <w:r>
                            <w:fldChar w:fldCharType="begin"/>
                          </w:r>
                          <w:r w:rsidR="001A54D8">
                            <w:instrText xml:space="preserve"> PAGE *\charformat</w:instrText>
                          </w:r>
                          <w:r>
                            <w:fldChar w:fldCharType="separate"/>
                          </w:r>
                          <w:r w:rsidR="004C47E0">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A54D8" w:rsidRDefault="00AE3B81">
                    <w:pPr>
                      <w:pStyle w:val="NormalS5sidnrH"/>
                      <w:ind w:right="0"/>
                    </w:pPr>
                    <w:r>
                      <w:fldChar w:fldCharType="begin"/>
                    </w:r>
                    <w:r w:rsidR="001A54D8">
                      <w:instrText xml:space="preserve"> PAGE *\charformat</w:instrText>
                    </w:r>
                    <w:r>
                      <w:fldChar w:fldCharType="separate"/>
                    </w:r>
                    <w:r w:rsidR="004C47E0">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CA" w:rsidRPr="0000182F" w:rsidRDefault="0000182F" w:rsidP="001A54D8">
    <w:pPr>
      <w:pStyle w:val="Sidfot"/>
    </w:pPr>
    <w:r w:rsidRPr="0000182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3733086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D8" w:rsidRDefault="00AE3B81">
                          <w:pPr>
                            <w:pStyle w:val="NormalS5sidnrH"/>
                            <w:ind w:right="0"/>
                          </w:pPr>
                          <w:r>
                            <w:fldChar w:fldCharType="begin"/>
                          </w:r>
                          <w:r w:rsidR="001A54D8">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A54D8" w:rsidRDefault="00AE3B81">
                    <w:pPr>
                      <w:pStyle w:val="NormalS5sidnrH"/>
                      <w:ind w:right="0"/>
                    </w:pPr>
                    <w:r>
                      <w:fldChar w:fldCharType="begin"/>
                    </w:r>
                    <w:r w:rsidR="001A54D8">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B81" w:rsidRPr="0000182F" w:rsidRDefault="00AE3B81">
      <w:r w:rsidRPr="0000182F">
        <w:separator/>
      </w:r>
    </w:p>
  </w:footnote>
  <w:footnote w:type="continuationSeparator" w:id="0">
    <w:p w:rsidR="00AE3B81" w:rsidRPr="0000182F" w:rsidRDefault="00AE3B81">
      <w:r w:rsidRPr="0000182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D71DE" w:rsidRPr="0000182F" w:rsidRDefault="0000182F" w:rsidP="001A54D8">
    <w:pPr>
      <w:pStyle w:val="Sidhuvud"/>
    </w:pPr>
    <w:r w:rsidRPr="0000182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989912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D8" w:rsidRDefault="00AE3B81">
                          <w:pPr>
                            <w:pStyle w:val="KantRubrikS5V"/>
                          </w:pPr>
                          <w:r>
                            <w:fldChar w:fldCharType="begin"/>
                          </w:r>
                          <w:r w:rsidR="001A54D8">
                            <w:instrText xml:space="preserve"> DOCPROPERTY "YearUser" *\charformat </w:instrText>
                          </w:r>
                          <w:r>
                            <w:fldChar w:fldCharType="separate"/>
                          </w:r>
                          <w:r w:rsidR="00742D37">
                            <w:t>2006/07</w:t>
                          </w:r>
                          <w:r>
                            <w:fldChar w:fldCharType="end"/>
                          </w:r>
                          <w:r w:rsidR="001A54D8">
                            <w:t>:</w:t>
                          </w:r>
                          <w:r>
                            <w:fldChar w:fldCharType="begin"/>
                          </w:r>
                          <w:r w:rsidR="001A54D8">
                            <w:instrText xml:space="preserve"> DOCPROPERTY "Motionsnummer" *\charformat </w:instrText>
                          </w:r>
                          <w:r>
                            <w:fldChar w:fldCharType="separate"/>
                          </w:r>
                          <w:r w:rsidR="00742D37">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A54D8" w:rsidRDefault="00AE3B81">
                    <w:pPr>
                      <w:pStyle w:val="KantRubrikS5V"/>
                    </w:pPr>
                    <w:r>
                      <w:fldChar w:fldCharType="begin"/>
                    </w:r>
                    <w:r w:rsidR="001A54D8">
                      <w:instrText xml:space="preserve"> DOCPROPERTY "YearUser" *\charformat </w:instrText>
                    </w:r>
                    <w:r>
                      <w:fldChar w:fldCharType="separate"/>
                    </w:r>
                    <w:r w:rsidR="00742D37">
                      <w:t>2006/07</w:t>
                    </w:r>
                    <w:r>
                      <w:fldChar w:fldCharType="end"/>
                    </w:r>
                    <w:r w:rsidR="001A54D8">
                      <w:t>:</w:t>
                    </w:r>
                    <w:r>
                      <w:fldChar w:fldCharType="begin"/>
                    </w:r>
                    <w:r w:rsidR="001A54D8">
                      <w:instrText xml:space="preserve"> DOCPROPERTY "Motionsnummer" *\charformat </w:instrText>
                    </w:r>
                    <w:r>
                      <w:fldChar w:fldCharType="separate"/>
                    </w:r>
                    <w:r w:rsidR="00742D37">
                      <w:t>C274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53BCA" w:rsidRPr="0000182F" w:rsidRDefault="0000182F" w:rsidP="001A54D8">
    <w:pPr>
      <w:pStyle w:val="Sidhuvud"/>
    </w:pPr>
    <w:r w:rsidRPr="0000182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640793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A54D8" w:rsidRDefault="00AE3B81">
                          <w:pPr>
                            <w:pStyle w:val="KantRubrikS5H"/>
                            <w:ind w:right="0"/>
                          </w:pPr>
                          <w:r>
                            <w:fldChar w:fldCharType="begin"/>
                          </w:r>
                          <w:r w:rsidR="001A54D8">
                            <w:instrText xml:space="preserve"> DOCPROPERTY "YearUser" *\charformat </w:instrText>
                          </w:r>
                          <w:r>
                            <w:fldChar w:fldCharType="separate"/>
                          </w:r>
                          <w:r w:rsidR="00742D37">
                            <w:t>2006/07</w:t>
                          </w:r>
                          <w:r>
                            <w:fldChar w:fldCharType="end"/>
                          </w:r>
                          <w:r w:rsidR="001A54D8">
                            <w:t>:</w:t>
                          </w:r>
                          <w:r>
                            <w:fldChar w:fldCharType="begin"/>
                          </w:r>
                          <w:r w:rsidR="001A54D8">
                            <w:instrText xml:space="preserve"> DOCPROPERTY "Motionsnummer" *\charformat </w:instrText>
                          </w:r>
                          <w:r>
                            <w:fldChar w:fldCharType="separate"/>
                          </w:r>
                          <w:r w:rsidR="00742D37">
                            <w:t>C274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A54D8" w:rsidRDefault="00AE3B81">
                    <w:pPr>
                      <w:pStyle w:val="KantRubrikS5H"/>
                      <w:ind w:right="0"/>
                    </w:pPr>
                    <w:r>
                      <w:fldChar w:fldCharType="begin"/>
                    </w:r>
                    <w:r w:rsidR="001A54D8">
                      <w:instrText xml:space="preserve"> DOCPROPERTY "YearUser" *\charformat </w:instrText>
                    </w:r>
                    <w:r>
                      <w:fldChar w:fldCharType="separate"/>
                    </w:r>
                    <w:r w:rsidR="00742D37">
                      <w:t>2006/07</w:t>
                    </w:r>
                    <w:r>
                      <w:fldChar w:fldCharType="end"/>
                    </w:r>
                    <w:r w:rsidR="001A54D8">
                      <w:t>:</w:t>
                    </w:r>
                    <w:r>
                      <w:fldChar w:fldCharType="begin"/>
                    </w:r>
                    <w:r w:rsidR="001A54D8">
                      <w:instrText xml:space="preserve"> DOCPROPERTY "Motionsnummer" *\charformat </w:instrText>
                    </w:r>
                    <w:r>
                      <w:fldChar w:fldCharType="separate"/>
                    </w:r>
                    <w:r w:rsidR="00742D37">
                      <w:t>C274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B81" w:rsidRPr="0000182F" w:rsidRDefault="00AE3B81">
    <w:pPr>
      <w:pStyle w:val="FSHNormal"/>
      <w:tabs>
        <w:tab w:val="right" w:pos="5840"/>
      </w:tabs>
    </w:pPr>
    <w:r w:rsidRPr="0000182F">
      <w:br/>
    </w:r>
    <w:r w:rsidRPr="0000182F">
      <w:fldChar w:fldCharType="begin" w:fldLock="1"/>
    </w:r>
    <w:r w:rsidRPr="0000182F">
      <w:instrText xml:space="preserve"> DOCPROPERTY</w:instrText>
    </w:r>
    <w:r w:rsidRPr="0000182F">
      <w:rPr>
        <w:sz w:val="18"/>
      </w:rPr>
      <w:instrText xml:space="preserve"> "YearUser" *\charformat </w:instrText>
    </w:r>
    <w:r w:rsidRPr="0000182F">
      <w:fldChar w:fldCharType="separate"/>
    </w:r>
    <w:r w:rsidRPr="0000182F">
      <w:t>2006/07</w:t>
    </w:r>
    <w:r w:rsidRPr="0000182F">
      <w:fldChar w:fldCharType="end"/>
    </w:r>
    <w:r w:rsidRPr="0000182F">
      <w:t xml:space="preserve"> </w:t>
    </w:r>
    <w:r w:rsidRPr="0000182F">
      <w:tab/>
      <w:t xml:space="preserve">mnr: </w:t>
    </w:r>
    <w:r w:rsidRPr="0000182F">
      <w:fldChar w:fldCharType="begin" w:fldLock="1"/>
    </w:r>
    <w:r w:rsidRPr="0000182F">
      <w:instrText xml:space="preserve"> DOCPROPERTY</w:instrText>
    </w:r>
    <w:r w:rsidRPr="0000182F">
      <w:rPr>
        <w:sz w:val="18"/>
      </w:rPr>
      <w:instrText xml:space="preserve"> "Motionsnummer" *\charformat </w:instrText>
    </w:r>
    <w:r w:rsidRPr="0000182F">
      <w:fldChar w:fldCharType="separate"/>
    </w:r>
    <w:r w:rsidRPr="0000182F">
      <w:t>C274</w:t>
    </w:r>
    <w:r w:rsidRPr="0000182F">
      <w:fldChar w:fldCharType="end"/>
    </w:r>
    <w:r w:rsidRPr="0000182F">
      <w:br/>
    </w:r>
    <w:r w:rsidRPr="0000182F">
      <w:fldChar w:fldCharType="begin" w:fldLock="1"/>
    </w:r>
    <w:r w:rsidRPr="0000182F">
      <w:instrText xml:space="preserve"> DOCPROPERTY</w:instrText>
    </w:r>
    <w:r w:rsidRPr="0000182F">
      <w:rPr>
        <w:sz w:val="18"/>
      </w:rPr>
      <w:instrText xml:space="preserve"> "Samling" *\charformat </w:instrText>
    </w:r>
    <w:r w:rsidRPr="0000182F">
      <w:fldChar w:fldCharType="end"/>
    </w:r>
    <w:r w:rsidRPr="0000182F">
      <w:tab/>
      <w:t xml:space="preserve">pnr: </w:t>
    </w:r>
    <w:r w:rsidRPr="0000182F">
      <w:fldChar w:fldCharType="begin" w:fldLock="1"/>
    </w:r>
    <w:r w:rsidRPr="0000182F">
      <w:instrText xml:space="preserve"> DOCPROPERTY</w:instrText>
    </w:r>
    <w:r w:rsidRPr="0000182F">
      <w:rPr>
        <w:sz w:val="18"/>
      </w:rPr>
      <w:instrText xml:space="preserve"> "Partinummer" *\charformat </w:instrText>
    </w:r>
    <w:r w:rsidRPr="0000182F">
      <w:fldChar w:fldCharType="separate"/>
    </w:r>
    <w:r w:rsidRPr="0000182F">
      <w:t>mp715</w:t>
    </w:r>
    <w:r w:rsidRPr="0000182F">
      <w:fldChar w:fldCharType="end"/>
    </w:r>
  </w:p>
  <w:p w:rsidR="00AE3B81" w:rsidRPr="0000182F" w:rsidRDefault="00AE3B81">
    <w:pPr>
      <w:pStyle w:val="FSHRub1"/>
    </w:pPr>
    <w:r w:rsidRPr="0000182F">
      <w:t>Motion till riksdagen</w:t>
    </w:r>
    <w:r w:rsidRPr="0000182F">
      <w:br/>
    </w:r>
    <w:r w:rsidRPr="0000182F">
      <w:fldChar w:fldCharType="begin" w:fldLock="1"/>
    </w:r>
    <w:r w:rsidRPr="0000182F">
      <w:instrText xml:space="preserve"> DOCPROPERTY "YearUser" *\charformat </w:instrText>
    </w:r>
    <w:r w:rsidRPr="0000182F">
      <w:fldChar w:fldCharType="separate"/>
    </w:r>
    <w:r w:rsidRPr="0000182F">
      <w:t>2006/07</w:t>
    </w:r>
    <w:r w:rsidRPr="0000182F">
      <w:fldChar w:fldCharType="end"/>
    </w:r>
    <w:r w:rsidRPr="0000182F">
      <w:t>:</w:t>
    </w:r>
    <w:r w:rsidRPr="0000182F">
      <w:fldChar w:fldCharType="begin" w:fldLock="1"/>
    </w:r>
    <w:r w:rsidRPr="0000182F">
      <w:instrText xml:space="preserve"> DOCPROPERTY "Motionsnummer" *\charformat </w:instrText>
    </w:r>
    <w:r w:rsidRPr="0000182F">
      <w:fldChar w:fldCharType="separate"/>
    </w:r>
    <w:r w:rsidRPr="0000182F">
      <w:t>C274</w:t>
    </w:r>
    <w:r w:rsidRPr="0000182F">
      <w:fldChar w:fldCharType="end"/>
    </w:r>
  </w:p>
  <w:p w:rsidR="00AE3B81" w:rsidRPr="0000182F" w:rsidRDefault="00AE3B81">
    <w:pPr>
      <w:pStyle w:val="FSHNormalS5"/>
    </w:pPr>
    <w:r w:rsidRPr="0000182F">
      <w:fldChar w:fldCharType="begin" w:fldLock="1"/>
    </w:r>
    <w:r w:rsidRPr="0000182F">
      <w:instrText xml:space="preserve"> DOCPROPERTY "MotionarText" *\charformat </w:instrText>
    </w:r>
    <w:r w:rsidRPr="0000182F">
      <w:fldChar w:fldCharType="separate"/>
    </w:r>
    <w:r w:rsidRPr="0000182F">
      <w:t>av Jan Lindholm (mp)</w:t>
    </w:r>
    <w:r w:rsidRPr="0000182F">
      <w:fldChar w:fldCharType="end"/>
    </w:r>
    <w:r w:rsidRPr="0000182F">
      <w:br/>
    </w:r>
    <w:r w:rsidRPr="0000182F">
      <w:fldChar w:fldCharType="begin" w:fldLock="1"/>
    </w:r>
    <w:r w:rsidRPr="0000182F">
      <w:instrText xml:space="preserve"> DOCPROPERTY "SvarFrasKort" *\charformat </w:instrText>
    </w:r>
    <w:r w:rsidRPr="0000182F">
      <w:fldChar w:fldCharType="end"/>
    </w:r>
  </w:p>
  <w:p w:rsidR="00AE3B81" w:rsidRPr="0000182F" w:rsidRDefault="00AE3B81">
    <w:pPr>
      <w:pStyle w:val="FSHTitel"/>
    </w:pPr>
    <w:r w:rsidRPr="0000182F">
      <w:fldChar w:fldCharType="begin" w:fldLock="1"/>
    </w:r>
    <w:r w:rsidRPr="0000182F">
      <w:instrText xml:space="preserve"> DOCPROPERTY</w:instrText>
    </w:r>
    <w:r w:rsidRPr="0000182F">
      <w:rPr>
        <w:sz w:val="18"/>
      </w:rPr>
      <w:instrText xml:space="preserve"> "RubrikSvar" *\charformat </w:instrText>
    </w:r>
    <w:r w:rsidRPr="0000182F">
      <w:fldChar w:fldCharType="separate"/>
    </w:r>
    <w:r w:rsidRPr="0000182F">
      <w:t>Preskriptionslagen</w:t>
    </w:r>
    <w:r w:rsidRPr="0000182F">
      <w:fldChar w:fldCharType="end"/>
    </w:r>
  </w:p>
  <w:p w:rsidR="00AE3B81" w:rsidRPr="0000182F" w:rsidRDefault="00AE3B81">
    <w:pPr>
      <w:pStyle w:val="Normal00"/>
    </w:pPr>
  </w:p>
  <w:p w:rsidR="001A54D8" w:rsidRPr="0000182F" w:rsidRDefault="001A54D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968511E"/>
    <w:multiLevelType w:val="multilevel"/>
    <w:tmpl w:val="9092B8DA"/>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9B5594"/>
    <w:multiLevelType w:val="hybridMultilevel"/>
    <w:tmpl w:val="4D342450"/>
    <w:lvl w:ilvl="0" w:tplc="A6A6C9B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82267565">
    <w:abstractNumId w:val="15"/>
  </w:num>
  <w:num w:numId="2" w16cid:durableId="643966724">
    <w:abstractNumId w:val="10"/>
  </w:num>
  <w:num w:numId="3" w16cid:durableId="129982905">
    <w:abstractNumId w:val="12"/>
  </w:num>
  <w:num w:numId="4" w16cid:durableId="900216905">
    <w:abstractNumId w:val="13"/>
  </w:num>
  <w:num w:numId="5" w16cid:durableId="2138598325">
    <w:abstractNumId w:val="8"/>
  </w:num>
  <w:num w:numId="6" w16cid:durableId="1270770549">
    <w:abstractNumId w:val="3"/>
  </w:num>
  <w:num w:numId="7" w16cid:durableId="616907871">
    <w:abstractNumId w:val="2"/>
  </w:num>
  <w:num w:numId="8" w16cid:durableId="539326041">
    <w:abstractNumId w:val="1"/>
  </w:num>
  <w:num w:numId="9" w16cid:durableId="30883948">
    <w:abstractNumId w:val="0"/>
  </w:num>
  <w:num w:numId="10" w16cid:durableId="864054256">
    <w:abstractNumId w:val="9"/>
  </w:num>
  <w:num w:numId="11" w16cid:durableId="472412138">
    <w:abstractNumId w:val="7"/>
  </w:num>
  <w:num w:numId="12" w16cid:durableId="1076901269">
    <w:abstractNumId w:val="6"/>
  </w:num>
  <w:num w:numId="13" w16cid:durableId="1367948186">
    <w:abstractNumId w:val="5"/>
  </w:num>
  <w:num w:numId="14" w16cid:durableId="821196651">
    <w:abstractNumId w:val="4"/>
  </w:num>
  <w:num w:numId="15" w16cid:durableId="644896672">
    <w:abstractNumId w:val="14"/>
  </w:num>
  <w:num w:numId="16" w16cid:durableId="14592542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C87839E7-C05D-47B9-AB7F-246B82B1F61B}"/>
  </w:docVars>
  <w:rsids>
    <w:rsidRoot w:val="0000182F"/>
    <w:rsid w:val="0000182F"/>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1F67"/>
    <w:rsid w:val="00177CC2"/>
    <w:rsid w:val="0019171D"/>
    <w:rsid w:val="001921C4"/>
    <w:rsid w:val="001923A4"/>
    <w:rsid w:val="001A25D5"/>
    <w:rsid w:val="001A2624"/>
    <w:rsid w:val="001A2A2B"/>
    <w:rsid w:val="001A54D8"/>
    <w:rsid w:val="001E0043"/>
    <w:rsid w:val="00201DFB"/>
    <w:rsid w:val="00204A63"/>
    <w:rsid w:val="00212FF1"/>
    <w:rsid w:val="00230193"/>
    <w:rsid w:val="00244D0B"/>
    <w:rsid w:val="0025068A"/>
    <w:rsid w:val="00274884"/>
    <w:rsid w:val="002818D3"/>
    <w:rsid w:val="002911A7"/>
    <w:rsid w:val="002943C8"/>
    <w:rsid w:val="00295E6D"/>
    <w:rsid w:val="002A2A6B"/>
    <w:rsid w:val="002C0C9D"/>
    <w:rsid w:val="002C2373"/>
    <w:rsid w:val="002D11A8"/>
    <w:rsid w:val="00314F87"/>
    <w:rsid w:val="0032051D"/>
    <w:rsid w:val="003303B5"/>
    <w:rsid w:val="003366E9"/>
    <w:rsid w:val="00340665"/>
    <w:rsid w:val="00342FB4"/>
    <w:rsid w:val="00353476"/>
    <w:rsid w:val="0036065A"/>
    <w:rsid w:val="003866EC"/>
    <w:rsid w:val="00391AF5"/>
    <w:rsid w:val="003B418B"/>
    <w:rsid w:val="003E3C38"/>
    <w:rsid w:val="003F100A"/>
    <w:rsid w:val="00445271"/>
    <w:rsid w:val="00447A04"/>
    <w:rsid w:val="004527C3"/>
    <w:rsid w:val="00487F7A"/>
    <w:rsid w:val="004971B2"/>
    <w:rsid w:val="004A0504"/>
    <w:rsid w:val="004B5278"/>
    <w:rsid w:val="004C47E0"/>
    <w:rsid w:val="004E38D9"/>
    <w:rsid w:val="005000F2"/>
    <w:rsid w:val="00531020"/>
    <w:rsid w:val="00545150"/>
    <w:rsid w:val="00545421"/>
    <w:rsid w:val="0055072A"/>
    <w:rsid w:val="005525A5"/>
    <w:rsid w:val="005544CE"/>
    <w:rsid w:val="005745FD"/>
    <w:rsid w:val="005B145B"/>
    <w:rsid w:val="005D3F50"/>
    <w:rsid w:val="00601C6D"/>
    <w:rsid w:val="00603CD4"/>
    <w:rsid w:val="006346C1"/>
    <w:rsid w:val="00641301"/>
    <w:rsid w:val="00653DD0"/>
    <w:rsid w:val="00691F05"/>
    <w:rsid w:val="006B6262"/>
    <w:rsid w:val="00727C6F"/>
    <w:rsid w:val="00740D6D"/>
    <w:rsid w:val="00742D37"/>
    <w:rsid w:val="00743F76"/>
    <w:rsid w:val="00770030"/>
    <w:rsid w:val="00774959"/>
    <w:rsid w:val="00776EF8"/>
    <w:rsid w:val="007852B2"/>
    <w:rsid w:val="00794149"/>
    <w:rsid w:val="007B67A7"/>
    <w:rsid w:val="007C6092"/>
    <w:rsid w:val="007E119E"/>
    <w:rsid w:val="00846903"/>
    <w:rsid w:val="008B6666"/>
    <w:rsid w:val="008F0A96"/>
    <w:rsid w:val="009062A0"/>
    <w:rsid w:val="009451E7"/>
    <w:rsid w:val="00956E7F"/>
    <w:rsid w:val="00970D4F"/>
    <w:rsid w:val="00971D70"/>
    <w:rsid w:val="009A4377"/>
    <w:rsid w:val="009A6043"/>
    <w:rsid w:val="009D0673"/>
    <w:rsid w:val="009D71DE"/>
    <w:rsid w:val="00A053C6"/>
    <w:rsid w:val="00A055B3"/>
    <w:rsid w:val="00A13CAC"/>
    <w:rsid w:val="00A15D71"/>
    <w:rsid w:val="00A21BC5"/>
    <w:rsid w:val="00A736FF"/>
    <w:rsid w:val="00A92039"/>
    <w:rsid w:val="00AA1434"/>
    <w:rsid w:val="00AB5000"/>
    <w:rsid w:val="00AC4310"/>
    <w:rsid w:val="00AC63D9"/>
    <w:rsid w:val="00AD594D"/>
    <w:rsid w:val="00AE2EF8"/>
    <w:rsid w:val="00AE3B81"/>
    <w:rsid w:val="00AF5881"/>
    <w:rsid w:val="00B13BF0"/>
    <w:rsid w:val="00B33C81"/>
    <w:rsid w:val="00B34666"/>
    <w:rsid w:val="00B550B4"/>
    <w:rsid w:val="00B67E5B"/>
    <w:rsid w:val="00BA4894"/>
    <w:rsid w:val="00BA6BE0"/>
    <w:rsid w:val="00BB6D75"/>
    <w:rsid w:val="00BD43A8"/>
    <w:rsid w:val="00C1285C"/>
    <w:rsid w:val="00C27B7D"/>
    <w:rsid w:val="00C30CEA"/>
    <w:rsid w:val="00C32A06"/>
    <w:rsid w:val="00C44394"/>
    <w:rsid w:val="00C533BA"/>
    <w:rsid w:val="00C53BCA"/>
    <w:rsid w:val="00C902E9"/>
    <w:rsid w:val="00C92208"/>
    <w:rsid w:val="00CB5B24"/>
    <w:rsid w:val="00CD4B2B"/>
    <w:rsid w:val="00CE3037"/>
    <w:rsid w:val="00CF7A43"/>
    <w:rsid w:val="00D01775"/>
    <w:rsid w:val="00D033FE"/>
    <w:rsid w:val="00D1174F"/>
    <w:rsid w:val="00D1289C"/>
    <w:rsid w:val="00D16A6A"/>
    <w:rsid w:val="00D24C3D"/>
    <w:rsid w:val="00D44527"/>
    <w:rsid w:val="00D52681"/>
    <w:rsid w:val="00D53D04"/>
    <w:rsid w:val="00D55EF7"/>
    <w:rsid w:val="00DA5B6A"/>
    <w:rsid w:val="00DB4BAF"/>
    <w:rsid w:val="00DC0DF0"/>
    <w:rsid w:val="00DC6C70"/>
    <w:rsid w:val="00DF5ACD"/>
    <w:rsid w:val="00E22893"/>
    <w:rsid w:val="00E326C7"/>
    <w:rsid w:val="00E349C2"/>
    <w:rsid w:val="00E360DE"/>
    <w:rsid w:val="00E5074A"/>
    <w:rsid w:val="00E521CB"/>
    <w:rsid w:val="00E728F6"/>
    <w:rsid w:val="00E75D28"/>
    <w:rsid w:val="00E84F25"/>
    <w:rsid w:val="00EA6AFC"/>
    <w:rsid w:val="00EC007B"/>
    <w:rsid w:val="00F21B30"/>
    <w:rsid w:val="00F25259"/>
    <w:rsid w:val="00F273EA"/>
    <w:rsid w:val="00F42CB9"/>
    <w:rsid w:val="00F5786C"/>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66F9470-663B-462D-A816-58577F0B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033FE"/>
    <w:pPr>
      <w:spacing w:before="125" w:line="250" w:lineRule="atLeast"/>
      <w:jc w:val="both"/>
    </w:pPr>
    <w:rPr>
      <w:sz w:val="19"/>
      <w:lang w:val="sv-SE" w:eastAsia="sv-SE"/>
    </w:rPr>
  </w:style>
  <w:style w:type="paragraph" w:styleId="Rubrik1">
    <w:name w:val="heading 1"/>
    <w:basedOn w:val="Normal"/>
    <w:next w:val="Normal"/>
    <w:qFormat/>
    <w:rsid w:val="001A54D8"/>
    <w:pPr>
      <w:keepNext/>
      <w:keepLines/>
      <w:numPr>
        <w:numId w:val="16"/>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1A54D8"/>
    <w:pPr>
      <w:numPr>
        <w:ilvl w:val="1"/>
      </w:numPr>
      <w:spacing w:before="500" w:line="250" w:lineRule="exact"/>
      <w:outlineLvl w:val="1"/>
    </w:pPr>
    <w:rPr>
      <w:sz w:val="27"/>
    </w:rPr>
  </w:style>
  <w:style w:type="paragraph" w:styleId="Rubrik3">
    <w:name w:val="heading 3"/>
    <w:aliases w:val="Mellanrubrik"/>
    <w:basedOn w:val="Rubrik2"/>
    <w:next w:val="Normal"/>
    <w:qFormat/>
    <w:rsid w:val="001A54D8"/>
    <w:pPr>
      <w:numPr>
        <w:ilvl w:val="2"/>
      </w:numPr>
      <w:spacing w:before="250" w:after="0"/>
      <w:outlineLvl w:val="2"/>
    </w:pPr>
    <w:rPr>
      <w:b/>
      <w:sz w:val="21"/>
    </w:rPr>
  </w:style>
  <w:style w:type="paragraph" w:styleId="Rubrik4">
    <w:name w:val="heading 4"/>
    <w:aliases w:val="KursivRubrik"/>
    <w:basedOn w:val="Rubrik3"/>
    <w:next w:val="Normal"/>
    <w:qFormat/>
    <w:rsid w:val="001A54D8"/>
    <w:pPr>
      <w:numPr>
        <w:ilvl w:val="3"/>
      </w:numPr>
      <w:outlineLvl w:val="3"/>
    </w:pPr>
    <w:rPr>
      <w:b w:val="0"/>
      <w:i/>
    </w:rPr>
  </w:style>
  <w:style w:type="paragraph" w:styleId="Rubrik5">
    <w:name w:val="heading 5"/>
    <w:aliases w:val="PackadFetRubrik,PackadKursivRubrik"/>
    <w:basedOn w:val="Rubrik4"/>
    <w:next w:val="Normal"/>
    <w:qFormat/>
    <w:rsid w:val="001A54D8"/>
    <w:pPr>
      <w:numPr>
        <w:ilvl w:val="4"/>
      </w:numPr>
      <w:tabs>
        <w:tab w:val="clear" w:pos="1021"/>
      </w:tabs>
      <w:spacing w:before="125"/>
      <w:outlineLvl w:val="4"/>
    </w:pPr>
    <w:rPr>
      <w:i w:val="0"/>
      <w:sz w:val="19"/>
    </w:rPr>
  </w:style>
  <w:style w:type="paragraph" w:styleId="Rubrik6">
    <w:name w:val="heading 6"/>
    <w:basedOn w:val="Rubrik5"/>
    <w:next w:val="Normal"/>
    <w:qFormat/>
    <w:rsid w:val="001A54D8"/>
    <w:pPr>
      <w:numPr>
        <w:ilvl w:val="5"/>
      </w:numPr>
      <w:spacing w:before="50" w:line="200" w:lineRule="exact"/>
      <w:outlineLvl w:val="5"/>
    </w:pPr>
    <w:rPr>
      <w:caps/>
      <w:sz w:val="14"/>
    </w:rPr>
  </w:style>
  <w:style w:type="paragraph" w:styleId="Rubrik7">
    <w:name w:val="heading 7"/>
    <w:basedOn w:val="Rubrik6"/>
    <w:next w:val="Normal"/>
    <w:qFormat/>
    <w:rsid w:val="001A54D8"/>
    <w:pPr>
      <w:numPr>
        <w:ilvl w:val="6"/>
      </w:numPr>
      <w:spacing w:before="0"/>
      <w:outlineLvl w:val="6"/>
    </w:pPr>
  </w:style>
  <w:style w:type="paragraph" w:styleId="Rubrik8">
    <w:name w:val="heading 8"/>
    <w:basedOn w:val="Rubrik7"/>
    <w:next w:val="Normal"/>
    <w:qFormat/>
    <w:rsid w:val="001A54D8"/>
    <w:pPr>
      <w:numPr>
        <w:ilvl w:val="7"/>
      </w:numPr>
      <w:outlineLvl w:val="7"/>
    </w:pPr>
  </w:style>
  <w:style w:type="paragraph" w:styleId="Rubrik9">
    <w:name w:val="heading 9"/>
    <w:basedOn w:val="Rubrik8"/>
    <w:next w:val="Normal"/>
    <w:qFormat/>
    <w:rsid w:val="001A54D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033FE"/>
    <w:pPr>
      <w:spacing w:before="0"/>
      <w:ind w:firstLine="227"/>
    </w:pPr>
  </w:style>
  <w:style w:type="paragraph" w:styleId="Citat">
    <w:name w:val="Quote"/>
    <w:basedOn w:val="Normal"/>
    <w:next w:val="Normal"/>
    <w:link w:val="CitatChar"/>
    <w:qFormat/>
    <w:rsid w:val="00D033FE"/>
    <w:pPr>
      <w:spacing w:line="200" w:lineRule="exact"/>
      <w:ind w:left="340"/>
    </w:pPr>
  </w:style>
  <w:style w:type="paragraph" w:customStyle="1" w:styleId="Citatindrag">
    <w:name w:val="Citat_indrag"/>
    <w:aliases w:val="Packad"/>
    <w:basedOn w:val="Citat"/>
    <w:rsid w:val="00D033FE"/>
    <w:pPr>
      <w:spacing w:before="0"/>
      <w:ind w:firstLine="227"/>
    </w:pPr>
  </w:style>
  <w:style w:type="paragraph" w:customStyle="1" w:styleId="FSHNormal">
    <w:name w:val="FSH_Normal"/>
    <w:semiHidden/>
    <w:rsid w:val="00D033FE"/>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033FE"/>
    <w:pPr>
      <w:spacing w:line="240" w:lineRule="auto"/>
    </w:pPr>
  </w:style>
  <w:style w:type="paragraph" w:customStyle="1" w:styleId="FSHNormalS5">
    <w:name w:val="FSH_NormalS5"/>
    <w:basedOn w:val="FSHNormal"/>
    <w:next w:val="FSHNormal"/>
    <w:semiHidden/>
    <w:rsid w:val="00D033FE"/>
    <w:pPr>
      <w:keepNext/>
      <w:keepLines/>
      <w:widowControl/>
      <w:spacing w:before="230" w:after="520" w:line="250" w:lineRule="exact"/>
    </w:pPr>
    <w:rPr>
      <w:b/>
      <w:sz w:val="27"/>
    </w:rPr>
  </w:style>
  <w:style w:type="paragraph" w:customStyle="1" w:styleId="FSHNormL">
    <w:name w:val="FSH_NormLÖ"/>
    <w:basedOn w:val="FSHNormal"/>
    <w:next w:val="FSHNormal"/>
    <w:semiHidden/>
    <w:rsid w:val="00D033FE"/>
    <w:pPr>
      <w:pBdr>
        <w:top w:val="single" w:sz="12" w:space="1" w:color="auto"/>
      </w:pBdr>
    </w:pPr>
  </w:style>
  <w:style w:type="paragraph" w:customStyle="1" w:styleId="FSHRub1">
    <w:name w:val="FSH_Rub1"/>
    <w:aliases w:val="Rubrik1_S5,Huvudrubrik"/>
    <w:basedOn w:val="FSHNormal"/>
    <w:next w:val="FSHNormal"/>
    <w:semiHidden/>
    <w:rsid w:val="00D033FE"/>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033FE"/>
    <w:pPr>
      <w:spacing w:before="240" w:after="80" w:line="360" w:lineRule="exact"/>
    </w:pPr>
    <w:rPr>
      <w:sz w:val="36"/>
    </w:rPr>
  </w:style>
  <w:style w:type="paragraph" w:customStyle="1" w:styleId="FSHTitel">
    <w:name w:val="FSH_Titel"/>
    <w:aliases w:val="Dokumentrubrik"/>
    <w:basedOn w:val="FSHRub1"/>
    <w:next w:val="FSHNormal"/>
    <w:semiHidden/>
    <w:rsid w:val="00D033FE"/>
    <w:pPr>
      <w:pBdr>
        <w:bottom w:val="single" w:sz="4" w:space="3" w:color="auto"/>
      </w:pBdr>
      <w:spacing w:before="0" w:after="80" w:line="400" w:lineRule="exact"/>
    </w:pPr>
    <w:rPr>
      <w:sz w:val="40"/>
    </w:rPr>
  </w:style>
  <w:style w:type="paragraph" w:customStyle="1" w:styleId="Hemstlrubrik">
    <w:name w:val="Hemstl_rubrik"/>
    <w:basedOn w:val="Rubrik1"/>
    <w:next w:val="Normal"/>
    <w:rsid w:val="00D033FE"/>
    <w:pPr>
      <w:spacing w:after="250"/>
    </w:pPr>
  </w:style>
  <w:style w:type="paragraph" w:customStyle="1" w:styleId="Autokorrigering">
    <w:name w:val="Autokorrigering"/>
    <w:rsid w:val="00D033FE"/>
    <w:rPr>
      <w:sz w:val="24"/>
      <w:szCs w:val="24"/>
      <w:lang w:val="sv-SE" w:eastAsia="sv-SE"/>
    </w:rPr>
  </w:style>
  <w:style w:type="paragraph" w:customStyle="1" w:styleId="Yrkandehnv">
    <w:name w:val="Yrkandehänv"/>
    <w:semiHidden/>
    <w:rsid w:val="00D033FE"/>
    <w:pPr>
      <w:keepNext/>
      <w:keepLines/>
      <w:suppressAutoHyphens/>
    </w:pPr>
    <w:rPr>
      <w:noProof/>
      <w:sz w:val="16"/>
      <w:lang w:val="sv-SE" w:eastAsia="sv-SE"/>
    </w:rPr>
  </w:style>
  <w:style w:type="paragraph" w:customStyle="1" w:styleId="KantRubrikS5H">
    <w:name w:val="KantRubrikS5H"/>
    <w:semiHidden/>
    <w:rsid w:val="00D033FE"/>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033FE"/>
    <w:pPr>
      <w:spacing w:line="200" w:lineRule="exact"/>
    </w:pPr>
  </w:style>
  <w:style w:type="paragraph" w:customStyle="1" w:styleId="KantRubrikS5V">
    <w:name w:val="KantRubrikS5V"/>
    <w:basedOn w:val="KantRubrikS5H"/>
    <w:semiHidden/>
    <w:rsid w:val="00D033FE"/>
    <w:pPr>
      <w:tabs>
        <w:tab w:val="right" w:pos="1814"/>
        <w:tab w:val="left" w:pos="1899"/>
      </w:tabs>
      <w:ind w:right="0"/>
      <w:jc w:val="left"/>
    </w:pPr>
  </w:style>
  <w:style w:type="paragraph" w:customStyle="1" w:styleId="KantRubrikS5Vrad2">
    <w:name w:val="KantRubrikS5Vrad2"/>
    <w:basedOn w:val="KantRubrikS5V"/>
    <w:semiHidden/>
    <w:rsid w:val="00D033FE"/>
    <w:pPr>
      <w:tabs>
        <w:tab w:val="clear" w:pos="1814"/>
        <w:tab w:val="clear" w:pos="1899"/>
        <w:tab w:val="right" w:pos="1418"/>
        <w:tab w:val="left" w:pos="1503"/>
      </w:tabs>
    </w:pPr>
  </w:style>
  <w:style w:type="paragraph" w:customStyle="1" w:styleId="Lagtext">
    <w:name w:val="Lagtext"/>
    <w:basedOn w:val="Lagtextrubrik"/>
    <w:next w:val="Lagtextindrag"/>
    <w:rsid w:val="00D033FE"/>
    <w:pPr>
      <w:spacing w:before="0"/>
    </w:pPr>
    <w:rPr>
      <w:sz w:val="19"/>
    </w:rPr>
  </w:style>
  <w:style w:type="paragraph" w:customStyle="1" w:styleId="Lagtextrubrik">
    <w:name w:val="Lagtext_rubrik"/>
    <w:basedOn w:val="Normal"/>
    <w:next w:val="Normal"/>
    <w:rsid w:val="00D033FE"/>
    <w:pPr>
      <w:suppressAutoHyphens/>
      <w:spacing w:line="220" w:lineRule="exact"/>
    </w:pPr>
    <w:rPr>
      <w:i/>
      <w:sz w:val="21"/>
    </w:rPr>
  </w:style>
  <w:style w:type="paragraph" w:customStyle="1" w:styleId="Lagtextindrag">
    <w:name w:val="Lagtext_indrag"/>
    <w:basedOn w:val="Lagtext"/>
    <w:rsid w:val="00D033FE"/>
    <w:pPr>
      <w:ind w:firstLine="170"/>
    </w:pPr>
  </w:style>
  <w:style w:type="paragraph" w:customStyle="1" w:styleId="NormalA4fot">
    <w:name w:val="Normal_A4fot"/>
    <w:basedOn w:val="Normal"/>
    <w:semiHidden/>
    <w:rsid w:val="00D033FE"/>
    <w:pPr>
      <w:spacing w:before="240" w:line="240" w:lineRule="auto"/>
      <w:jc w:val="center"/>
    </w:pPr>
  </w:style>
  <w:style w:type="paragraph" w:customStyle="1" w:styleId="NormalA4sidnr">
    <w:name w:val="Normal_A4sidnr"/>
    <w:basedOn w:val="Normal"/>
    <w:semiHidden/>
    <w:rsid w:val="00D033FE"/>
    <w:pPr>
      <w:spacing w:after="240"/>
      <w:jc w:val="center"/>
    </w:pPr>
  </w:style>
  <w:style w:type="paragraph" w:customStyle="1" w:styleId="NormalS5sidnrH">
    <w:name w:val="Normal_S5sidnrH"/>
    <w:basedOn w:val="Normal"/>
    <w:semiHidden/>
    <w:rsid w:val="00D033FE"/>
    <w:pPr>
      <w:spacing w:before="0" w:line="240" w:lineRule="auto"/>
      <w:ind w:right="57"/>
      <w:jc w:val="right"/>
    </w:pPr>
  </w:style>
  <w:style w:type="paragraph" w:customStyle="1" w:styleId="NormalS5sidnrV">
    <w:name w:val="Normal_S5sidnrV"/>
    <w:basedOn w:val="NormalS5sidnrH"/>
    <w:semiHidden/>
    <w:rsid w:val="00D033FE"/>
    <w:pPr>
      <w:tabs>
        <w:tab w:val="right" w:pos="1814"/>
        <w:tab w:val="left" w:pos="1899"/>
      </w:tabs>
      <w:ind w:right="0"/>
      <w:jc w:val="left"/>
    </w:pPr>
  </w:style>
  <w:style w:type="paragraph" w:customStyle="1" w:styleId="Normal00">
    <w:name w:val="Normal00"/>
    <w:basedOn w:val="Normal"/>
    <w:semiHidden/>
    <w:rsid w:val="00D033FE"/>
    <w:pPr>
      <w:spacing w:before="0" w:line="240" w:lineRule="auto"/>
      <w:jc w:val="left"/>
    </w:pPr>
  </w:style>
  <w:style w:type="paragraph" w:customStyle="1" w:styleId="PunktlistaBomb">
    <w:name w:val="Punktlista_Bomb"/>
    <w:aliases w:val="Bomb"/>
    <w:basedOn w:val="Normal"/>
    <w:rsid w:val="00D033FE"/>
    <w:pPr>
      <w:numPr>
        <w:numId w:val="2"/>
      </w:numPr>
    </w:pPr>
  </w:style>
  <w:style w:type="paragraph" w:customStyle="1" w:styleId="PunktlistaNummer">
    <w:name w:val="Punktlista_Nummer"/>
    <w:aliases w:val="Nummerlista"/>
    <w:basedOn w:val="Normal"/>
    <w:rsid w:val="00D033FE"/>
    <w:pPr>
      <w:numPr>
        <w:numId w:val="3"/>
      </w:numPr>
    </w:pPr>
  </w:style>
  <w:style w:type="paragraph" w:customStyle="1" w:styleId="PunktlistaTankstreck">
    <w:name w:val="Punktlista_Tankstreck"/>
    <w:aliases w:val="Tankstreck"/>
    <w:basedOn w:val="Normal"/>
    <w:rsid w:val="00D033FE"/>
    <w:pPr>
      <w:numPr>
        <w:numId w:val="4"/>
      </w:numPr>
    </w:pPr>
  </w:style>
  <w:style w:type="paragraph" w:customStyle="1" w:styleId="RubrikSammanf">
    <w:name w:val="RubrikSammanf"/>
    <w:basedOn w:val="Rubrik1"/>
    <w:next w:val="Normal"/>
    <w:rsid w:val="00D033FE"/>
  </w:style>
  <w:style w:type="paragraph" w:customStyle="1" w:styleId="RubrikInnehllsf">
    <w:name w:val="RubrikInnehållsf"/>
    <w:basedOn w:val="RubrikSammanf"/>
    <w:next w:val="Normal"/>
    <w:rsid w:val="00D033FE"/>
  </w:style>
  <w:style w:type="paragraph" w:customStyle="1" w:styleId="Tabellochbildrubrik">
    <w:name w:val="Tabell och bildrubrik"/>
    <w:basedOn w:val="Normal"/>
    <w:next w:val="Normal"/>
    <w:rsid w:val="00D033FE"/>
    <w:pPr>
      <w:suppressAutoHyphens/>
      <w:spacing w:before="300" w:line="200" w:lineRule="exact"/>
      <w:jc w:val="left"/>
    </w:pPr>
    <w:rPr>
      <w:caps/>
      <w:sz w:val="14"/>
    </w:rPr>
  </w:style>
  <w:style w:type="paragraph" w:customStyle="1" w:styleId="Underskrifter">
    <w:name w:val="Underskrifter"/>
    <w:basedOn w:val="Normal"/>
    <w:rsid w:val="00D033FE"/>
    <w:pPr>
      <w:keepNext/>
      <w:keepLines/>
      <w:suppressAutoHyphens/>
      <w:spacing w:before="0" w:after="40" w:line="250" w:lineRule="exact"/>
    </w:pPr>
    <w:rPr>
      <w:i/>
    </w:rPr>
  </w:style>
  <w:style w:type="paragraph" w:customStyle="1" w:styleId="UnderskriftDatum">
    <w:name w:val="UnderskriftDatum"/>
    <w:basedOn w:val="Underskrifter"/>
    <w:next w:val="Underskrifter"/>
    <w:rsid w:val="00D033FE"/>
    <w:pPr>
      <w:spacing w:before="250" w:after="125"/>
    </w:pPr>
    <w:rPr>
      <w:i w:val="0"/>
    </w:rPr>
  </w:style>
  <w:style w:type="paragraph" w:styleId="Sidhuvud">
    <w:name w:val="header"/>
    <w:basedOn w:val="Normal"/>
    <w:semiHidden/>
    <w:rsid w:val="00D033FE"/>
    <w:pPr>
      <w:tabs>
        <w:tab w:val="center" w:pos="4536"/>
        <w:tab w:val="right" w:pos="9072"/>
      </w:tabs>
    </w:pPr>
  </w:style>
  <w:style w:type="paragraph" w:styleId="Sidfot">
    <w:name w:val="footer"/>
    <w:basedOn w:val="Normal"/>
    <w:semiHidden/>
    <w:rsid w:val="00D033FE"/>
    <w:pPr>
      <w:tabs>
        <w:tab w:val="center" w:pos="4536"/>
        <w:tab w:val="right" w:pos="9072"/>
      </w:tabs>
    </w:pPr>
  </w:style>
  <w:style w:type="paragraph" w:styleId="Innehll1">
    <w:name w:val="toc 1"/>
    <w:basedOn w:val="Normal"/>
    <w:next w:val="Innehll2"/>
    <w:semiHidden/>
    <w:rsid w:val="00D033FE"/>
    <w:pPr>
      <w:tabs>
        <w:tab w:val="right" w:leader="dot" w:pos="5953"/>
      </w:tabs>
      <w:suppressAutoHyphens/>
      <w:spacing w:before="0"/>
      <w:ind w:right="567"/>
      <w:jc w:val="left"/>
    </w:pPr>
  </w:style>
  <w:style w:type="paragraph" w:styleId="Innehll2">
    <w:name w:val="toc 2"/>
    <w:basedOn w:val="Innehll1"/>
    <w:next w:val="Innehll3"/>
    <w:semiHidden/>
    <w:rsid w:val="00D033FE"/>
    <w:pPr>
      <w:ind w:left="284"/>
    </w:pPr>
  </w:style>
  <w:style w:type="paragraph" w:styleId="Innehll3">
    <w:name w:val="toc 3"/>
    <w:basedOn w:val="Innehll2"/>
    <w:next w:val="Innehll4"/>
    <w:semiHidden/>
    <w:rsid w:val="00D033FE"/>
    <w:pPr>
      <w:ind w:left="567"/>
    </w:pPr>
  </w:style>
  <w:style w:type="paragraph" w:styleId="Innehll4">
    <w:name w:val="toc 4"/>
    <w:basedOn w:val="Innehll3"/>
    <w:next w:val="Normal"/>
    <w:semiHidden/>
    <w:rsid w:val="00D033FE"/>
  </w:style>
  <w:style w:type="paragraph" w:customStyle="1" w:styleId="Hemstlatt">
    <w:name w:val="Hemstl_att"/>
    <w:aliases w:val="HemstPunkt,HemstPunktFlera,HemställansPunkt,Förslagstext"/>
    <w:basedOn w:val="Normal"/>
    <w:next w:val="Normal"/>
    <w:rsid w:val="001A54D8"/>
    <w:pPr>
      <w:keepLines/>
      <w:numPr>
        <w:numId w:val="15"/>
      </w:numPr>
      <w:spacing w:before="0"/>
    </w:pPr>
  </w:style>
  <w:style w:type="paragraph" w:styleId="Datum">
    <w:name w:val="Date"/>
    <w:basedOn w:val="Normal"/>
    <w:next w:val="Normal"/>
    <w:semiHidden/>
    <w:rsid w:val="00D033FE"/>
  </w:style>
  <w:style w:type="character" w:styleId="Hyperlnk">
    <w:name w:val="Hyperlink"/>
    <w:basedOn w:val="Standardstycketeckensnitt"/>
    <w:semiHidden/>
    <w:rsid w:val="00D033FE"/>
    <w:rPr>
      <w:color w:val="0000FF"/>
      <w:u w:val="single"/>
    </w:rPr>
  </w:style>
  <w:style w:type="paragraph" w:styleId="Indragetstycke">
    <w:name w:val="Block Text"/>
    <w:basedOn w:val="Normal"/>
    <w:semiHidden/>
    <w:rsid w:val="00D033FE"/>
    <w:pPr>
      <w:spacing w:after="120"/>
      <w:ind w:left="1440" w:right="1440"/>
    </w:pPr>
  </w:style>
  <w:style w:type="paragraph" w:styleId="Innehll5">
    <w:name w:val="toc 5"/>
    <w:basedOn w:val="Innehll4"/>
    <w:next w:val="Normal"/>
    <w:semiHidden/>
    <w:rsid w:val="00D033FE"/>
  </w:style>
  <w:style w:type="paragraph" w:styleId="Lista">
    <w:name w:val="List"/>
    <w:basedOn w:val="Normal"/>
    <w:semiHidden/>
    <w:rsid w:val="00D033FE"/>
    <w:pPr>
      <w:ind w:left="283" w:hanging="283"/>
    </w:pPr>
  </w:style>
  <w:style w:type="paragraph" w:styleId="Normalwebb">
    <w:name w:val="Normal (Web)"/>
    <w:basedOn w:val="Normal"/>
    <w:semiHidden/>
    <w:rsid w:val="00D033FE"/>
    <w:rPr>
      <w:szCs w:val="24"/>
    </w:rPr>
  </w:style>
  <w:style w:type="paragraph" w:styleId="Numreradlista">
    <w:name w:val="List Number"/>
    <w:basedOn w:val="Normal"/>
    <w:semiHidden/>
    <w:rsid w:val="00D033FE"/>
    <w:pPr>
      <w:numPr>
        <w:numId w:val="5"/>
      </w:numPr>
    </w:pPr>
  </w:style>
  <w:style w:type="paragraph" w:styleId="Punktlista">
    <w:name w:val="List Bullet"/>
    <w:basedOn w:val="Normal"/>
    <w:semiHidden/>
    <w:rsid w:val="00D033FE"/>
    <w:pPr>
      <w:numPr>
        <w:numId w:val="10"/>
      </w:numPr>
    </w:pPr>
  </w:style>
  <w:style w:type="character" w:styleId="Radnummer">
    <w:name w:val="line number"/>
    <w:basedOn w:val="Standardstycketeckensnitt"/>
    <w:semiHidden/>
    <w:rsid w:val="00D033FE"/>
  </w:style>
  <w:style w:type="character" w:styleId="Sidnummer">
    <w:name w:val="page number"/>
    <w:basedOn w:val="Standardstycketeckensnitt"/>
    <w:semiHidden/>
    <w:rsid w:val="00D033FE"/>
  </w:style>
  <w:style w:type="paragraph" w:styleId="Signatur">
    <w:name w:val="Signature"/>
    <w:basedOn w:val="Normal"/>
    <w:semiHidden/>
    <w:rsid w:val="00D033FE"/>
    <w:pPr>
      <w:ind w:left="4252"/>
    </w:pPr>
  </w:style>
  <w:style w:type="paragraph" w:styleId="Underrubrik">
    <w:name w:val="Subtitle"/>
    <w:basedOn w:val="Normal"/>
    <w:qFormat/>
    <w:rsid w:val="00D033FE"/>
    <w:pPr>
      <w:spacing w:after="60"/>
      <w:jc w:val="center"/>
      <w:outlineLvl w:val="1"/>
    </w:pPr>
    <w:rPr>
      <w:rFonts w:ascii="Arial" w:hAnsi="Arial" w:cs="Arial"/>
      <w:szCs w:val="24"/>
    </w:rPr>
  </w:style>
  <w:style w:type="character" w:customStyle="1" w:styleId="CitatChar">
    <w:name w:val="Citat Char"/>
    <w:basedOn w:val="Standardstycketeckensnitt"/>
    <w:link w:val="Citat"/>
    <w:rsid w:val="00D033FE"/>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2441</Words>
  <Characters>14946</Characters>
  <Application>Microsoft Office Word</Application>
  <DocSecurity>4</DocSecurity>
  <Lines>262</Lines>
  <Paragraphs>54</Paragraphs>
  <ScaleCrop>false</ScaleCrop>
  <HeadingPairs>
    <vt:vector size="2" baseType="variant">
      <vt:variant>
        <vt:lpstr>Rubrik</vt:lpstr>
      </vt:variant>
      <vt:variant>
        <vt:i4>1</vt:i4>
      </vt:variant>
    </vt:vector>
  </HeadingPairs>
  <TitlesOfParts>
    <vt:vector size="1" baseType="lpstr">
      <vt:lpstr>mp715</vt:lpstr>
    </vt:vector>
  </TitlesOfParts>
  <Company>Riksdagen</Company>
  <LinksUpToDate>false</LinksUpToDate>
  <CharactersWithSpaces>17333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mp715</dc:title>
  <dc:subject>mp715</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2007-01-18T07:34:00Z</cp:lastPrinted>
  <dcterms:created xsi:type="dcterms:W3CDTF">2025-12-16T23:39:00Z</dcterms:created>
  <dcterms:modified xsi:type="dcterms:W3CDTF">2025-12-16T23:39:00Z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ML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Preskriptionslagen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Preskriptionslagen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mp715</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C274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ms0207ab</vt:lpwstr>
  </property>
  <property fmtid="{D5CDD505-2E9C-101B-9397-08002B2CF9AE}" pid="46" name="MotionID">
    <vt:lpwstr>20062007000001090112000007150069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20062007000001090112000007150069</vt:lpwstr>
  </property>
  <property fmtid="{D5CDD505-2E9C-101B-9397-08002B2CF9AE}" pid="50" name="nummer">
    <vt:lpwstr>274</vt:lpwstr>
  </property>
  <property fmtid="{D5CDD505-2E9C-101B-9397-08002B2CF9AE}" pid="51" name="utskottsbeteckning">
    <vt:lpwstr>C</vt:lpwstr>
  </property>
  <property fmtid="{D5CDD505-2E9C-101B-9397-08002B2CF9AE}" pid="52" name="GlobalUID">
    <vt:lpwstr>{3AF90923-A760-413B-A94D-02168006D549}</vt:lpwstr>
  </property>
  <property fmtid="{D5CDD505-2E9C-101B-9397-08002B2CF9AE}" pid="53" name="Överföringar">
    <vt:i4>0</vt:i4>
  </property>
  <property fmtid="{D5CDD505-2E9C-101B-9397-08002B2CF9AE}" pid="54" name="Checksum">
    <vt:lpwstr>*1014488346627*</vt:lpwstr>
  </property>
  <property fmtid="{D5CDD505-2E9C-101B-9397-08002B2CF9AE}" pid="55" name="skuggnummer">
    <vt:lpwstr>712</vt:lpwstr>
  </property>
  <property fmtid="{D5CDD505-2E9C-101B-9397-08002B2CF9AE}" pid="56" name="urixVersion">
    <vt:lpwstr>3.1.4.4</vt:lpwstr>
  </property>
  <property fmtid="{D5CDD505-2E9C-101B-9397-08002B2CF9AE}" pid="57" name="urixOrigin">
    <vt:lpwstr>070215 16:30:37.226</vt:lpwstr>
  </property>
  <property fmtid="{D5CDD505-2E9C-101B-9397-08002B2CF9AE}" pid="58" name="urixGuid">
    <vt:lpwstr>{1DF81DA3-55C8-4219-BC93-F85F4F599C65}</vt:lpwstr>
  </property>
</Properties>
</file>