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bookmarkStart w:id="0" w:name="_Hlk187926646"/>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016C967C" w:rsidR="0096348C" w:rsidRDefault="002C4A2A" w:rsidP="0096348C">
            <w:pPr>
              <w:rPr>
                <w:b/>
              </w:rPr>
            </w:pPr>
            <w:r>
              <w:rPr>
                <w:b/>
              </w:rPr>
              <w:t>UTSKOTTSSAMMANTRÄDE 20</w:t>
            </w:r>
            <w:r w:rsidR="00C47A83">
              <w:rPr>
                <w:b/>
              </w:rPr>
              <w:t>2</w:t>
            </w:r>
            <w:r w:rsidR="00F02E3C">
              <w:rPr>
                <w:b/>
              </w:rPr>
              <w:t>4</w:t>
            </w:r>
            <w:r>
              <w:rPr>
                <w:b/>
              </w:rPr>
              <w:t>/</w:t>
            </w:r>
            <w:r w:rsidR="00484908">
              <w:rPr>
                <w:b/>
              </w:rPr>
              <w:t>2</w:t>
            </w:r>
            <w:r w:rsidR="00F02E3C">
              <w:rPr>
                <w:b/>
              </w:rPr>
              <w:t>5</w:t>
            </w:r>
            <w:r w:rsidR="0096348C">
              <w:rPr>
                <w:b/>
              </w:rPr>
              <w:t>:</w:t>
            </w:r>
            <w:r w:rsidR="00287ECC">
              <w:rPr>
                <w:b/>
              </w:rPr>
              <w:t>1</w:t>
            </w:r>
            <w:r w:rsidR="005C7E90">
              <w:rPr>
                <w:b/>
              </w:rPr>
              <w:t>5</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3A919DB3" w:rsidR="0096348C" w:rsidRDefault="00841169" w:rsidP="000E055F">
            <w:r>
              <w:t>20</w:t>
            </w:r>
            <w:r w:rsidR="007A3DA7">
              <w:t>2</w:t>
            </w:r>
            <w:r w:rsidR="005C7E90">
              <w:t>5</w:t>
            </w:r>
            <w:r w:rsidR="007B4607">
              <w:t>-</w:t>
            </w:r>
            <w:r w:rsidR="005C7E90">
              <w:t>01</w:t>
            </w:r>
            <w:r w:rsidR="00745634">
              <w:t>-</w:t>
            </w:r>
            <w:r w:rsidR="0095720C">
              <w:t>1</w:t>
            </w:r>
            <w:r w:rsidR="005C7E90">
              <w:t>6</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4FEE73A2" w:rsidR="0096348C" w:rsidRDefault="007B5B96" w:rsidP="00214E90">
            <w:r>
              <w:t>09</w:t>
            </w:r>
            <w:r w:rsidR="00497FA3" w:rsidRPr="00BE690A">
              <w:t>.</w:t>
            </w:r>
            <w:r>
              <w:t>3</w:t>
            </w:r>
            <w:r w:rsidR="00326424" w:rsidRPr="00BE690A">
              <w:t>0</w:t>
            </w:r>
            <w:r w:rsidR="00AA367D" w:rsidRPr="005874BB">
              <w:rPr>
                <w:szCs w:val="24"/>
              </w:rPr>
              <w:t>–</w:t>
            </w:r>
            <w:r w:rsidR="00CD6B96" w:rsidRPr="00BE690A">
              <w:t>1</w:t>
            </w:r>
            <w:r w:rsidR="005C7E90">
              <w:t>0</w:t>
            </w:r>
            <w:r w:rsidR="00CD6B96" w:rsidRPr="00BE690A">
              <w:t>.</w:t>
            </w:r>
            <w:r>
              <w:t>00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4A776EAE" w:rsidR="0096348C" w:rsidRDefault="0096348C" w:rsidP="0096348C">
            <w:r>
              <w:t xml:space="preserve">Se bilaga </w:t>
            </w:r>
            <w:r w:rsidR="009E06DB">
              <w:t>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0B3CE3" w14:paraId="4B9B6B2A" w14:textId="77777777" w:rsidTr="00121808">
        <w:tc>
          <w:tcPr>
            <w:tcW w:w="567" w:type="dxa"/>
            <w:shd w:val="clear" w:color="auto" w:fill="auto"/>
          </w:tcPr>
          <w:p w14:paraId="718AB0A0" w14:textId="138117DD" w:rsidR="000B3CE3" w:rsidRDefault="000B3CE3" w:rsidP="00D467E8">
            <w:pPr>
              <w:tabs>
                <w:tab w:val="left" w:pos="1701"/>
              </w:tabs>
              <w:rPr>
                <w:b/>
                <w:snapToGrid w:val="0"/>
              </w:rPr>
            </w:pPr>
            <w:r>
              <w:rPr>
                <w:b/>
                <w:snapToGrid w:val="0"/>
              </w:rPr>
              <w:t xml:space="preserve">§ </w:t>
            </w:r>
            <w:r w:rsidR="00941F36">
              <w:rPr>
                <w:b/>
                <w:snapToGrid w:val="0"/>
              </w:rPr>
              <w:t>1</w:t>
            </w:r>
            <w:r>
              <w:rPr>
                <w:b/>
                <w:snapToGrid w:val="0"/>
              </w:rPr>
              <w:t xml:space="preserve"> </w:t>
            </w:r>
          </w:p>
        </w:tc>
        <w:tc>
          <w:tcPr>
            <w:tcW w:w="6946" w:type="dxa"/>
            <w:shd w:val="clear" w:color="auto" w:fill="auto"/>
          </w:tcPr>
          <w:p w14:paraId="45E9BA10" w14:textId="0FA6ACA1" w:rsidR="000B3CE3" w:rsidRDefault="0065332B" w:rsidP="009A26AF">
            <w:pPr>
              <w:tabs>
                <w:tab w:val="left" w:pos="1701"/>
              </w:tabs>
              <w:rPr>
                <w:b/>
              </w:rPr>
            </w:pPr>
            <w:r>
              <w:rPr>
                <w:b/>
              </w:rPr>
              <w:t>Medgivande att närvara</w:t>
            </w:r>
          </w:p>
          <w:p w14:paraId="6D03F825" w14:textId="77777777" w:rsidR="000B3CE3" w:rsidRDefault="000B3CE3" w:rsidP="009A26AF">
            <w:pPr>
              <w:tabs>
                <w:tab w:val="left" w:pos="1701"/>
              </w:tabs>
              <w:rPr>
                <w:b/>
              </w:rPr>
            </w:pPr>
          </w:p>
          <w:p w14:paraId="3508CA63" w14:textId="306F53E0" w:rsidR="000B3CE3" w:rsidRPr="000B3CE3" w:rsidRDefault="0065332B" w:rsidP="009A26AF">
            <w:pPr>
              <w:tabs>
                <w:tab w:val="left" w:pos="1701"/>
              </w:tabs>
              <w:rPr>
                <w:bCs/>
              </w:rPr>
            </w:pPr>
            <w:r>
              <w:rPr>
                <w:bCs/>
              </w:rPr>
              <w:t xml:space="preserve">Utskottet medgav att en </w:t>
            </w:r>
            <w:r w:rsidRPr="00D916D2">
              <w:rPr>
                <w:bCs/>
                <w:snapToGrid w:val="0"/>
                <w:szCs w:val="24"/>
              </w:rPr>
              <w:t>praoelev</w:t>
            </w:r>
            <w:r w:rsidRPr="00D916D2">
              <w:rPr>
                <w:szCs w:val="24"/>
              </w:rPr>
              <w:t xml:space="preserve"> </w:t>
            </w:r>
            <w:r w:rsidRPr="00D916D2">
              <w:rPr>
                <w:bCs/>
                <w:snapToGrid w:val="0"/>
                <w:szCs w:val="24"/>
              </w:rPr>
              <w:t>närvarade under sammanträdet</w:t>
            </w:r>
            <w:r>
              <w:rPr>
                <w:bCs/>
                <w:snapToGrid w:val="0"/>
                <w:szCs w:val="24"/>
              </w:rPr>
              <w:t>.</w:t>
            </w:r>
          </w:p>
          <w:p w14:paraId="70A6D738" w14:textId="654F7A04" w:rsidR="000B3CE3" w:rsidRDefault="000B3CE3" w:rsidP="009A26AF">
            <w:pPr>
              <w:tabs>
                <w:tab w:val="left" w:pos="1701"/>
              </w:tabs>
              <w:rPr>
                <w:b/>
              </w:rPr>
            </w:pPr>
          </w:p>
        </w:tc>
      </w:tr>
      <w:tr w:rsidR="0065332B" w14:paraId="3FEA3DE8" w14:textId="77777777" w:rsidTr="00121808">
        <w:tc>
          <w:tcPr>
            <w:tcW w:w="567" w:type="dxa"/>
            <w:shd w:val="clear" w:color="auto" w:fill="auto"/>
          </w:tcPr>
          <w:p w14:paraId="20EE2576" w14:textId="4EC47F0F" w:rsidR="0065332B" w:rsidRDefault="0065332B" w:rsidP="00D467E8">
            <w:pPr>
              <w:tabs>
                <w:tab w:val="left" w:pos="1701"/>
              </w:tabs>
              <w:rPr>
                <w:b/>
                <w:snapToGrid w:val="0"/>
              </w:rPr>
            </w:pPr>
            <w:r>
              <w:rPr>
                <w:b/>
                <w:snapToGrid w:val="0"/>
              </w:rPr>
              <w:t>§ 2</w:t>
            </w:r>
          </w:p>
        </w:tc>
        <w:tc>
          <w:tcPr>
            <w:tcW w:w="6946" w:type="dxa"/>
            <w:shd w:val="clear" w:color="auto" w:fill="auto"/>
          </w:tcPr>
          <w:p w14:paraId="58B95007" w14:textId="77777777" w:rsidR="0065332B" w:rsidRDefault="0065332B" w:rsidP="0065332B">
            <w:pPr>
              <w:tabs>
                <w:tab w:val="left" w:pos="1701"/>
              </w:tabs>
              <w:rPr>
                <w:b/>
              </w:rPr>
            </w:pPr>
            <w:r w:rsidRPr="000B3CE3">
              <w:rPr>
                <w:b/>
              </w:rPr>
              <w:t xml:space="preserve">Förslag till förordning </w:t>
            </w:r>
            <w:r w:rsidRPr="00881D5E">
              <w:rPr>
                <w:b/>
              </w:rPr>
              <w:t>om en gradvis start av driften av EU:s in- och utresesystem</w:t>
            </w:r>
          </w:p>
          <w:p w14:paraId="001C37D8" w14:textId="46E6226E" w:rsidR="0065332B" w:rsidRDefault="0065332B" w:rsidP="009A26AF">
            <w:pPr>
              <w:tabs>
                <w:tab w:val="left" w:pos="1701"/>
              </w:tabs>
              <w:rPr>
                <w:b/>
              </w:rPr>
            </w:pPr>
          </w:p>
          <w:p w14:paraId="05C3B2BA" w14:textId="18B607E1" w:rsidR="0065332B" w:rsidRDefault="0065332B" w:rsidP="009A26AF">
            <w:pPr>
              <w:tabs>
                <w:tab w:val="left" w:pos="1701"/>
              </w:tabs>
              <w:rPr>
                <w:bCs/>
              </w:rPr>
            </w:pPr>
            <w:r>
              <w:rPr>
                <w:bCs/>
              </w:rPr>
              <w:t xml:space="preserve">Utskottet överlade med statssekreterare Charlotte Kugelberg, biträdd av medarbetare från Justitiedepartementet. </w:t>
            </w:r>
          </w:p>
          <w:p w14:paraId="1A5911CA" w14:textId="660C3E0F" w:rsidR="0065332B" w:rsidRDefault="0065332B" w:rsidP="009A26AF">
            <w:pPr>
              <w:tabs>
                <w:tab w:val="left" w:pos="1701"/>
              </w:tabs>
              <w:rPr>
                <w:bCs/>
              </w:rPr>
            </w:pPr>
          </w:p>
          <w:p w14:paraId="7EB5B0D1" w14:textId="311EA926" w:rsidR="0065332B" w:rsidRDefault="0065332B" w:rsidP="009A26AF">
            <w:pPr>
              <w:tabs>
                <w:tab w:val="left" w:pos="1701"/>
              </w:tabs>
              <w:rPr>
                <w:bCs/>
              </w:rPr>
            </w:pPr>
            <w:r>
              <w:rPr>
                <w:bCs/>
              </w:rPr>
              <w:t>Underlaget utgjordes av kommissionens förslag COM(2024) 567 och Regeringskansliets faktapromemoria 2024/25:FPM12.</w:t>
            </w:r>
          </w:p>
          <w:p w14:paraId="004BED47" w14:textId="7BDA616E" w:rsidR="0065332B" w:rsidRDefault="0065332B" w:rsidP="009A26AF">
            <w:pPr>
              <w:tabs>
                <w:tab w:val="left" w:pos="1701"/>
              </w:tabs>
              <w:rPr>
                <w:bCs/>
              </w:rPr>
            </w:pPr>
          </w:p>
          <w:p w14:paraId="0E02BA45" w14:textId="084B11F7" w:rsidR="0065332B" w:rsidRDefault="0065332B" w:rsidP="009A26AF">
            <w:pPr>
              <w:tabs>
                <w:tab w:val="left" w:pos="1701"/>
              </w:tabs>
              <w:rPr>
                <w:bCs/>
              </w:rPr>
            </w:pPr>
            <w:r>
              <w:rPr>
                <w:bCs/>
              </w:rPr>
              <w:t xml:space="preserve">Statssekreterare Charlotte Kugelberg redogjorde för regeringens ståndpunkt i enlighet med faktapromemorian: </w:t>
            </w:r>
          </w:p>
          <w:p w14:paraId="11D0450B" w14:textId="27BFBD79" w:rsidR="0065332B" w:rsidRPr="0065332B" w:rsidRDefault="0065332B" w:rsidP="0065332B">
            <w:pPr>
              <w:pStyle w:val="Citat"/>
              <w:jc w:val="left"/>
              <w:rPr>
                <w:i w:val="0"/>
                <w:iCs w:val="0"/>
                <w:color w:val="auto"/>
              </w:rPr>
            </w:pPr>
            <w:r w:rsidRPr="0065332B">
              <w:rPr>
                <w:i w:val="0"/>
                <w:iCs w:val="0"/>
                <w:color w:val="auto"/>
              </w:rPr>
              <w:t>Regeringen anser att EES ska genomföras på ett rättssäkert och effektivt sätt så snart som möjligt, och under de förutsättningarna med minsta möjliga störning vid gränsövergångsställena.</w:t>
            </w:r>
          </w:p>
          <w:p w14:paraId="49B7E480" w14:textId="167B779A" w:rsidR="0065332B" w:rsidRDefault="0065332B" w:rsidP="0065332B">
            <w:pPr>
              <w:pStyle w:val="Citat"/>
              <w:jc w:val="left"/>
              <w:rPr>
                <w:i w:val="0"/>
                <w:iCs w:val="0"/>
                <w:color w:val="auto"/>
              </w:rPr>
            </w:pPr>
            <w:r w:rsidRPr="0065332B">
              <w:rPr>
                <w:i w:val="0"/>
                <w:iCs w:val="0"/>
                <w:color w:val="auto"/>
              </w:rPr>
              <w:t>Regeringen vill verka för att biometri ska registreras i EES i största möjliga utsträckning under den gradvisa starten och att den inte blir längre än nödvändigt.</w:t>
            </w:r>
          </w:p>
          <w:p w14:paraId="19A810CF" w14:textId="1C47C486" w:rsidR="0065332B" w:rsidRPr="0065332B" w:rsidRDefault="0065332B" w:rsidP="0065332B">
            <w:r>
              <w:t>Ordföranden konstaterade att det fanns stöd för regeringens ståndpunkt.</w:t>
            </w:r>
          </w:p>
          <w:p w14:paraId="6B1FD98F" w14:textId="39F17B84" w:rsidR="0065332B" w:rsidRPr="000B3CE3" w:rsidRDefault="0065332B" w:rsidP="009A26AF">
            <w:pPr>
              <w:tabs>
                <w:tab w:val="left" w:pos="1701"/>
              </w:tabs>
              <w:rPr>
                <w:b/>
              </w:rPr>
            </w:pPr>
          </w:p>
        </w:tc>
      </w:tr>
      <w:tr w:rsidR="007036D4" w14:paraId="3B3C159B" w14:textId="77777777" w:rsidTr="00121808">
        <w:tc>
          <w:tcPr>
            <w:tcW w:w="567" w:type="dxa"/>
            <w:shd w:val="clear" w:color="auto" w:fill="auto"/>
          </w:tcPr>
          <w:p w14:paraId="5B88C319" w14:textId="19560D10" w:rsidR="007036D4" w:rsidRDefault="007036D4" w:rsidP="00D467E8">
            <w:pPr>
              <w:tabs>
                <w:tab w:val="left" w:pos="1701"/>
              </w:tabs>
              <w:rPr>
                <w:b/>
                <w:snapToGrid w:val="0"/>
              </w:rPr>
            </w:pPr>
            <w:r>
              <w:rPr>
                <w:b/>
                <w:snapToGrid w:val="0"/>
              </w:rPr>
              <w:t xml:space="preserve">§ </w:t>
            </w:r>
            <w:r w:rsidR="0065332B">
              <w:rPr>
                <w:b/>
                <w:snapToGrid w:val="0"/>
              </w:rPr>
              <w:t>3</w:t>
            </w:r>
            <w:r>
              <w:rPr>
                <w:b/>
                <w:snapToGrid w:val="0"/>
              </w:rPr>
              <w:t xml:space="preserve"> </w:t>
            </w:r>
          </w:p>
        </w:tc>
        <w:tc>
          <w:tcPr>
            <w:tcW w:w="6946" w:type="dxa"/>
            <w:shd w:val="clear" w:color="auto" w:fill="auto"/>
          </w:tcPr>
          <w:p w14:paraId="0E69F715" w14:textId="6FCF2E66" w:rsidR="00200F3D" w:rsidRDefault="00EC7F96" w:rsidP="00AA00E5">
            <w:pPr>
              <w:tabs>
                <w:tab w:val="left" w:pos="1701"/>
              </w:tabs>
              <w:rPr>
                <w:b/>
                <w:snapToGrid w:val="0"/>
              </w:rPr>
            </w:pPr>
            <w:r>
              <w:rPr>
                <w:b/>
                <w:snapToGrid w:val="0"/>
              </w:rPr>
              <w:t>Vapenfrågor</w:t>
            </w:r>
            <w:r w:rsidR="00D13F75">
              <w:rPr>
                <w:b/>
                <w:snapToGrid w:val="0"/>
              </w:rPr>
              <w:t xml:space="preserve"> (JuU1</w:t>
            </w:r>
            <w:r>
              <w:rPr>
                <w:b/>
                <w:snapToGrid w:val="0"/>
              </w:rPr>
              <w:t>7</w:t>
            </w:r>
            <w:r w:rsidR="00D13F75">
              <w:rPr>
                <w:b/>
                <w:snapToGrid w:val="0"/>
              </w:rPr>
              <w:t>)</w:t>
            </w:r>
          </w:p>
          <w:p w14:paraId="21E1071A" w14:textId="77777777" w:rsidR="00200F3D" w:rsidRDefault="00200F3D" w:rsidP="00AA00E5">
            <w:pPr>
              <w:tabs>
                <w:tab w:val="left" w:pos="1701"/>
              </w:tabs>
              <w:rPr>
                <w:b/>
                <w:snapToGrid w:val="0"/>
              </w:rPr>
            </w:pPr>
          </w:p>
          <w:p w14:paraId="5C62D88A" w14:textId="1A6DAB6A" w:rsidR="009A26AF" w:rsidRPr="00B66F21" w:rsidRDefault="009A26AF" w:rsidP="009A26AF">
            <w:pPr>
              <w:tabs>
                <w:tab w:val="left" w:pos="1701"/>
              </w:tabs>
              <w:rPr>
                <w:bCs/>
              </w:rPr>
            </w:pPr>
            <w:r w:rsidRPr="00B66F21">
              <w:rPr>
                <w:bCs/>
              </w:rPr>
              <w:t xml:space="preserve">Utskottet </w:t>
            </w:r>
            <w:r w:rsidR="00910D77">
              <w:rPr>
                <w:bCs/>
              </w:rPr>
              <w:t>fortsatte</w:t>
            </w:r>
            <w:r>
              <w:rPr>
                <w:bCs/>
              </w:rPr>
              <w:t xml:space="preserve"> </w:t>
            </w:r>
            <w:r w:rsidRPr="00B66F21">
              <w:rPr>
                <w:bCs/>
              </w:rPr>
              <w:t xml:space="preserve">beredningen av </w:t>
            </w:r>
            <w:r>
              <w:rPr>
                <w:bCs/>
              </w:rPr>
              <w:t>motioner.</w:t>
            </w:r>
            <w:r w:rsidRPr="00B66F21">
              <w:rPr>
                <w:bCs/>
              </w:rPr>
              <w:t xml:space="preserve"> </w:t>
            </w:r>
          </w:p>
          <w:p w14:paraId="5719FACD" w14:textId="77777777" w:rsidR="009A26AF" w:rsidRPr="00B66F21" w:rsidRDefault="009A26AF" w:rsidP="009A26AF">
            <w:pPr>
              <w:tabs>
                <w:tab w:val="left" w:pos="1701"/>
              </w:tabs>
              <w:rPr>
                <w:bCs/>
              </w:rPr>
            </w:pPr>
          </w:p>
          <w:p w14:paraId="1AB76E0E" w14:textId="77777777" w:rsidR="009A26AF" w:rsidRPr="000D150B" w:rsidRDefault="009A26AF" w:rsidP="009A26AF">
            <w:pPr>
              <w:tabs>
                <w:tab w:val="left" w:pos="1701"/>
              </w:tabs>
              <w:rPr>
                <w:bCs/>
                <w:snapToGrid w:val="0"/>
              </w:rPr>
            </w:pPr>
            <w:r>
              <w:rPr>
                <w:bCs/>
                <w:snapToGrid w:val="0"/>
              </w:rPr>
              <w:t>Ärendet bordlades.</w:t>
            </w:r>
          </w:p>
          <w:p w14:paraId="28B17757" w14:textId="38AFA480" w:rsidR="00C73DC1" w:rsidRDefault="00C73DC1" w:rsidP="00AA00E5">
            <w:pPr>
              <w:tabs>
                <w:tab w:val="left" w:pos="1701"/>
              </w:tabs>
              <w:rPr>
                <w:b/>
                <w:snapToGrid w:val="0"/>
              </w:rPr>
            </w:pPr>
          </w:p>
        </w:tc>
      </w:tr>
      <w:tr w:rsidR="00D13F75" w14:paraId="387C4A60" w14:textId="77777777" w:rsidTr="00121808">
        <w:tc>
          <w:tcPr>
            <w:tcW w:w="567" w:type="dxa"/>
            <w:shd w:val="clear" w:color="auto" w:fill="auto"/>
          </w:tcPr>
          <w:p w14:paraId="4696CD4B" w14:textId="4B9E7C20" w:rsidR="00D13F75" w:rsidRDefault="00D13F75" w:rsidP="00D467E8">
            <w:pPr>
              <w:tabs>
                <w:tab w:val="left" w:pos="1701"/>
              </w:tabs>
              <w:rPr>
                <w:b/>
                <w:snapToGrid w:val="0"/>
              </w:rPr>
            </w:pPr>
            <w:r>
              <w:rPr>
                <w:b/>
                <w:snapToGrid w:val="0"/>
              </w:rPr>
              <w:t xml:space="preserve">§ </w:t>
            </w:r>
            <w:r w:rsidR="0065332B">
              <w:rPr>
                <w:b/>
                <w:snapToGrid w:val="0"/>
              </w:rPr>
              <w:t>4</w:t>
            </w:r>
          </w:p>
        </w:tc>
        <w:tc>
          <w:tcPr>
            <w:tcW w:w="6946" w:type="dxa"/>
            <w:shd w:val="clear" w:color="auto" w:fill="auto"/>
          </w:tcPr>
          <w:p w14:paraId="305F7766" w14:textId="42FCD692" w:rsidR="00C034E2" w:rsidRDefault="00C034E2" w:rsidP="00C034E2">
            <w:pPr>
              <w:tabs>
                <w:tab w:val="left" w:pos="1701"/>
              </w:tabs>
              <w:rPr>
                <w:b/>
              </w:rPr>
            </w:pPr>
            <w:r>
              <w:rPr>
                <w:b/>
              </w:rPr>
              <w:t>Nya uppgifter för centrum mot våldsbejakande extremism (JuU20)</w:t>
            </w:r>
          </w:p>
          <w:p w14:paraId="5974549B" w14:textId="77777777" w:rsidR="00C034E2" w:rsidRDefault="00C034E2" w:rsidP="00C034E2">
            <w:pPr>
              <w:tabs>
                <w:tab w:val="left" w:pos="1701"/>
              </w:tabs>
              <w:rPr>
                <w:b/>
              </w:rPr>
            </w:pPr>
          </w:p>
          <w:p w14:paraId="5EDE92E7" w14:textId="78C06E76" w:rsidR="00C034E2" w:rsidRPr="00B66F21" w:rsidRDefault="00C034E2" w:rsidP="00C034E2">
            <w:pPr>
              <w:tabs>
                <w:tab w:val="left" w:pos="1701"/>
              </w:tabs>
              <w:rPr>
                <w:bCs/>
              </w:rPr>
            </w:pPr>
            <w:r w:rsidRPr="00B66F21">
              <w:rPr>
                <w:bCs/>
              </w:rPr>
              <w:t xml:space="preserve">Utskottet </w:t>
            </w:r>
            <w:r>
              <w:rPr>
                <w:bCs/>
              </w:rPr>
              <w:t xml:space="preserve">fortsatte </w:t>
            </w:r>
            <w:r w:rsidRPr="00B66F21">
              <w:rPr>
                <w:bCs/>
              </w:rPr>
              <w:t xml:space="preserve">beredningen av </w:t>
            </w:r>
            <w:r>
              <w:rPr>
                <w:bCs/>
              </w:rPr>
              <w:t>proposition 20</w:t>
            </w:r>
            <w:r w:rsidR="0065332B">
              <w:rPr>
                <w:bCs/>
              </w:rPr>
              <w:t>2</w:t>
            </w:r>
            <w:r>
              <w:rPr>
                <w:bCs/>
              </w:rPr>
              <w:t>4/25:46.</w:t>
            </w:r>
            <w:r w:rsidRPr="00B66F21">
              <w:rPr>
                <w:bCs/>
              </w:rPr>
              <w:t xml:space="preserve"> </w:t>
            </w:r>
          </w:p>
          <w:p w14:paraId="1BB68488" w14:textId="77777777" w:rsidR="00C034E2" w:rsidRPr="00B66F21" w:rsidRDefault="00C034E2" w:rsidP="00C034E2">
            <w:pPr>
              <w:tabs>
                <w:tab w:val="left" w:pos="1701"/>
              </w:tabs>
              <w:rPr>
                <w:bCs/>
              </w:rPr>
            </w:pPr>
          </w:p>
          <w:p w14:paraId="44071C5D" w14:textId="77777777" w:rsidR="00C034E2" w:rsidRPr="000D150B" w:rsidRDefault="00C034E2" w:rsidP="00C034E2">
            <w:pPr>
              <w:tabs>
                <w:tab w:val="left" w:pos="1701"/>
              </w:tabs>
              <w:rPr>
                <w:bCs/>
                <w:snapToGrid w:val="0"/>
              </w:rPr>
            </w:pPr>
            <w:r>
              <w:rPr>
                <w:bCs/>
                <w:snapToGrid w:val="0"/>
              </w:rPr>
              <w:t>Ärendet bordlades.</w:t>
            </w:r>
          </w:p>
          <w:p w14:paraId="224E7F74" w14:textId="2A84AD23" w:rsidR="00D13F75" w:rsidRDefault="00D13F75" w:rsidP="00AA00E5">
            <w:pPr>
              <w:tabs>
                <w:tab w:val="left" w:pos="1701"/>
              </w:tabs>
              <w:rPr>
                <w:b/>
                <w:snapToGrid w:val="0"/>
              </w:rPr>
            </w:pPr>
          </w:p>
        </w:tc>
      </w:tr>
      <w:tr w:rsidR="00C034E2" w14:paraId="30A6A561" w14:textId="77777777" w:rsidTr="00121808">
        <w:tc>
          <w:tcPr>
            <w:tcW w:w="567" w:type="dxa"/>
            <w:shd w:val="clear" w:color="auto" w:fill="auto"/>
          </w:tcPr>
          <w:p w14:paraId="4670B89E" w14:textId="73A4F80A" w:rsidR="00C034E2" w:rsidRDefault="00C034E2" w:rsidP="00D467E8">
            <w:pPr>
              <w:tabs>
                <w:tab w:val="left" w:pos="1701"/>
              </w:tabs>
              <w:rPr>
                <w:b/>
                <w:snapToGrid w:val="0"/>
              </w:rPr>
            </w:pPr>
            <w:r>
              <w:rPr>
                <w:b/>
                <w:snapToGrid w:val="0"/>
              </w:rPr>
              <w:lastRenderedPageBreak/>
              <w:t xml:space="preserve">§ </w:t>
            </w:r>
            <w:r w:rsidR="0065332B">
              <w:rPr>
                <w:b/>
                <w:snapToGrid w:val="0"/>
              </w:rPr>
              <w:t>5</w:t>
            </w:r>
          </w:p>
        </w:tc>
        <w:tc>
          <w:tcPr>
            <w:tcW w:w="6946" w:type="dxa"/>
            <w:shd w:val="clear" w:color="auto" w:fill="auto"/>
          </w:tcPr>
          <w:p w14:paraId="56DAAD1E" w14:textId="77777777" w:rsidR="00C034E2" w:rsidRDefault="00C034E2" w:rsidP="00C034E2">
            <w:pPr>
              <w:tabs>
                <w:tab w:val="left" w:pos="1701"/>
              </w:tabs>
              <w:rPr>
                <w:b/>
              </w:rPr>
            </w:pPr>
            <w:r>
              <w:rPr>
                <w:b/>
              </w:rPr>
              <w:t>Hemlig dataavläsning mot allvarliga brott (JuU21)</w:t>
            </w:r>
          </w:p>
          <w:p w14:paraId="39E571DA" w14:textId="77777777" w:rsidR="00C034E2" w:rsidRDefault="00C034E2" w:rsidP="00C034E2">
            <w:pPr>
              <w:tabs>
                <w:tab w:val="left" w:pos="1701"/>
              </w:tabs>
              <w:rPr>
                <w:b/>
              </w:rPr>
            </w:pPr>
          </w:p>
          <w:p w14:paraId="72F0ED15" w14:textId="3A4B4EEB" w:rsidR="00C034E2" w:rsidRPr="00C034E2" w:rsidRDefault="00C034E2" w:rsidP="00C034E2">
            <w:pPr>
              <w:tabs>
                <w:tab w:val="left" w:pos="1701"/>
              </w:tabs>
              <w:rPr>
                <w:bCs/>
              </w:rPr>
            </w:pPr>
            <w:r w:rsidRPr="00C034E2">
              <w:rPr>
                <w:bCs/>
              </w:rPr>
              <w:t>Utskottet inledde beredningen av proposition 2024/25:51</w:t>
            </w:r>
            <w:r w:rsidR="00141024">
              <w:rPr>
                <w:bCs/>
              </w:rPr>
              <w:t xml:space="preserve"> och motioner</w:t>
            </w:r>
            <w:r w:rsidRPr="00C034E2">
              <w:rPr>
                <w:bCs/>
              </w:rPr>
              <w:t>.</w:t>
            </w:r>
          </w:p>
          <w:p w14:paraId="43FF21E8" w14:textId="77777777" w:rsidR="00C034E2" w:rsidRPr="00C034E2" w:rsidRDefault="00C034E2" w:rsidP="00C034E2">
            <w:pPr>
              <w:tabs>
                <w:tab w:val="left" w:pos="1701"/>
              </w:tabs>
              <w:rPr>
                <w:bCs/>
              </w:rPr>
            </w:pPr>
          </w:p>
          <w:p w14:paraId="4D8CA807" w14:textId="77777777" w:rsidR="00C034E2" w:rsidRPr="00C034E2" w:rsidRDefault="00C034E2" w:rsidP="00C034E2">
            <w:pPr>
              <w:tabs>
                <w:tab w:val="left" w:pos="1701"/>
              </w:tabs>
              <w:rPr>
                <w:bCs/>
              </w:rPr>
            </w:pPr>
            <w:r w:rsidRPr="00C034E2">
              <w:rPr>
                <w:bCs/>
              </w:rPr>
              <w:t>Ärendet bordlades.</w:t>
            </w:r>
          </w:p>
          <w:p w14:paraId="6D6757F8" w14:textId="3D6E5A58" w:rsidR="00C034E2" w:rsidRDefault="00C034E2" w:rsidP="00C034E2">
            <w:pPr>
              <w:tabs>
                <w:tab w:val="left" w:pos="1701"/>
              </w:tabs>
              <w:rPr>
                <w:b/>
              </w:rPr>
            </w:pPr>
          </w:p>
        </w:tc>
      </w:tr>
      <w:tr w:rsidR="00CC46C7" w14:paraId="3EC612E2" w14:textId="77777777" w:rsidTr="00121808">
        <w:tc>
          <w:tcPr>
            <w:tcW w:w="567" w:type="dxa"/>
            <w:shd w:val="clear" w:color="auto" w:fill="auto"/>
          </w:tcPr>
          <w:p w14:paraId="31AC45D3" w14:textId="329CA483" w:rsidR="00CC46C7" w:rsidRDefault="00CC46C7" w:rsidP="00D467E8">
            <w:pPr>
              <w:tabs>
                <w:tab w:val="left" w:pos="1701"/>
              </w:tabs>
              <w:rPr>
                <w:b/>
                <w:snapToGrid w:val="0"/>
              </w:rPr>
            </w:pPr>
            <w:r>
              <w:rPr>
                <w:b/>
                <w:snapToGrid w:val="0"/>
              </w:rPr>
              <w:t xml:space="preserve">§ </w:t>
            </w:r>
            <w:r w:rsidR="0065332B">
              <w:rPr>
                <w:b/>
                <w:snapToGrid w:val="0"/>
              </w:rPr>
              <w:t>6</w:t>
            </w:r>
          </w:p>
        </w:tc>
        <w:tc>
          <w:tcPr>
            <w:tcW w:w="6946" w:type="dxa"/>
            <w:shd w:val="clear" w:color="auto" w:fill="auto"/>
          </w:tcPr>
          <w:p w14:paraId="6B463EC4" w14:textId="77777777" w:rsidR="00CC46C7" w:rsidRDefault="00CC46C7" w:rsidP="00C034E2">
            <w:pPr>
              <w:tabs>
                <w:tab w:val="left" w:pos="1701"/>
              </w:tabs>
              <w:rPr>
                <w:b/>
              </w:rPr>
            </w:pPr>
            <w:r>
              <w:rPr>
                <w:b/>
              </w:rPr>
              <w:t>Ökat informationsflöde till brottsbekämpningen (JuU9)</w:t>
            </w:r>
          </w:p>
          <w:p w14:paraId="180C809F" w14:textId="77777777" w:rsidR="00CC46C7" w:rsidRDefault="00CC46C7" w:rsidP="00C034E2">
            <w:pPr>
              <w:tabs>
                <w:tab w:val="left" w:pos="1701"/>
              </w:tabs>
              <w:rPr>
                <w:b/>
              </w:rPr>
            </w:pPr>
          </w:p>
          <w:p w14:paraId="729D25E2" w14:textId="64CA94D1" w:rsidR="00CC46C7" w:rsidRPr="00CC46C7" w:rsidRDefault="00CC46C7" w:rsidP="00C034E2">
            <w:pPr>
              <w:tabs>
                <w:tab w:val="left" w:pos="1701"/>
              </w:tabs>
              <w:rPr>
                <w:bCs/>
              </w:rPr>
            </w:pPr>
            <w:r w:rsidRPr="00CC46C7">
              <w:rPr>
                <w:bCs/>
              </w:rPr>
              <w:t>Utskottet beslutade att ge social</w:t>
            </w:r>
            <w:r w:rsidR="00C27EC1">
              <w:rPr>
                <w:bCs/>
              </w:rPr>
              <w:t>utskottet</w:t>
            </w:r>
            <w:r w:rsidRPr="00CC46C7">
              <w:rPr>
                <w:bCs/>
              </w:rPr>
              <w:t xml:space="preserve"> och utbildningsutskottet tillfälle att senast den </w:t>
            </w:r>
            <w:r w:rsidR="00096BD9">
              <w:rPr>
                <w:bCs/>
              </w:rPr>
              <w:t>30 januari 2025</w:t>
            </w:r>
            <w:r w:rsidRPr="00CC46C7">
              <w:rPr>
                <w:bCs/>
              </w:rPr>
              <w:t xml:space="preserve"> yttra sig över proposition 2024/25:65 och följdmotioner i de delar som berör respektive utskotts beredningsområde. </w:t>
            </w:r>
          </w:p>
          <w:p w14:paraId="0964FC17" w14:textId="77777777" w:rsidR="00CC46C7" w:rsidRPr="00CC46C7" w:rsidRDefault="00CC46C7" w:rsidP="00C034E2">
            <w:pPr>
              <w:tabs>
                <w:tab w:val="left" w:pos="1701"/>
              </w:tabs>
              <w:rPr>
                <w:bCs/>
              </w:rPr>
            </w:pPr>
          </w:p>
          <w:p w14:paraId="0DF9C298" w14:textId="77777777" w:rsidR="00CC46C7" w:rsidRPr="00CC46C7" w:rsidRDefault="00CC46C7" w:rsidP="00C034E2">
            <w:pPr>
              <w:tabs>
                <w:tab w:val="left" w:pos="1701"/>
              </w:tabs>
              <w:rPr>
                <w:bCs/>
              </w:rPr>
            </w:pPr>
            <w:r w:rsidRPr="00CC46C7">
              <w:rPr>
                <w:bCs/>
              </w:rPr>
              <w:t>Denna paragraf förklarades omedelbart justerad.</w:t>
            </w:r>
          </w:p>
          <w:p w14:paraId="38FF8CB7" w14:textId="15919B26" w:rsidR="00CC46C7" w:rsidRDefault="00CC46C7" w:rsidP="00C034E2">
            <w:pPr>
              <w:tabs>
                <w:tab w:val="left" w:pos="1701"/>
              </w:tabs>
              <w:rPr>
                <w:b/>
              </w:rPr>
            </w:pPr>
          </w:p>
        </w:tc>
      </w:tr>
      <w:tr w:rsidR="00E34820" w14:paraId="4A536926" w14:textId="77777777" w:rsidTr="00121808">
        <w:tc>
          <w:tcPr>
            <w:tcW w:w="567" w:type="dxa"/>
            <w:shd w:val="clear" w:color="auto" w:fill="auto"/>
          </w:tcPr>
          <w:p w14:paraId="2722CE25" w14:textId="04CFB110" w:rsidR="00E34820" w:rsidRDefault="00E34820" w:rsidP="004D51E8">
            <w:pPr>
              <w:tabs>
                <w:tab w:val="left" w:pos="1701"/>
              </w:tabs>
              <w:rPr>
                <w:b/>
                <w:snapToGrid w:val="0"/>
              </w:rPr>
            </w:pPr>
            <w:r>
              <w:rPr>
                <w:b/>
                <w:snapToGrid w:val="0"/>
              </w:rPr>
              <w:t xml:space="preserve">§ </w:t>
            </w:r>
            <w:r w:rsidR="0065332B">
              <w:rPr>
                <w:b/>
                <w:snapToGrid w:val="0"/>
              </w:rPr>
              <w:t>7</w:t>
            </w:r>
          </w:p>
        </w:tc>
        <w:tc>
          <w:tcPr>
            <w:tcW w:w="6946" w:type="dxa"/>
            <w:shd w:val="clear" w:color="auto" w:fill="auto"/>
          </w:tcPr>
          <w:p w14:paraId="65886C64" w14:textId="0B95FD22" w:rsidR="00E34820" w:rsidRDefault="00BE2176" w:rsidP="004D51E8">
            <w:pPr>
              <w:tabs>
                <w:tab w:val="left" w:pos="1701"/>
              </w:tabs>
              <w:rPr>
                <w:b/>
                <w:snapToGrid w:val="0"/>
              </w:rPr>
            </w:pPr>
            <w:r>
              <w:rPr>
                <w:b/>
                <w:snapToGrid w:val="0"/>
              </w:rPr>
              <w:t>Övriga frågor</w:t>
            </w:r>
          </w:p>
          <w:p w14:paraId="1D5364B0" w14:textId="77777777" w:rsidR="00E34820" w:rsidRDefault="00E34820" w:rsidP="004D51E8">
            <w:pPr>
              <w:tabs>
                <w:tab w:val="left" w:pos="1701"/>
              </w:tabs>
              <w:rPr>
                <w:b/>
                <w:snapToGrid w:val="0"/>
              </w:rPr>
            </w:pPr>
          </w:p>
          <w:p w14:paraId="2855A84F" w14:textId="7D68CA5A" w:rsidR="00830F05" w:rsidRDefault="00830F05" w:rsidP="00830F05">
            <w:pPr>
              <w:tabs>
                <w:tab w:val="left" w:pos="1701"/>
              </w:tabs>
              <w:rPr>
                <w:bCs/>
                <w:snapToGrid w:val="0"/>
              </w:rPr>
            </w:pPr>
            <w:r>
              <w:rPr>
                <w:bCs/>
                <w:snapToGrid w:val="0"/>
              </w:rPr>
              <w:t xml:space="preserve">Kanslichefen anmälde ärendeplan </w:t>
            </w:r>
            <w:r w:rsidR="006D6C3E">
              <w:rPr>
                <w:bCs/>
                <w:snapToGrid w:val="0"/>
              </w:rPr>
              <w:t>och</w:t>
            </w:r>
            <w:r>
              <w:rPr>
                <w:bCs/>
                <w:snapToGrid w:val="0"/>
              </w:rPr>
              <w:t xml:space="preserve"> sammanträdesplan</w:t>
            </w:r>
            <w:r w:rsidR="00C034E2">
              <w:rPr>
                <w:bCs/>
                <w:snapToGrid w:val="0"/>
              </w:rPr>
              <w:t xml:space="preserve"> för</w:t>
            </w:r>
            <w:r>
              <w:rPr>
                <w:bCs/>
                <w:snapToGrid w:val="0"/>
              </w:rPr>
              <w:t xml:space="preserve"> våren 2025.</w:t>
            </w:r>
          </w:p>
          <w:p w14:paraId="3827D9F4" w14:textId="6BE137D6" w:rsidR="006D6C3E" w:rsidRDefault="006D6C3E" w:rsidP="00830F05">
            <w:pPr>
              <w:tabs>
                <w:tab w:val="left" w:pos="1701"/>
              </w:tabs>
              <w:rPr>
                <w:bCs/>
                <w:snapToGrid w:val="0"/>
              </w:rPr>
            </w:pPr>
          </w:p>
          <w:p w14:paraId="3A27F08C" w14:textId="1CB1CA72" w:rsidR="006D6C3E" w:rsidRDefault="006D6C3E" w:rsidP="00830F05">
            <w:pPr>
              <w:tabs>
                <w:tab w:val="left" w:pos="1701"/>
              </w:tabs>
              <w:rPr>
                <w:bCs/>
                <w:snapToGrid w:val="0"/>
              </w:rPr>
            </w:pPr>
            <w:r>
              <w:rPr>
                <w:bCs/>
                <w:snapToGrid w:val="0"/>
              </w:rPr>
              <w:t>Kanslichefen påminde om en i</w:t>
            </w:r>
            <w:r w:rsidRPr="006D6C3E">
              <w:rPr>
                <w:bCs/>
                <w:snapToGrid w:val="0"/>
              </w:rPr>
              <w:t xml:space="preserve">nbjudan </w:t>
            </w:r>
            <w:r>
              <w:rPr>
                <w:bCs/>
                <w:snapToGrid w:val="0"/>
              </w:rPr>
              <w:t xml:space="preserve">att </w:t>
            </w:r>
            <w:r w:rsidR="009F3221">
              <w:rPr>
                <w:bCs/>
                <w:snapToGrid w:val="0"/>
              </w:rPr>
              <w:t xml:space="preserve">delta när </w:t>
            </w:r>
            <w:r w:rsidRPr="006D6C3E">
              <w:rPr>
                <w:bCs/>
                <w:snapToGrid w:val="0"/>
              </w:rPr>
              <w:t>socialutskottet</w:t>
            </w:r>
            <w:r w:rsidR="009F3221">
              <w:rPr>
                <w:bCs/>
                <w:snapToGrid w:val="0"/>
              </w:rPr>
              <w:t xml:space="preserve"> får information </w:t>
            </w:r>
            <w:r w:rsidR="00096DEB" w:rsidRPr="00096DEB">
              <w:rPr>
                <w:bCs/>
                <w:snapToGrid w:val="0"/>
              </w:rPr>
              <w:t>från regeringen om pågående utredningar om barn- och ungdomsfrågor</w:t>
            </w:r>
            <w:r w:rsidR="00096DEB" w:rsidRPr="00EC62A7">
              <w:rPr>
                <w:bCs/>
                <w:snapToGrid w:val="0"/>
              </w:rPr>
              <w:t xml:space="preserve"> </w:t>
            </w:r>
            <w:r>
              <w:rPr>
                <w:bCs/>
                <w:snapToGrid w:val="0"/>
              </w:rPr>
              <w:t>den</w:t>
            </w:r>
            <w:r w:rsidRPr="006D6C3E">
              <w:rPr>
                <w:bCs/>
                <w:snapToGrid w:val="0"/>
              </w:rPr>
              <w:t xml:space="preserve"> 30 januari</w:t>
            </w:r>
            <w:r>
              <w:rPr>
                <w:bCs/>
                <w:snapToGrid w:val="0"/>
              </w:rPr>
              <w:t xml:space="preserve"> </w:t>
            </w:r>
            <w:r w:rsidR="0031204F">
              <w:rPr>
                <w:bCs/>
                <w:snapToGrid w:val="0"/>
              </w:rPr>
              <w:t xml:space="preserve">2025 </w:t>
            </w:r>
            <w:r>
              <w:rPr>
                <w:bCs/>
                <w:snapToGrid w:val="0"/>
              </w:rPr>
              <w:t>kl. 10.00</w:t>
            </w:r>
            <w:r w:rsidRPr="006D6C3E">
              <w:rPr>
                <w:bCs/>
                <w:snapToGrid w:val="0"/>
              </w:rPr>
              <w:t>.</w:t>
            </w:r>
            <w:r>
              <w:rPr>
                <w:bCs/>
                <w:snapToGrid w:val="0"/>
              </w:rPr>
              <w:t xml:space="preserve"> Med anledning av inbjudan</w:t>
            </w:r>
            <w:r w:rsidRPr="006D6C3E">
              <w:rPr>
                <w:bCs/>
                <w:snapToGrid w:val="0"/>
              </w:rPr>
              <w:t xml:space="preserve"> </w:t>
            </w:r>
            <w:r>
              <w:rPr>
                <w:bCs/>
                <w:snapToGrid w:val="0"/>
              </w:rPr>
              <w:t>t</w:t>
            </w:r>
            <w:r w:rsidRPr="006D6C3E">
              <w:rPr>
                <w:bCs/>
                <w:snapToGrid w:val="0"/>
              </w:rPr>
              <w:t>idigarelägg</w:t>
            </w:r>
            <w:r>
              <w:rPr>
                <w:bCs/>
                <w:snapToGrid w:val="0"/>
              </w:rPr>
              <w:t xml:space="preserve">s justitieutskottets sammanträde </w:t>
            </w:r>
            <w:r w:rsidR="009F3221">
              <w:rPr>
                <w:bCs/>
                <w:snapToGrid w:val="0"/>
              </w:rPr>
              <w:t xml:space="preserve">den dagen </w:t>
            </w:r>
            <w:r>
              <w:rPr>
                <w:bCs/>
                <w:snapToGrid w:val="0"/>
              </w:rPr>
              <w:t>till kl. 9.30.</w:t>
            </w:r>
          </w:p>
          <w:p w14:paraId="7207AD94" w14:textId="2B9AF97B" w:rsidR="006D6C3E" w:rsidRDefault="006D6C3E" w:rsidP="00830F05">
            <w:pPr>
              <w:tabs>
                <w:tab w:val="left" w:pos="1701"/>
              </w:tabs>
              <w:rPr>
                <w:bCs/>
                <w:snapToGrid w:val="0"/>
              </w:rPr>
            </w:pPr>
          </w:p>
          <w:p w14:paraId="7361C11E" w14:textId="31CC1B99" w:rsidR="006D6C3E" w:rsidRDefault="006D6C3E" w:rsidP="00830F05">
            <w:pPr>
              <w:tabs>
                <w:tab w:val="left" w:pos="1701"/>
              </w:tabs>
              <w:rPr>
                <w:bCs/>
                <w:snapToGrid w:val="0"/>
              </w:rPr>
            </w:pPr>
            <w:r>
              <w:rPr>
                <w:bCs/>
                <w:snapToGrid w:val="0"/>
              </w:rPr>
              <w:t>Utskottet beslutade att bjuda in Domstolsverket och Åklagar</w:t>
            </w:r>
            <w:r w:rsidR="009F3221">
              <w:rPr>
                <w:bCs/>
                <w:snapToGrid w:val="0"/>
              </w:rPr>
              <w:softHyphen/>
            </w:r>
            <w:r>
              <w:rPr>
                <w:bCs/>
                <w:snapToGrid w:val="0"/>
              </w:rPr>
              <w:t>myndigheten</w:t>
            </w:r>
            <w:r w:rsidR="0000608B">
              <w:rPr>
                <w:bCs/>
                <w:snapToGrid w:val="0"/>
              </w:rPr>
              <w:t>.</w:t>
            </w:r>
          </w:p>
          <w:p w14:paraId="3A0AF554" w14:textId="51726B6F" w:rsidR="006D6C3E" w:rsidRDefault="006D6C3E" w:rsidP="00830F05">
            <w:pPr>
              <w:tabs>
                <w:tab w:val="left" w:pos="1701"/>
              </w:tabs>
              <w:rPr>
                <w:bCs/>
                <w:snapToGrid w:val="0"/>
              </w:rPr>
            </w:pPr>
          </w:p>
          <w:p w14:paraId="2D906BF3" w14:textId="20112677" w:rsidR="006D6C3E" w:rsidRDefault="006D6C3E" w:rsidP="00830F05">
            <w:pPr>
              <w:tabs>
                <w:tab w:val="left" w:pos="1701"/>
              </w:tabs>
              <w:rPr>
                <w:bCs/>
                <w:snapToGrid w:val="0"/>
              </w:rPr>
            </w:pPr>
            <w:r>
              <w:rPr>
                <w:bCs/>
                <w:snapToGrid w:val="0"/>
              </w:rPr>
              <w:t xml:space="preserve">S-ledamöterna föreslog att utskottet skulle ta ett initiativ om </w:t>
            </w:r>
            <w:r w:rsidR="0031204F">
              <w:rPr>
                <w:bCs/>
                <w:snapToGrid w:val="0"/>
              </w:rPr>
              <w:t>delgivning</w:t>
            </w:r>
            <w:r>
              <w:rPr>
                <w:bCs/>
                <w:snapToGrid w:val="0"/>
              </w:rPr>
              <w:t>, se bilaga 2.</w:t>
            </w:r>
          </w:p>
          <w:p w14:paraId="3129907F" w14:textId="229917E7" w:rsidR="006D6C3E" w:rsidRDefault="006D6C3E" w:rsidP="00830F05">
            <w:pPr>
              <w:tabs>
                <w:tab w:val="left" w:pos="1701"/>
              </w:tabs>
              <w:rPr>
                <w:bCs/>
                <w:snapToGrid w:val="0"/>
              </w:rPr>
            </w:pPr>
          </w:p>
          <w:p w14:paraId="6636C27F" w14:textId="64F19144" w:rsidR="006D6C3E" w:rsidRDefault="006D6C3E" w:rsidP="00830F05">
            <w:pPr>
              <w:tabs>
                <w:tab w:val="left" w:pos="1701"/>
              </w:tabs>
              <w:rPr>
                <w:bCs/>
                <w:snapToGrid w:val="0"/>
              </w:rPr>
            </w:pPr>
            <w:r>
              <w:rPr>
                <w:bCs/>
                <w:snapToGrid w:val="0"/>
              </w:rPr>
              <w:t>Frågan bordlades.</w:t>
            </w:r>
          </w:p>
          <w:p w14:paraId="7D4B3C40" w14:textId="1B4B4354" w:rsidR="00E34820" w:rsidRDefault="00E34820" w:rsidP="004D51E8">
            <w:pPr>
              <w:tabs>
                <w:tab w:val="left" w:pos="1701"/>
              </w:tabs>
              <w:rPr>
                <w:b/>
                <w:snapToGrid w:val="0"/>
              </w:rPr>
            </w:pPr>
          </w:p>
        </w:tc>
      </w:tr>
      <w:tr w:rsidR="004D51E8" w14:paraId="06DA1A6F" w14:textId="77777777" w:rsidTr="005F3412">
        <w:tc>
          <w:tcPr>
            <w:tcW w:w="567" w:type="dxa"/>
          </w:tcPr>
          <w:p w14:paraId="09263E9D" w14:textId="56E9AEFF" w:rsidR="004D51E8" w:rsidRDefault="004D51E8" w:rsidP="004D51E8">
            <w:pPr>
              <w:tabs>
                <w:tab w:val="left" w:pos="1701"/>
              </w:tabs>
              <w:rPr>
                <w:b/>
                <w:snapToGrid w:val="0"/>
              </w:rPr>
            </w:pPr>
            <w:r>
              <w:rPr>
                <w:b/>
                <w:snapToGrid w:val="0"/>
              </w:rPr>
              <w:t>§</w:t>
            </w:r>
            <w:r w:rsidR="00C73DC1">
              <w:rPr>
                <w:b/>
                <w:snapToGrid w:val="0"/>
              </w:rPr>
              <w:t xml:space="preserve"> </w:t>
            </w:r>
            <w:r w:rsidR="0065332B">
              <w:rPr>
                <w:b/>
                <w:snapToGrid w:val="0"/>
              </w:rPr>
              <w:t>8</w:t>
            </w:r>
          </w:p>
        </w:tc>
        <w:tc>
          <w:tcPr>
            <w:tcW w:w="6946" w:type="dxa"/>
          </w:tcPr>
          <w:p w14:paraId="36F011DE" w14:textId="77777777" w:rsidR="004D51E8" w:rsidRDefault="004D51E8" w:rsidP="004D51E8">
            <w:pPr>
              <w:tabs>
                <w:tab w:val="left" w:pos="1701"/>
              </w:tabs>
              <w:rPr>
                <w:b/>
                <w:snapToGrid w:val="0"/>
              </w:rPr>
            </w:pPr>
            <w:r>
              <w:rPr>
                <w:b/>
                <w:snapToGrid w:val="0"/>
              </w:rPr>
              <w:t>Nästa sammanträde</w:t>
            </w:r>
          </w:p>
          <w:p w14:paraId="25D1CF8E" w14:textId="5D3218AC" w:rsidR="004D51E8" w:rsidRDefault="004D51E8" w:rsidP="004D51E8">
            <w:pPr>
              <w:tabs>
                <w:tab w:val="left" w:pos="1701"/>
              </w:tabs>
              <w:rPr>
                <w:b/>
                <w:snapToGrid w:val="0"/>
              </w:rPr>
            </w:pPr>
            <w:r>
              <w:rPr>
                <w:b/>
                <w:snapToGrid w:val="0"/>
              </w:rPr>
              <w:br/>
            </w:r>
            <w:r>
              <w:rPr>
                <w:snapToGrid w:val="0"/>
              </w:rPr>
              <w:t xml:space="preserve">Nästa sammanträde äger rum </w:t>
            </w:r>
            <w:r w:rsidR="00D6622C">
              <w:rPr>
                <w:snapToGrid w:val="0"/>
              </w:rPr>
              <w:t>t</w:t>
            </w:r>
            <w:r w:rsidR="00BE2176">
              <w:rPr>
                <w:snapToGrid w:val="0"/>
              </w:rPr>
              <w:t>or</w:t>
            </w:r>
            <w:r w:rsidR="00D6622C">
              <w:rPr>
                <w:snapToGrid w:val="0"/>
              </w:rPr>
              <w:t>sdagen</w:t>
            </w:r>
            <w:r>
              <w:rPr>
                <w:snapToGrid w:val="0"/>
              </w:rPr>
              <w:t xml:space="preserve"> den </w:t>
            </w:r>
            <w:r w:rsidR="005C7E90">
              <w:rPr>
                <w:snapToGrid w:val="0"/>
              </w:rPr>
              <w:t>23</w:t>
            </w:r>
            <w:r w:rsidR="009A26AF">
              <w:rPr>
                <w:snapToGrid w:val="0"/>
              </w:rPr>
              <w:t xml:space="preserve"> januari</w:t>
            </w:r>
            <w:r w:rsidR="00315C64">
              <w:rPr>
                <w:snapToGrid w:val="0"/>
              </w:rPr>
              <w:t xml:space="preserve"> </w:t>
            </w:r>
            <w:r>
              <w:rPr>
                <w:snapToGrid w:val="0"/>
              </w:rPr>
              <w:t>202</w:t>
            </w:r>
            <w:r w:rsidR="009A26AF">
              <w:rPr>
                <w:snapToGrid w:val="0"/>
              </w:rPr>
              <w:t>5</w:t>
            </w:r>
            <w:r>
              <w:rPr>
                <w:snapToGrid w:val="0"/>
              </w:rPr>
              <w:t xml:space="preserve"> kl. 1</w:t>
            </w:r>
            <w:r w:rsidR="00E863BE">
              <w:rPr>
                <w:snapToGrid w:val="0"/>
              </w:rPr>
              <w:t>0</w:t>
            </w:r>
            <w:r>
              <w:rPr>
                <w:snapToGrid w:val="0"/>
              </w:rPr>
              <w:t>.00.</w:t>
            </w:r>
          </w:p>
          <w:p w14:paraId="1B3CCEE6" w14:textId="67EC8F31" w:rsidR="004D51E8" w:rsidRDefault="004D51E8" w:rsidP="004D51E8">
            <w:pPr>
              <w:rPr>
                <w:b/>
                <w:bCs/>
                <w:snapToGrid w:val="0"/>
              </w:rPr>
            </w:pPr>
          </w:p>
        </w:tc>
      </w:tr>
    </w:tbl>
    <w:p w14:paraId="5685E348" w14:textId="71BA586C" w:rsidR="00060B50" w:rsidRDefault="00060B50"/>
    <w:p w14:paraId="14DF2DBC" w14:textId="50EA3A92" w:rsidR="00CC4752" w:rsidRDefault="00CC4752"/>
    <w:p w14:paraId="44D5D27F" w14:textId="77777777" w:rsidR="00CC4752" w:rsidRDefault="00CC4752"/>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28028172" w:rsidR="008E3AF3" w:rsidRDefault="008E3AF3" w:rsidP="008E3AF3">
            <w:pPr>
              <w:tabs>
                <w:tab w:val="left" w:pos="1701"/>
              </w:tabs>
            </w:pPr>
            <w:r>
              <w:t>Vid protokollet</w:t>
            </w:r>
          </w:p>
          <w:p w14:paraId="032CA991" w14:textId="77777777" w:rsidR="008F7AE4" w:rsidRDefault="008F7AE4" w:rsidP="008E3AF3">
            <w:pPr>
              <w:tabs>
                <w:tab w:val="left" w:pos="1701"/>
              </w:tabs>
            </w:pPr>
          </w:p>
          <w:p w14:paraId="769E2353" w14:textId="252302B3" w:rsidR="008E3AF3" w:rsidRDefault="008E3AF3" w:rsidP="008E3AF3">
            <w:pPr>
              <w:tabs>
                <w:tab w:val="left" w:pos="1701"/>
              </w:tabs>
            </w:pPr>
          </w:p>
          <w:p w14:paraId="4B2B4214" w14:textId="77777777" w:rsidR="00E863BE" w:rsidRDefault="00E863BE" w:rsidP="008E3AF3">
            <w:pPr>
              <w:tabs>
                <w:tab w:val="left" w:pos="1701"/>
              </w:tabs>
            </w:pPr>
          </w:p>
          <w:p w14:paraId="0E530247" w14:textId="499B538E" w:rsidR="008E3AF3" w:rsidRDefault="00E96C50" w:rsidP="008E3AF3">
            <w:pPr>
              <w:tabs>
                <w:tab w:val="left" w:pos="1701"/>
              </w:tabs>
            </w:pPr>
            <w:r>
              <w:t>Sara Dadnahal</w:t>
            </w:r>
          </w:p>
          <w:p w14:paraId="49748C55" w14:textId="77777777" w:rsidR="00CC4752" w:rsidRDefault="00CC4752" w:rsidP="008E3AF3">
            <w:pPr>
              <w:tabs>
                <w:tab w:val="left" w:pos="1701"/>
              </w:tabs>
            </w:pPr>
          </w:p>
          <w:p w14:paraId="713EBD6C" w14:textId="77777777" w:rsidR="008E3AF3" w:rsidRDefault="008E3AF3" w:rsidP="008E3AF3">
            <w:pPr>
              <w:tabs>
                <w:tab w:val="left" w:pos="1701"/>
              </w:tabs>
            </w:pPr>
          </w:p>
          <w:p w14:paraId="0EF5D07F" w14:textId="4509C390" w:rsidR="008E3AF3" w:rsidRDefault="008E3AF3" w:rsidP="008E3AF3">
            <w:pPr>
              <w:tabs>
                <w:tab w:val="left" w:pos="1701"/>
              </w:tabs>
            </w:pPr>
            <w:r>
              <w:lastRenderedPageBreak/>
              <w:t>Justeras den</w:t>
            </w:r>
            <w:r w:rsidR="009F4412">
              <w:t xml:space="preserve"> </w:t>
            </w:r>
            <w:r w:rsidR="005C7E90">
              <w:t>23</w:t>
            </w:r>
            <w:r w:rsidR="009A26AF">
              <w:t xml:space="preserve"> januari</w:t>
            </w:r>
            <w:r w:rsidR="00D7713D">
              <w:t xml:space="preserve"> </w:t>
            </w:r>
            <w:r>
              <w:t>202</w:t>
            </w:r>
            <w:r w:rsidR="009A26AF">
              <w:t>5</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7AD0D994" w:rsidR="00B22510" w:rsidRPr="00ED345C" w:rsidRDefault="00432F55" w:rsidP="008E3AF3">
            <w:pPr>
              <w:tabs>
                <w:tab w:val="left" w:pos="1701"/>
              </w:tabs>
              <w:rPr>
                <w:szCs w:val="24"/>
              </w:rPr>
            </w:pPr>
            <w:r>
              <w:rPr>
                <w:szCs w:val="24"/>
              </w:rPr>
              <w:t xml:space="preserve">Richard Jomshof </w:t>
            </w:r>
          </w:p>
        </w:tc>
      </w:tr>
    </w:tbl>
    <w:p w14:paraId="7780A59F" w14:textId="1E9E08A5" w:rsidR="00AA153E" w:rsidRDefault="00AA153E">
      <w:pPr>
        <w:widowControl/>
      </w:pPr>
    </w:p>
    <w:p w14:paraId="13864308" w14:textId="20C647B9" w:rsidR="00C50E21" w:rsidRDefault="00CC4752">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5782AEF1" w:rsidR="00E760A5" w:rsidRDefault="00E760A5" w:rsidP="00720C97">
            <w:pPr>
              <w:tabs>
                <w:tab w:val="left" w:pos="1701"/>
              </w:tabs>
              <w:rPr>
                <w:b/>
              </w:rPr>
            </w:pPr>
            <w:r>
              <w:rPr>
                <w:b/>
              </w:rPr>
              <w:t xml:space="preserve">Bilaga </w:t>
            </w:r>
            <w:r w:rsidR="0000608B">
              <w:rPr>
                <w:b/>
              </w:rPr>
              <w:t>1</w:t>
            </w:r>
          </w:p>
          <w:p w14:paraId="5D996520" w14:textId="77777777" w:rsidR="00E760A5" w:rsidRDefault="00E760A5" w:rsidP="00720C97">
            <w:pPr>
              <w:tabs>
                <w:tab w:val="left" w:pos="1701"/>
              </w:tabs>
            </w:pPr>
            <w:r>
              <w:t>till protokoll</w:t>
            </w:r>
          </w:p>
          <w:p w14:paraId="60C96A3E" w14:textId="29ABE0FF" w:rsidR="00E760A5" w:rsidRDefault="00E760A5" w:rsidP="00720C97">
            <w:pPr>
              <w:tabs>
                <w:tab w:val="left" w:pos="1701"/>
              </w:tabs>
            </w:pPr>
            <w:r>
              <w:t>20</w:t>
            </w:r>
            <w:r w:rsidR="00CD70B9">
              <w:t>2</w:t>
            </w:r>
            <w:r w:rsidR="007B4AE4">
              <w:t>4</w:t>
            </w:r>
            <w:r>
              <w:t>/2</w:t>
            </w:r>
            <w:r w:rsidR="007B4AE4">
              <w:t>5</w:t>
            </w:r>
            <w:r>
              <w:t>:</w:t>
            </w:r>
            <w:r w:rsidR="007036D4">
              <w:t>1</w:t>
            </w:r>
            <w:r w:rsidR="005C7E90">
              <w:t>5</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27F130DF"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CC4752">
              <w:rPr>
                <w:sz w:val="22"/>
              </w:rPr>
              <w:t>-</w:t>
            </w:r>
            <w:r w:rsidR="0000608B">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7E4B8BB4" w:rsidR="00E760A5" w:rsidRDefault="0000608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333B7167" w:rsidR="00E760A5" w:rsidRDefault="0000608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4-8</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64925B62"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D4B74DA"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5EB00EDD" w:rsidR="00C14E72" w:rsidRPr="007379A1" w:rsidRDefault="00C14E72" w:rsidP="00C14E72">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583BF2BC" w:rsidR="00C14E72" w:rsidRPr="00F72CCB"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1D4EDCA2" w:rsidR="00C14E72" w:rsidRPr="00F72CCB"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2111D3A4" w:rsidR="00C14E72" w:rsidRPr="00F72CCB"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C14E72" w:rsidRPr="00F72CCB"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611BDB4D" w:rsidR="00C14E72" w:rsidRPr="009841C1" w:rsidRDefault="00E239EE" w:rsidP="00C14E72">
            <w:pPr>
              <w:rPr>
                <w:lang w:val="en-GB"/>
              </w:rPr>
            </w:pPr>
            <w:r>
              <w:rPr>
                <w:lang w:val="en-GB"/>
              </w:rPr>
              <w:t xml:space="preserve">Teresa Carvalho </w:t>
            </w:r>
            <w:r w:rsidR="00C14E72">
              <w:rPr>
                <w:lang w:val="en-GB"/>
              </w:rPr>
              <w:t>(S)</w:t>
            </w:r>
            <w:r w:rsidR="00C14E72" w:rsidRPr="009841C1">
              <w:rPr>
                <w:lang w:val="en-GB"/>
              </w:rPr>
              <w:t xml:space="preserve"> vice </w:t>
            </w:r>
            <w:proofErr w:type="spellStart"/>
            <w:r w:rsidR="00C14E72" w:rsidRPr="009841C1">
              <w:rPr>
                <w:lang w:val="en-GB"/>
              </w:rPr>
              <w:t>ordf</w:t>
            </w:r>
            <w:proofErr w:type="spellEnd"/>
            <w:r w:rsidR="00C14E72" w:rsidRPr="009841C1">
              <w:rPr>
                <w:lang w:val="en-GB"/>
              </w:rPr>
              <w:t>.</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071F7B98" w:rsidR="00C14E72" w:rsidRPr="00F72CCB"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19F56D9B" w:rsidR="00C14E72" w:rsidRPr="00F72CCB"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C14E72" w:rsidRPr="00F72CCB"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08969F6D" w:rsidR="00C14E72" w:rsidRPr="00C04C3F" w:rsidRDefault="00C14E72" w:rsidP="00C14E72">
            <w:pPr>
              <w:rPr>
                <w:szCs w:val="24"/>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5DD52C17"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777A85A8"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C14E72" w:rsidRPr="007B654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58F92B28" w:rsidR="00C14E72" w:rsidRPr="00A74BA5" w:rsidRDefault="00C14E72" w:rsidP="00C14E72">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414E161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416F5870"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E06624B"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23A17AF6" w:rsidR="00C14E72" w:rsidRPr="00A74BA5" w:rsidRDefault="00C14E72" w:rsidP="00C14E72">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56095F32"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326680A2"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0F663EC3" w:rsidR="00C14E72" w:rsidRPr="00F85329" w:rsidRDefault="00C14E72" w:rsidP="00C14E72">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4095F022"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21619168"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0A7BFBAA" w:rsidR="00C14E72" w:rsidRPr="00A74BA5" w:rsidRDefault="00C14E72" w:rsidP="00C14E72">
            <w:pPr>
              <w:rPr>
                <w:szCs w:val="24"/>
                <w:lang w:val="en-US"/>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166C1EE5" w14:textId="6FA2D1A1"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532A2290"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3714125B"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2E7996BE" w:rsidR="00C14E72" w:rsidRPr="00A74BA5" w:rsidRDefault="00C14E72" w:rsidP="00C14E72">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4CA12D0F" w:rsidR="00C14E72" w:rsidRDefault="00E963D1"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127CE2D4"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18110327"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4394E25C" w:rsidR="00C14E72" w:rsidRPr="00A74BA5" w:rsidRDefault="00C14E72" w:rsidP="00C14E72">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5C16A3CC"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5FB2BDB1"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7E31A1FA" w:rsidR="00C14E72" w:rsidRPr="00A74BA5" w:rsidRDefault="00C14E72" w:rsidP="00C14E72">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6B96BF92"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672416ED"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22C1890" w:rsidR="00C14E72" w:rsidRPr="00A74BA5" w:rsidRDefault="00C14E72" w:rsidP="00C14E72">
            <w:pPr>
              <w:rPr>
                <w:szCs w:val="24"/>
              </w:rPr>
            </w:pPr>
            <w:r>
              <w:t>Fredrik Kärrholm</w:t>
            </w:r>
            <w:r w:rsidRPr="00775568">
              <w:t xml:space="preserve">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1140248D"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6E9063F4"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0F6A3EE2" w:rsidR="00C14E72" w:rsidRPr="00A74BA5" w:rsidRDefault="00C14E72" w:rsidP="00C14E72">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64C6E6E6"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34576A06"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23CF500" w:rsidR="00C14E72" w:rsidRPr="00A74BA5" w:rsidRDefault="00C14E72" w:rsidP="00C14E72">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3D94EFCE"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188B2EB1"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0C62A14" w:rsidR="00C14E72" w:rsidRPr="00A74BA5" w:rsidRDefault="00C14E72" w:rsidP="00C14E72">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5450F82F"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7FD0A23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5E37211"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15715136" w:rsidR="00C14E72" w:rsidRPr="00A74BA5" w:rsidRDefault="00C14E72" w:rsidP="00C14E72">
            <w:pPr>
              <w:rPr>
                <w:szCs w:val="24"/>
              </w:rPr>
            </w:pPr>
            <w:r w:rsidRPr="00F85329">
              <w:t xml:space="preserve">Pontus Andersson </w:t>
            </w:r>
            <w:r w:rsidRPr="00D1792B">
              <w:t>Garpvall</w:t>
            </w:r>
            <w:r>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15C07B0B"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2E8AECDB"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785FE18A" w:rsidR="00C14E72" w:rsidRPr="000253CD" w:rsidRDefault="00C14E72" w:rsidP="00C14E72">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143D1A3C"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22AD5C03" w:rsidR="00C14E72"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1FD9A7A6" w:rsidR="00C14E72" w:rsidRPr="00A74BA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C14E72" w:rsidRPr="00B20174"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07241CFC" w:rsidR="00C14E72" w:rsidRPr="00B20174"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6FAF9962" w:rsidR="00C14E72" w:rsidRPr="00B20174"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C14E72" w:rsidRPr="00B20174"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59AF4F59" w:rsidR="00C14E72" w:rsidRPr="00A74BA5"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C14E72"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14E72"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231E7916" w:rsidR="00C14E72" w:rsidRPr="00CD65BC" w:rsidRDefault="00C14E72" w:rsidP="00C14E72">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D1675CB"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0F7890F8"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3E9C2A94"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4E72"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29B6E982" w:rsidR="00C14E72" w:rsidRPr="00A23450" w:rsidRDefault="00C14E72" w:rsidP="00C14E72">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1F5E2E05"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081A51DA"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4E72"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616D8E1C" w:rsidR="00C14E72" w:rsidRPr="00A23450" w:rsidRDefault="00C14E72" w:rsidP="00C14E72">
            <w:r w:rsidRPr="004A394D">
              <w:t>Ludvig Ceimertz (M)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7B184AEF"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74C2C2C0" w:rsidR="00C14E72" w:rsidRPr="0078232D" w:rsidRDefault="0000608B"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C14E72" w:rsidRPr="0078232D" w:rsidRDefault="00C14E72" w:rsidP="00C14E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D455A0" w:rsidRDefault="00D455A0" w:rsidP="00D455A0">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596989D6" w:rsidR="00D455A0" w:rsidRPr="0078232D" w:rsidRDefault="00E863BE"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6DFF99D9" w:rsidR="00D455A0" w:rsidRPr="0078232D" w:rsidRDefault="0000608B"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6EB6468B" w:rsidR="00D455A0" w:rsidRPr="0078232D" w:rsidRDefault="0000608B"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D455A0" w:rsidRDefault="00D455A0" w:rsidP="00D455A0">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D455A0" w:rsidRPr="00A23450" w:rsidRDefault="00D455A0" w:rsidP="00D455A0">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D455A0" w:rsidRPr="00A23450" w:rsidRDefault="00D455A0" w:rsidP="00D455A0">
            <w:proofErr w:type="spellStart"/>
            <w:r w:rsidRPr="00F967CF">
              <w:t>Noria</w:t>
            </w:r>
            <w:proofErr w:type="spellEnd"/>
            <w:r w:rsidRPr="00F967CF">
              <w:t xml:space="preserve"> </w:t>
            </w:r>
            <w:proofErr w:type="spellStart"/>
            <w:r w:rsidRPr="00F967CF">
              <w:t>Manouchi</w:t>
            </w:r>
            <w:proofErr w:type="spellEnd"/>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D455A0" w:rsidRPr="00A23450" w:rsidRDefault="00D455A0" w:rsidP="00D455A0">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D455A0" w:rsidRDefault="00D455A0" w:rsidP="00D455A0">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D455A0" w:rsidRDefault="00D455A0" w:rsidP="00D455A0">
            <w:proofErr w:type="spellStart"/>
            <w:r w:rsidRPr="00775568">
              <w:t>Serkan</w:t>
            </w:r>
            <w:proofErr w:type="spellEnd"/>
            <w:r w:rsidRPr="00775568">
              <w:t xml:space="preserve"> </w:t>
            </w:r>
            <w:proofErr w:type="spellStart"/>
            <w:r w:rsidRPr="00775568">
              <w:t>Köse</w:t>
            </w:r>
            <w:proofErr w:type="spellEnd"/>
            <w:r w:rsidRPr="00775568">
              <w:t xml:space="preserv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D455A0" w:rsidRPr="00A23450" w:rsidRDefault="00D455A0" w:rsidP="00D455A0">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D455A0" w:rsidRPr="00A23450" w:rsidRDefault="00D455A0" w:rsidP="00D455A0">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6BB24339" w:rsidR="00D455A0" w:rsidRPr="0078232D" w:rsidRDefault="0000608B"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01BE10BF" w:rsidR="00D455A0" w:rsidRPr="0078232D" w:rsidRDefault="0000608B"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61BD3A01" w:rsidR="00D455A0" w:rsidRPr="0078232D" w:rsidRDefault="0000608B"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4B514060" w:rsidR="002C4514" w:rsidRPr="0078232D" w:rsidRDefault="0000608B"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73952D0D" w:rsidR="002C4514" w:rsidRPr="0078232D" w:rsidRDefault="0000608B"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3672DC7" w:rsidR="002C4514" w:rsidRPr="0078232D" w:rsidRDefault="0000608B"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 xml:space="preserve">Sara-Lena </w:t>
            </w:r>
            <w:proofErr w:type="spellStart"/>
            <w:r w:rsidRPr="002F723A">
              <w:t>Bjälkö</w:t>
            </w:r>
            <w:proofErr w:type="spellEnd"/>
            <w:r w:rsidRPr="002F723A">
              <w:t xml:space="preserve">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proofErr w:type="spellStart"/>
            <w:r w:rsidRPr="002F723A">
              <w:t>Lorena</w:t>
            </w:r>
            <w:proofErr w:type="spellEnd"/>
            <w:r w:rsidRPr="002F723A">
              <w:t xml:space="preserve">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30C9DDDD" w:rsidR="004F206C" w:rsidRPr="0078232D" w:rsidRDefault="0000608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3CEE385F" w:rsidR="004F206C" w:rsidRPr="0078232D" w:rsidRDefault="0000608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1853F6F9" w:rsidR="004F206C" w:rsidRPr="0078232D" w:rsidRDefault="0000608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7CE4" w14:paraId="3499335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803823B" w14:textId="7453C9E6" w:rsidR="007E7CE4" w:rsidRPr="002B414F" w:rsidRDefault="007E7CE4" w:rsidP="004F206C">
            <w:r>
              <w:t xml:space="preserve">Rebecka Le </w:t>
            </w:r>
            <w:proofErr w:type="spellStart"/>
            <w:r>
              <w:t>Moine</w:t>
            </w:r>
            <w:proofErr w:type="spellEnd"/>
            <w:r>
              <w:t xml:space="preserve"> (MP) </w:t>
            </w:r>
          </w:p>
        </w:tc>
        <w:tc>
          <w:tcPr>
            <w:tcW w:w="356" w:type="dxa"/>
            <w:tcBorders>
              <w:top w:val="single" w:sz="6" w:space="0" w:color="auto"/>
              <w:left w:val="single" w:sz="6" w:space="0" w:color="auto"/>
              <w:bottom w:val="single" w:sz="6" w:space="0" w:color="auto"/>
              <w:right w:val="single" w:sz="6" w:space="0" w:color="auto"/>
            </w:tcBorders>
          </w:tcPr>
          <w:p w14:paraId="29A7E5CE"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27D78B"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4C2D0"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32A52B"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22FB"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F882"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B80B3"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514F8"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1B94"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08BA0E"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69B41"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0EE34E"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3073F"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A9C28B" w14:textId="77777777" w:rsidR="007E7CE4" w:rsidRPr="0078232D" w:rsidRDefault="007E7CE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A012A"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5691C734" w:rsidR="006A012A" w:rsidRPr="002F723A" w:rsidRDefault="00DB1D4D" w:rsidP="004F206C">
            <w:r>
              <w:t>Patrik</w:t>
            </w:r>
            <w:r w:rsidR="000E1D88">
              <w:t xml:space="preserve"> Karlson (L)</w:t>
            </w:r>
          </w:p>
        </w:tc>
        <w:tc>
          <w:tcPr>
            <w:tcW w:w="356" w:type="dxa"/>
            <w:tcBorders>
              <w:top w:val="single" w:sz="6" w:space="0" w:color="auto"/>
              <w:left w:val="single" w:sz="6" w:space="0" w:color="auto"/>
              <w:bottom w:val="single" w:sz="6" w:space="0" w:color="auto"/>
              <w:right w:val="single" w:sz="6" w:space="0" w:color="auto"/>
            </w:tcBorders>
          </w:tcPr>
          <w:p w14:paraId="62ECB9F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lastRenderedPageBreak/>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213494AF" w14:textId="494AAAD2"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68367377" w:rsidR="0000608B" w:rsidRDefault="0000608B">
      <w:pPr>
        <w:widowControl/>
      </w:pPr>
      <w:r>
        <w:br w:type="page"/>
      </w:r>
    </w:p>
    <w:p w14:paraId="4D916B2C" w14:textId="48F1647F" w:rsidR="00C977AA" w:rsidRDefault="00C977AA" w:rsidP="00C977AA">
      <w:pPr>
        <w:tabs>
          <w:tab w:val="left" w:pos="1701"/>
        </w:tabs>
        <w:jc w:val="right"/>
        <w:rPr>
          <w:b/>
        </w:rPr>
      </w:pPr>
      <w:r>
        <w:rPr>
          <w:b/>
        </w:rPr>
        <w:lastRenderedPageBreak/>
        <w:t>Bilaga 2</w:t>
      </w:r>
    </w:p>
    <w:p w14:paraId="5EC9558B" w14:textId="77777777" w:rsidR="00C977AA" w:rsidRDefault="00C977AA" w:rsidP="00C977AA">
      <w:pPr>
        <w:tabs>
          <w:tab w:val="left" w:pos="1701"/>
        </w:tabs>
        <w:jc w:val="right"/>
      </w:pPr>
      <w:r>
        <w:t>till protokoll</w:t>
      </w:r>
    </w:p>
    <w:p w14:paraId="542228C6" w14:textId="24282694" w:rsidR="00C977AA" w:rsidRDefault="00C977AA" w:rsidP="00C977AA">
      <w:pPr>
        <w:tabs>
          <w:tab w:val="left" w:pos="1701"/>
        </w:tabs>
        <w:jc w:val="right"/>
      </w:pPr>
      <w:r>
        <w:t>2024/25:15</w:t>
      </w:r>
    </w:p>
    <w:p w14:paraId="335CC1E6" w14:textId="27D4FABA" w:rsidR="00C977AA" w:rsidRDefault="00C977AA" w:rsidP="00C977AA">
      <w:pPr>
        <w:tabs>
          <w:tab w:val="left" w:pos="1701"/>
        </w:tabs>
        <w:jc w:val="right"/>
      </w:pPr>
      <w:r>
        <w:rPr>
          <w:noProof/>
        </w:rPr>
        <w:drawing>
          <wp:anchor distT="0" distB="0" distL="114300" distR="114300" simplePos="0" relativeHeight="251659264" behindDoc="1" locked="0" layoutInCell="1" allowOverlap="1" wp14:anchorId="5DE27645" wp14:editId="72678EB4">
            <wp:simplePos x="0" y="0"/>
            <wp:positionH relativeFrom="page">
              <wp:posOffset>979004</wp:posOffset>
            </wp:positionH>
            <wp:positionV relativeFrom="page">
              <wp:posOffset>1472593</wp:posOffset>
            </wp:positionV>
            <wp:extent cx="2614449" cy="50165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4449" cy="501650"/>
                    </a:xfrm>
                    <a:prstGeom prst="rect">
                      <a:avLst/>
                    </a:prstGeom>
                  </pic:spPr>
                </pic:pic>
              </a:graphicData>
            </a:graphic>
            <wp14:sizeRelH relativeFrom="page">
              <wp14:pctWidth>0</wp14:pctWidth>
            </wp14:sizeRelH>
            <wp14:sizeRelV relativeFrom="page">
              <wp14:pctHeight>0</wp14:pctHeight>
            </wp14:sizeRelV>
          </wp:anchor>
        </w:drawing>
      </w:r>
    </w:p>
    <w:p w14:paraId="4EB9E954" w14:textId="2A446B86" w:rsidR="00C977AA" w:rsidRDefault="00C977AA" w:rsidP="00C977AA">
      <w:pPr>
        <w:tabs>
          <w:tab w:val="left" w:pos="1701"/>
        </w:tabs>
      </w:pPr>
      <w:r>
        <w:rPr>
          <w:noProof/>
        </w:rPr>
        <w:drawing>
          <wp:anchor distT="0" distB="0" distL="114300" distR="114300" simplePos="0" relativeHeight="251660288" behindDoc="0" locked="0" layoutInCell="1" allowOverlap="1" wp14:anchorId="41F42723" wp14:editId="1DDDC9ED">
            <wp:simplePos x="0" y="0"/>
            <wp:positionH relativeFrom="margin">
              <wp:align>right</wp:align>
            </wp:positionH>
            <wp:positionV relativeFrom="paragraph">
              <wp:posOffset>111649</wp:posOffset>
            </wp:positionV>
            <wp:extent cx="1447800" cy="390525"/>
            <wp:effectExtent l="0" t="0" r="0" b="952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390525"/>
                    </a:xfrm>
                    <a:prstGeom prst="rect">
                      <a:avLst/>
                    </a:prstGeom>
                    <a:noFill/>
                  </pic:spPr>
                </pic:pic>
              </a:graphicData>
            </a:graphic>
          </wp:anchor>
        </w:drawing>
      </w:r>
    </w:p>
    <w:p w14:paraId="22B2CD32" w14:textId="592A6E71" w:rsidR="00C977AA" w:rsidRDefault="00C977AA" w:rsidP="00C977AA">
      <w:pPr>
        <w:tabs>
          <w:tab w:val="left" w:pos="1701"/>
        </w:tabs>
      </w:pPr>
      <w:r>
        <w:br w:type="textWrapping" w:clear="all"/>
      </w:r>
    </w:p>
    <w:p w14:paraId="4BDBDB4A" w14:textId="4C78717C" w:rsidR="00C977AA" w:rsidRDefault="00C977AA" w:rsidP="00C977AA">
      <w:pPr>
        <w:tabs>
          <w:tab w:val="left" w:pos="1701"/>
        </w:tabs>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C977AA" w:rsidRPr="00C977AA" w14:paraId="72FF7EEB" w14:textId="77777777" w:rsidTr="00A46C97">
        <w:trPr>
          <w:trHeight w:hRule="exact" w:val="369"/>
        </w:trPr>
        <w:tc>
          <w:tcPr>
            <w:tcW w:w="4536" w:type="dxa"/>
          </w:tcPr>
          <w:p w14:paraId="338E6720" w14:textId="77777777" w:rsidR="00C977AA" w:rsidRPr="00C977AA" w:rsidRDefault="00C977AA" w:rsidP="00C977AA">
            <w:pPr>
              <w:widowControl/>
              <w:tabs>
                <w:tab w:val="left" w:pos="284"/>
              </w:tabs>
              <w:spacing w:after="240" w:line="280" w:lineRule="atLeast"/>
              <w:rPr>
                <w:sz w:val="28"/>
                <w:szCs w:val="22"/>
              </w:rPr>
            </w:pPr>
            <w:bookmarkStart w:id="1" w:name="Datum" w:colFirst="0" w:colLast="0"/>
            <w:bookmarkStart w:id="2" w:name="Diarienummer" w:colFirst="1" w:colLast="1"/>
            <w:r w:rsidRPr="00C977AA">
              <w:rPr>
                <w:sz w:val="28"/>
                <w:szCs w:val="22"/>
              </w:rPr>
              <w:t>2025-01-16</w:t>
            </w:r>
          </w:p>
          <w:p w14:paraId="791713D5" w14:textId="77777777" w:rsidR="00C977AA" w:rsidRPr="00C977AA" w:rsidRDefault="00C977AA" w:rsidP="00C977AA">
            <w:pPr>
              <w:widowControl/>
              <w:tabs>
                <w:tab w:val="left" w:pos="284"/>
              </w:tabs>
              <w:spacing w:after="240" w:line="280" w:lineRule="atLeast"/>
              <w:rPr>
                <w:sz w:val="28"/>
                <w:szCs w:val="22"/>
              </w:rPr>
            </w:pPr>
          </w:p>
          <w:p w14:paraId="0560D116" w14:textId="77777777" w:rsidR="00C977AA" w:rsidRPr="00C977AA" w:rsidRDefault="00C977AA" w:rsidP="00C977AA">
            <w:pPr>
              <w:widowControl/>
              <w:tabs>
                <w:tab w:val="left" w:pos="284"/>
              </w:tabs>
              <w:spacing w:after="240" w:line="280" w:lineRule="atLeast"/>
              <w:rPr>
                <w:sz w:val="28"/>
                <w:szCs w:val="22"/>
              </w:rPr>
            </w:pPr>
          </w:p>
        </w:tc>
        <w:tc>
          <w:tcPr>
            <w:tcW w:w="4678" w:type="dxa"/>
            <w:gridSpan w:val="2"/>
          </w:tcPr>
          <w:p w14:paraId="6E41F276" w14:textId="77777777" w:rsidR="00C977AA" w:rsidRPr="00C977AA" w:rsidRDefault="00C977AA" w:rsidP="00C977AA">
            <w:pPr>
              <w:widowControl/>
              <w:tabs>
                <w:tab w:val="left" w:pos="284"/>
              </w:tabs>
              <w:spacing w:after="240"/>
              <w:jc w:val="right"/>
              <w:rPr>
                <w:sz w:val="28"/>
                <w:szCs w:val="22"/>
              </w:rPr>
            </w:pPr>
          </w:p>
        </w:tc>
      </w:tr>
      <w:bookmarkEnd w:id="1"/>
      <w:bookmarkEnd w:id="2"/>
      <w:tr w:rsidR="00C977AA" w:rsidRPr="00C977AA" w14:paraId="206FF2E9" w14:textId="77777777" w:rsidTr="00A46C97">
        <w:trPr>
          <w:trHeight w:hRule="exact" w:val="369"/>
        </w:trPr>
        <w:tc>
          <w:tcPr>
            <w:tcW w:w="4536" w:type="dxa"/>
          </w:tcPr>
          <w:p w14:paraId="4EB4E67F" w14:textId="77777777" w:rsidR="00C977AA" w:rsidRPr="00C977AA" w:rsidRDefault="00C977AA" w:rsidP="00C977AA">
            <w:pPr>
              <w:widowControl/>
              <w:tabs>
                <w:tab w:val="left" w:pos="284"/>
              </w:tabs>
              <w:spacing w:after="240" w:line="280" w:lineRule="atLeast"/>
              <w:rPr>
                <w:sz w:val="28"/>
                <w:szCs w:val="22"/>
              </w:rPr>
            </w:pPr>
          </w:p>
        </w:tc>
        <w:tc>
          <w:tcPr>
            <w:tcW w:w="4678" w:type="dxa"/>
            <w:gridSpan w:val="2"/>
          </w:tcPr>
          <w:p w14:paraId="0CFB69FC" w14:textId="77777777" w:rsidR="00C977AA" w:rsidRPr="00C977AA" w:rsidRDefault="00C977AA" w:rsidP="00C977AA">
            <w:pPr>
              <w:widowControl/>
              <w:tabs>
                <w:tab w:val="left" w:pos="284"/>
              </w:tabs>
              <w:spacing w:after="240"/>
              <w:jc w:val="right"/>
              <w:rPr>
                <w:sz w:val="28"/>
                <w:szCs w:val="22"/>
              </w:rPr>
            </w:pPr>
            <w:r w:rsidRPr="00C977AA">
              <w:rPr>
                <w:sz w:val="28"/>
                <w:szCs w:val="22"/>
              </w:rPr>
              <w:t xml:space="preserve"> </w:t>
            </w:r>
          </w:p>
          <w:p w14:paraId="241DA5D7" w14:textId="77777777" w:rsidR="00C977AA" w:rsidRPr="00C977AA" w:rsidRDefault="00C977AA" w:rsidP="00C977AA">
            <w:pPr>
              <w:widowControl/>
              <w:tabs>
                <w:tab w:val="left" w:pos="284"/>
              </w:tabs>
              <w:spacing w:after="240" w:line="280" w:lineRule="atLeast"/>
              <w:rPr>
                <w:sz w:val="28"/>
                <w:szCs w:val="22"/>
              </w:rPr>
            </w:pPr>
          </w:p>
        </w:tc>
      </w:tr>
      <w:tr w:rsidR="00C977AA" w:rsidRPr="00C977AA" w14:paraId="29C2224F" w14:textId="77777777" w:rsidTr="00A46C97">
        <w:trPr>
          <w:trHeight w:val="796"/>
        </w:trPr>
        <w:tc>
          <w:tcPr>
            <w:tcW w:w="7230" w:type="dxa"/>
            <w:gridSpan w:val="2"/>
            <w:vAlign w:val="bottom"/>
          </w:tcPr>
          <w:p w14:paraId="01C6AB44" w14:textId="77777777" w:rsidR="00C977AA" w:rsidRPr="00C977AA" w:rsidRDefault="00C977AA" w:rsidP="00C977AA">
            <w:pPr>
              <w:widowControl/>
              <w:spacing w:after="240" w:line="280" w:lineRule="atLeast"/>
              <w:rPr>
                <w:b/>
                <w:sz w:val="28"/>
                <w:szCs w:val="28"/>
              </w:rPr>
            </w:pPr>
            <w:bookmarkStart w:id="3" w:name="Rubrik" w:colFirst="0" w:colLast="0"/>
            <w:r w:rsidRPr="00C977AA">
              <w:rPr>
                <w:b/>
                <w:sz w:val="28"/>
                <w:szCs w:val="28"/>
              </w:rPr>
              <w:t>Utskottsinitiativ</w:t>
            </w:r>
          </w:p>
          <w:p w14:paraId="3DA50248" w14:textId="77777777" w:rsidR="00C977AA" w:rsidRPr="00C977AA" w:rsidRDefault="00C977AA" w:rsidP="00C977AA">
            <w:pPr>
              <w:widowControl/>
              <w:spacing w:after="240" w:line="280" w:lineRule="atLeast"/>
              <w:rPr>
                <w:b/>
                <w:sz w:val="28"/>
                <w:szCs w:val="28"/>
              </w:rPr>
            </w:pPr>
            <w:r w:rsidRPr="00C977AA">
              <w:rPr>
                <w:b/>
                <w:sz w:val="28"/>
                <w:szCs w:val="28"/>
              </w:rPr>
              <w:t>Delgivning</w:t>
            </w:r>
          </w:p>
        </w:tc>
        <w:tc>
          <w:tcPr>
            <w:tcW w:w="1984" w:type="dxa"/>
          </w:tcPr>
          <w:p w14:paraId="7E554EEF" w14:textId="77777777" w:rsidR="00C977AA" w:rsidRPr="00C977AA" w:rsidRDefault="00C977AA" w:rsidP="00C977AA">
            <w:pPr>
              <w:widowControl/>
              <w:tabs>
                <w:tab w:val="left" w:pos="284"/>
              </w:tabs>
              <w:spacing w:after="240" w:line="280" w:lineRule="atLeast"/>
              <w:rPr>
                <w:sz w:val="28"/>
                <w:szCs w:val="22"/>
              </w:rPr>
            </w:pPr>
          </w:p>
        </w:tc>
      </w:tr>
    </w:tbl>
    <w:p w14:paraId="17AAF15D" w14:textId="77777777" w:rsidR="00C977AA" w:rsidRPr="00C977AA" w:rsidRDefault="00C977AA" w:rsidP="00C977AA">
      <w:pPr>
        <w:keepNext/>
        <w:widowControl/>
        <w:tabs>
          <w:tab w:val="left" w:pos="284"/>
        </w:tabs>
        <w:spacing w:before="120" w:after="80" w:line="280" w:lineRule="atLeast"/>
        <w:outlineLvl w:val="0"/>
        <w:rPr>
          <w:rFonts w:ascii="GillSans Pro for Riksdagen Md" w:hAnsi="GillSans Pro for Riksdagen Md"/>
          <w:b/>
          <w:kern w:val="28"/>
          <w:sz w:val="28"/>
          <w:szCs w:val="22"/>
        </w:rPr>
      </w:pPr>
      <w:bookmarkStart w:id="4" w:name="Start"/>
      <w:bookmarkEnd w:id="3"/>
      <w:bookmarkEnd w:id="4"/>
      <w:r w:rsidRPr="00C977AA">
        <w:rPr>
          <w:rFonts w:ascii="GillSans Pro for Riksdagen Md" w:hAnsi="GillSans Pro for Riksdagen Md"/>
          <w:b/>
          <w:kern w:val="28"/>
          <w:sz w:val="28"/>
          <w:szCs w:val="22"/>
        </w:rPr>
        <w:t>Sammanfattning</w:t>
      </w:r>
    </w:p>
    <w:p w14:paraId="13FA4D43" w14:textId="77777777" w:rsidR="00C977AA" w:rsidRPr="00C977AA" w:rsidRDefault="00C977AA" w:rsidP="00C977AA">
      <w:pPr>
        <w:widowControl/>
        <w:tabs>
          <w:tab w:val="left" w:pos="284"/>
        </w:tabs>
        <w:spacing w:after="240" w:line="280" w:lineRule="atLeast"/>
        <w:rPr>
          <w:sz w:val="28"/>
          <w:szCs w:val="22"/>
        </w:rPr>
      </w:pPr>
      <w:r w:rsidRPr="00C977AA">
        <w:rPr>
          <w:sz w:val="28"/>
          <w:szCs w:val="22"/>
        </w:rPr>
        <w:t xml:space="preserve">Tiden har sprungit ifrån gällande delgivningsregler. Svenska myndigheter gör idag orimligt stora ansträngningar för att delge människor som medvetet håller sig undan. Staten behöver ges fler och mer effektiva verktyg, särskilt för att täppa igen möjligheterna att hålla sig undan ansvar för brott. </w:t>
      </w:r>
    </w:p>
    <w:p w14:paraId="0472B9F7" w14:textId="77777777" w:rsidR="00C977AA" w:rsidRPr="00C977AA" w:rsidRDefault="00C977AA" w:rsidP="00C977AA">
      <w:pPr>
        <w:widowControl/>
        <w:tabs>
          <w:tab w:val="left" w:pos="284"/>
        </w:tabs>
        <w:spacing w:after="240" w:line="280" w:lineRule="atLeast"/>
        <w:rPr>
          <w:sz w:val="28"/>
          <w:szCs w:val="22"/>
        </w:rPr>
      </w:pPr>
      <w:r w:rsidRPr="00C977AA">
        <w:rPr>
          <w:sz w:val="28"/>
          <w:szCs w:val="22"/>
        </w:rPr>
        <w:t xml:space="preserve">Socialdemokraterna anser mot denna bakgrund att en utredning bör tillsättas med uppdrag att </w:t>
      </w:r>
    </w:p>
    <w:p w14:paraId="4054FC2B" w14:textId="77777777" w:rsidR="00C977AA" w:rsidRPr="00C977AA" w:rsidRDefault="00C977AA" w:rsidP="00C977AA">
      <w:pPr>
        <w:widowControl/>
        <w:numPr>
          <w:ilvl w:val="0"/>
          <w:numId w:val="16"/>
        </w:numPr>
        <w:tabs>
          <w:tab w:val="left" w:pos="284"/>
        </w:tabs>
        <w:spacing w:after="240" w:line="280" w:lineRule="atLeast"/>
        <w:contextualSpacing/>
        <w:rPr>
          <w:sz w:val="28"/>
          <w:szCs w:val="22"/>
        </w:rPr>
      </w:pPr>
      <w:r w:rsidRPr="00C977AA">
        <w:rPr>
          <w:sz w:val="28"/>
          <w:szCs w:val="22"/>
        </w:rPr>
        <w:t>se över möjligheterna att kriminalisera personer som håller sig undan delgivning,</w:t>
      </w:r>
    </w:p>
    <w:p w14:paraId="175AC362" w14:textId="77777777" w:rsidR="00C977AA" w:rsidRPr="00C977AA" w:rsidRDefault="00C977AA" w:rsidP="00C977AA">
      <w:pPr>
        <w:widowControl/>
        <w:numPr>
          <w:ilvl w:val="0"/>
          <w:numId w:val="16"/>
        </w:numPr>
        <w:tabs>
          <w:tab w:val="left" w:pos="284"/>
        </w:tabs>
        <w:spacing w:after="240" w:line="280" w:lineRule="atLeast"/>
        <w:contextualSpacing/>
        <w:rPr>
          <w:sz w:val="28"/>
          <w:szCs w:val="22"/>
        </w:rPr>
      </w:pPr>
      <w:r w:rsidRPr="00C977AA">
        <w:rPr>
          <w:sz w:val="28"/>
          <w:szCs w:val="22"/>
        </w:rPr>
        <w:t xml:space="preserve">se över möjligheten att frysa preskription av brott under delgivningsperioden samt </w:t>
      </w:r>
    </w:p>
    <w:p w14:paraId="10063E34" w14:textId="77777777" w:rsidR="00C977AA" w:rsidRPr="00C977AA" w:rsidRDefault="00C977AA" w:rsidP="00C977AA">
      <w:pPr>
        <w:widowControl/>
        <w:numPr>
          <w:ilvl w:val="0"/>
          <w:numId w:val="16"/>
        </w:numPr>
        <w:tabs>
          <w:tab w:val="left" w:pos="284"/>
        </w:tabs>
        <w:spacing w:after="240" w:line="280" w:lineRule="atLeast"/>
        <w:contextualSpacing/>
        <w:rPr>
          <w:sz w:val="28"/>
          <w:szCs w:val="22"/>
        </w:rPr>
      </w:pPr>
      <w:r w:rsidRPr="00C977AA">
        <w:rPr>
          <w:sz w:val="28"/>
          <w:szCs w:val="22"/>
        </w:rPr>
        <w:t>ta vidare de förslag som presenterats av Kronofogdemyndigheten, Domstolsverket och Försäkringskassan i deras hemställan i februari 2024.</w:t>
      </w:r>
      <w:r w:rsidRPr="00C977AA">
        <w:rPr>
          <w:sz w:val="28"/>
          <w:szCs w:val="22"/>
          <w:vertAlign w:val="superscript"/>
        </w:rPr>
        <w:footnoteReference w:id="1"/>
      </w:r>
    </w:p>
    <w:p w14:paraId="5A8CFBD3" w14:textId="77777777" w:rsidR="00C977AA" w:rsidRPr="00C977AA" w:rsidRDefault="00C977AA" w:rsidP="00C977AA">
      <w:pPr>
        <w:keepNext/>
        <w:widowControl/>
        <w:tabs>
          <w:tab w:val="left" w:pos="284"/>
        </w:tabs>
        <w:spacing w:before="120" w:after="80" w:line="280" w:lineRule="atLeast"/>
        <w:outlineLvl w:val="0"/>
        <w:rPr>
          <w:rFonts w:ascii="GillSans Pro for Riksdagen Md" w:hAnsi="GillSans Pro for Riksdagen Md"/>
          <w:b/>
          <w:kern w:val="28"/>
          <w:sz w:val="28"/>
          <w:szCs w:val="22"/>
        </w:rPr>
      </w:pPr>
      <w:r w:rsidRPr="00C977AA">
        <w:rPr>
          <w:rFonts w:ascii="GillSans Pro for Riksdagen Md" w:hAnsi="GillSans Pro for Riksdagen Md"/>
          <w:b/>
          <w:kern w:val="28"/>
          <w:sz w:val="28"/>
          <w:szCs w:val="22"/>
        </w:rPr>
        <w:t>Bakgrund</w:t>
      </w:r>
    </w:p>
    <w:p w14:paraId="6DA5AA90" w14:textId="77777777" w:rsidR="00C977AA" w:rsidRPr="00C977AA" w:rsidRDefault="00C977AA" w:rsidP="00C977AA">
      <w:pPr>
        <w:widowControl/>
        <w:tabs>
          <w:tab w:val="left" w:pos="284"/>
        </w:tabs>
        <w:spacing w:after="240" w:line="280" w:lineRule="atLeast"/>
        <w:rPr>
          <w:sz w:val="28"/>
          <w:szCs w:val="22"/>
        </w:rPr>
      </w:pPr>
      <w:r w:rsidRPr="00C977AA">
        <w:rPr>
          <w:sz w:val="28"/>
          <w:szCs w:val="22"/>
        </w:rPr>
        <w:t xml:space="preserve">En grundläggande princip i en rättsstat är att enskilda i mål och ärenden ska ges möjlighet att framföra sin uppfattning och därigenom kunna påverka det allmännas beslutsfattande i frågor som rör dem. Domstolar och andra myndigheter har därför en långtgående skyldighet att låta parter få ta del av information som finns i ett mål eller ärende. När detta rättssäkerhetsintresse gör sig särskilt starkt gällande krävs delgivning, som typexempel kan nämnas förundersökning eller domstolsprocess. </w:t>
      </w:r>
    </w:p>
    <w:p w14:paraId="078D3926" w14:textId="77777777" w:rsidR="00C977AA" w:rsidRPr="00C977AA" w:rsidRDefault="00C977AA" w:rsidP="00C977AA">
      <w:pPr>
        <w:widowControl/>
        <w:tabs>
          <w:tab w:val="left" w:pos="284"/>
        </w:tabs>
        <w:spacing w:after="240" w:line="280" w:lineRule="atLeast"/>
        <w:rPr>
          <w:sz w:val="28"/>
          <w:szCs w:val="22"/>
        </w:rPr>
      </w:pPr>
      <w:r w:rsidRPr="00C977AA">
        <w:rPr>
          <w:sz w:val="28"/>
          <w:szCs w:val="22"/>
        </w:rPr>
        <w:t>De senaste åren har reglerna om delgivning samtidigt blivit mer flexibla.</w:t>
      </w:r>
      <w:r w:rsidRPr="00C977AA">
        <w:rPr>
          <w:sz w:val="28"/>
          <w:szCs w:val="22"/>
          <w:vertAlign w:val="superscript"/>
        </w:rPr>
        <w:footnoteReference w:id="2"/>
      </w:r>
      <w:r w:rsidRPr="00C977AA">
        <w:rPr>
          <w:sz w:val="28"/>
          <w:szCs w:val="22"/>
        </w:rPr>
        <w:t xml:space="preserve">  Förenklad delgivning har blivit möjlig i fler fall och ordningen med s.k. </w:t>
      </w:r>
      <w:r w:rsidRPr="00C977AA">
        <w:rPr>
          <w:sz w:val="28"/>
          <w:szCs w:val="22"/>
        </w:rPr>
        <w:lastRenderedPageBreak/>
        <w:t>tillgänglighetsdelgivning först utvecklats och sedan permanentats. Utvecklingen har syftat till en mer effektiv och snabb rättsprocess. Såvitt framkommit har resultatet också varit blivit positivt. De rättssäkerhetsintressen som systemet med delgivning värnar har kunnat skyddas även med de nya reglerna.</w:t>
      </w:r>
    </w:p>
    <w:p w14:paraId="4FD60A65" w14:textId="77777777" w:rsidR="00C977AA" w:rsidRPr="00C977AA" w:rsidRDefault="00C977AA" w:rsidP="00C977AA">
      <w:pPr>
        <w:widowControl/>
        <w:tabs>
          <w:tab w:val="left" w:pos="284"/>
        </w:tabs>
        <w:spacing w:after="240" w:line="280" w:lineRule="atLeast"/>
        <w:rPr>
          <w:sz w:val="28"/>
          <w:szCs w:val="22"/>
        </w:rPr>
      </w:pPr>
      <w:r w:rsidRPr="00C977AA">
        <w:rPr>
          <w:sz w:val="28"/>
          <w:szCs w:val="22"/>
        </w:rPr>
        <w:t>I februari 2024 har Kronofogdemyndigheten, Domstolsverket och Försäkringskassan hemställt om ytterligare förändringar i samma riktning. De lyfter i sin hemställan fram hur dagens regler, trots genomförda förenklingar alltjämt är för resurs- och tidskrävande och möjliggör för personer att hålla sig undan. Fortfarande är det så att många brottmålsrättegångar får ställas in på grund av bristande delgivning eller på att preskription inträtt. Reglerna innebär också stora svårigheter för Kronofogden att driva in återkrav. Myndigheterna vill därför se en utredning där bland annat frågor om delgivning via statliga servicekontor, möjligheten att begära biträde av en annan myndighet, tillgänglighet för delgivning som villkor för vissa välfärdsutbetalningar samt s.k. ”digital spikning” utreds.</w:t>
      </w:r>
    </w:p>
    <w:p w14:paraId="6159A93E" w14:textId="77777777" w:rsidR="00C977AA" w:rsidRPr="00C977AA" w:rsidRDefault="00C977AA" w:rsidP="00C977AA">
      <w:pPr>
        <w:widowControl/>
        <w:tabs>
          <w:tab w:val="left" w:pos="284"/>
        </w:tabs>
        <w:spacing w:after="240" w:line="280" w:lineRule="atLeast"/>
        <w:rPr>
          <w:sz w:val="28"/>
          <w:szCs w:val="22"/>
        </w:rPr>
      </w:pPr>
      <w:r w:rsidRPr="00C977AA">
        <w:rPr>
          <w:sz w:val="28"/>
          <w:szCs w:val="22"/>
        </w:rPr>
        <w:t>Socialdemokraterna anser att regeringen snarast bör tillsätta en utredning som tar vidare myndigheternas förslag. Utredningen bör samtidigt se över möjligheterna att kriminalisera personer som håller sig undan delgivning samt möjligheten att frysa preskription av brott under delgivningsperioden.</w:t>
      </w:r>
    </w:p>
    <w:p w14:paraId="47BEA696" w14:textId="77777777" w:rsidR="00C977AA" w:rsidRPr="00C977AA" w:rsidRDefault="00C977AA" w:rsidP="00C977AA">
      <w:pPr>
        <w:keepNext/>
        <w:widowControl/>
        <w:tabs>
          <w:tab w:val="left" w:pos="284"/>
        </w:tabs>
        <w:spacing w:before="120" w:after="80" w:line="280" w:lineRule="atLeast"/>
        <w:outlineLvl w:val="0"/>
        <w:rPr>
          <w:rFonts w:ascii="GillSans Pro for Riksdagen Md" w:hAnsi="GillSans Pro for Riksdagen Md"/>
          <w:b/>
          <w:kern w:val="28"/>
          <w:sz w:val="28"/>
          <w:szCs w:val="22"/>
        </w:rPr>
      </w:pPr>
      <w:r w:rsidRPr="00C977AA">
        <w:rPr>
          <w:rFonts w:ascii="GillSans Pro for Riksdagen Md" w:hAnsi="GillSans Pro for Riksdagen Md"/>
          <w:b/>
          <w:kern w:val="28"/>
          <w:sz w:val="28"/>
          <w:szCs w:val="22"/>
        </w:rPr>
        <w:t xml:space="preserve">Utskottet föreslår till riksdagen besluta att  </w:t>
      </w:r>
    </w:p>
    <w:p w14:paraId="78099404" w14:textId="77777777" w:rsidR="00C977AA" w:rsidRPr="00C977AA" w:rsidRDefault="00C977AA" w:rsidP="00C977AA">
      <w:pPr>
        <w:widowControl/>
        <w:tabs>
          <w:tab w:val="left" w:pos="284"/>
        </w:tabs>
        <w:spacing w:after="240" w:line="280" w:lineRule="atLeast"/>
        <w:rPr>
          <w:sz w:val="28"/>
          <w:szCs w:val="28"/>
        </w:rPr>
      </w:pPr>
      <w:r w:rsidRPr="00C977AA">
        <w:rPr>
          <w:sz w:val="28"/>
          <w:szCs w:val="28"/>
        </w:rPr>
        <w:t>Riksdagen ställer sig bakom det som anförs om att regeringen ska tillsätta en utredning av nuvarande delgivningsregler och tillkännager detta för regeringen.</w:t>
      </w:r>
    </w:p>
    <w:p w14:paraId="22806141" w14:textId="77777777" w:rsidR="00C977AA" w:rsidRPr="00C977AA" w:rsidRDefault="00C977AA" w:rsidP="00C977AA">
      <w:pPr>
        <w:widowControl/>
        <w:spacing w:after="240" w:line="280" w:lineRule="atLeast"/>
        <w:rPr>
          <w:sz w:val="28"/>
          <w:szCs w:val="28"/>
        </w:rPr>
      </w:pPr>
      <w:r w:rsidRPr="00C977AA">
        <w:rPr>
          <w:sz w:val="28"/>
          <w:szCs w:val="28"/>
        </w:rPr>
        <w:t>- - -</w:t>
      </w:r>
    </w:p>
    <w:p w14:paraId="321FC192" w14:textId="77777777" w:rsidR="00C977AA" w:rsidRPr="00C977AA" w:rsidRDefault="00C977AA" w:rsidP="00C977AA">
      <w:pPr>
        <w:widowControl/>
        <w:spacing w:after="240" w:line="280" w:lineRule="atLeast"/>
        <w:rPr>
          <w:sz w:val="28"/>
          <w:szCs w:val="28"/>
        </w:rPr>
      </w:pPr>
      <w:r w:rsidRPr="00C977AA">
        <w:rPr>
          <w:sz w:val="28"/>
          <w:szCs w:val="28"/>
        </w:rPr>
        <w:t>Socialdemokraterna</w:t>
      </w:r>
    </w:p>
    <w:p w14:paraId="0751D868" w14:textId="77777777" w:rsidR="00C977AA" w:rsidRPr="00C977AA" w:rsidRDefault="00C977AA" w:rsidP="00C977AA">
      <w:pPr>
        <w:widowControl/>
        <w:spacing w:after="240" w:line="280" w:lineRule="atLeast"/>
        <w:rPr>
          <w:sz w:val="28"/>
          <w:szCs w:val="28"/>
        </w:rPr>
      </w:pPr>
      <w:r w:rsidRPr="00C977AA">
        <w:rPr>
          <w:sz w:val="28"/>
          <w:szCs w:val="28"/>
        </w:rPr>
        <w:t>Teresa Carvalho (S)</w:t>
      </w:r>
    </w:p>
    <w:p w14:paraId="69E7C381" w14:textId="77777777" w:rsidR="00C977AA" w:rsidRPr="00C977AA" w:rsidRDefault="00C977AA" w:rsidP="00C977AA">
      <w:pPr>
        <w:widowControl/>
        <w:spacing w:after="240" w:line="280" w:lineRule="atLeast"/>
        <w:rPr>
          <w:sz w:val="28"/>
          <w:szCs w:val="28"/>
        </w:rPr>
      </w:pPr>
      <w:r w:rsidRPr="00C977AA">
        <w:rPr>
          <w:sz w:val="28"/>
          <w:szCs w:val="28"/>
        </w:rPr>
        <w:t>Annika Strandhäll (S)</w:t>
      </w:r>
    </w:p>
    <w:p w14:paraId="7B440EC4" w14:textId="77777777" w:rsidR="00C977AA" w:rsidRPr="00C977AA" w:rsidRDefault="00C977AA" w:rsidP="00C977AA">
      <w:pPr>
        <w:widowControl/>
        <w:spacing w:after="240" w:line="280" w:lineRule="atLeast"/>
        <w:rPr>
          <w:sz w:val="28"/>
          <w:szCs w:val="28"/>
          <w:lang w:val="en-US"/>
        </w:rPr>
      </w:pPr>
      <w:r w:rsidRPr="00C977AA">
        <w:rPr>
          <w:sz w:val="28"/>
          <w:szCs w:val="28"/>
          <w:lang w:val="en-US"/>
        </w:rPr>
        <w:t>Petter Löberg (S)</w:t>
      </w:r>
    </w:p>
    <w:p w14:paraId="7CF76C69" w14:textId="77777777" w:rsidR="00C977AA" w:rsidRPr="00C977AA" w:rsidRDefault="00C977AA" w:rsidP="00C977AA">
      <w:pPr>
        <w:widowControl/>
        <w:spacing w:after="240" w:line="280" w:lineRule="atLeast"/>
        <w:rPr>
          <w:sz w:val="28"/>
          <w:szCs w:val="28"/>
          <w:lang w:val="en-US"/>
        </w:rPr>
      </w:pPr>
      <w:r w:rsidRPr="00C977AA">
        <w:rPr>
          <w:sz w:val="28"/>
          <w:szCs w:val="28"/>
          <w:lang w:val="en-US"/>
        </w:rPr>
        <w:t>Anna Wallentheim (S)</w:t>
      </w:r>
    </w:p>
    <w:p w14:paraId="3B06F80C" w14:textId="77777777" w:rsidR="00C977AA" w:rsidRPr="00C977AA" w:rsidRDefault="00C977AA" w:rsidP="00C977AA">
      <w:pPr>
        <w:widowControl/>
        <w:spacing w:after="240" w:line="280" w:lineRule="atLeast"/>
        <w:rPr>
          <w:sz w:val="28"/>
          <w:szCs w:val="28"/>
        </w:rPr>
      </w:pPr>
      <w:r w:rsidRPr="00C977AA">
        <w:rPr>
          <w:sz w:val="28"/>
          <w:szCs w:val="28"/>
        </w:rPr>
        <w:t>Mattias Vepsä (S)</w:t>
      </w:r>
    </w:p>
    <w:p w14:paraId="1566C099" w14:textId="77777777" w:rsidR="00C977AA" w:rsidRPr="00C977AA" w:rsidRDefault="00C977AA" w:rsidP="00C977AA">
      <w:pPr>
        <w:widowControl/>
        <w:spacing w:after="240" w:line="280" w:lineRule="atLeast"/>
        <w:rPr>
          <w:sz w:val="28"/>
          <w:szCs w:val="28"/>
        </w:rPr>
      </w:pPr>
      <w:r w:rsidRPr="00C977AA">
        <w:rPr>
          <w:sz w:val="28"/>
          <w:szCs w:val="28"/>
        </w:rPr>
        <w:t>Sanna Backeskog (S)</w:t>
      </w:r>
    </w:p>
    <w:p w14:paraId="21F77810" w14:textId="77777777" w:rsidR="00C977AA" w:rsidRPr="00C977AA" w:rsidRDefault="00C977AA" w:rsidP="00C977AA">
      <w:pPr>
        <w:widowControl/>
        <w:spacing w:after="240" w:line="280" w:lineRule="atLeast"/>
        <w:rPr>
          <w:sz w:val="28"/>
          <w:szCs w:val="28"/>
          <w:lang w:val="en-US"/>
        </w:rPr>
      </w:pPr>
      <w:r w:rsidRPr="00C977AA">
        <w:rPr>
          <w:sz w:val="28"/>
          <w:szCs w:val="28"/>
        </w:rPr>
        <w:lastRenderedPageBreak/>
        <w:t>Lars Isacsson (S)</w:t>
      </w:r>
    </w:p>
    <w:p w14:paraId="43A68673" w14:textId="77777777" w:rsidR="00C977AA" w:rsidRDefault="00C977AA" w:rsidP="00C977AA">
      <w:pPr>
        <w:tabs>
          <w:tab w:val="left" w:pos="1701"/>
        </w:tabs>
      </w:pPr>
    </w:p>
    <w:sectPr w:rsidR="00C977AA">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 w:id="1">
    <w:p w14:paraId="2DC5C66B" w14:textId="77777777" w:rsidR="00C977AA" w:rsidRDefault="00C977AA" w:rsidP="00C977AA">
      <w:pPr>
        <w:pStyle w:val="Fotnotstext"/>
      </w:pPr>
      <w:r>
        <w:rPr>
          <w:rStyle w:val="Fotnotsreferens"/>
        </w:rPr>
        <w:footnoteRef/>
      </w:r>
      <w:r>
        <w:t xml:space="preserve"> Hemställan om att utreda förbättrade möjligheter till delgivning (2024-02-02).</w:t>
      </w:r>
    </w:p>
  </w:footnote>
  <w:footnote w:id="2">
    <w:p w14:paraId="1759D116" w14:textId="77777777" w:rsidR="00C977AA" w:rsidRDefault="00C977AA" w:rsidP="00C977AA">
      <w:pPr>
        <w:pStyle w:val="Fotnotstext"/>
      </w:pPr>
      <w:r>
        <w:rPr>
          <w:rStyle w:val="Fotnotsreferens"/>
        </w:rPr>
        <w:footnoteRef/>
      </w:r>
      <w:r>
        <w:t xml:space="preserve"> </w:t>
      </w:r>
      <w:r w:rsidRPr="00976DAC">
        <w:t xml:space="preserve">Se t.ex. prop. 2013/14:170 Åtgärder för att hantera stora brottmål och inställda förhandlingar, prop. 2015/16:39 En modernare rättegång II och prop. 2021/22:279 Snabbare lagföring av brott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05A784F"/>
    <w:multiLevelType w:val="hybridMultilevel"/>
    <w:tmpl w:val="732A8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7"/>
  </w:num>
  <w:num w:numId="3">
    <w:abstractNumId w:val="9"/>
  </w:num>
  <w:num w:numId="4">
    <w:abstractNumId w:val="6"/>
  </w:num>
  <w:num w:numId="5">
    <w:abstractNumId w:val="11"/>
  </w:num>
  <w:num w:numId="6">
    <w:abstractNumId w:val="13"/>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08B"/>
    <w:rsid w:val="000064D2"/>
    <w:rsid w:val="00006C30"/>
    <w:rsid w:val="00007D82"/>
    <w:rsid w:val="0001049B"/>
    <w:rsid w:val="00010636"/>
    <w:rsid w:val="000108E7"/>
    <w:rsid w:val="00010F79"/>
    <w:rsid w:val="000113C2"/>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178B4"/>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7DE"/>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6C3C"/>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A4E"/>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09B"/>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AD5"/>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BD9"/>
    <w:rsid w:val="00096DE1"/>
    <w:rsid w:val="00096DEB"/>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1D3D"/>
    <w:rsid w:val="000B2297"/>
    <w:rsid w:val="000B2AD3"/>
    <w:rsid w:val="000B3562"/>
    <w:rsid w:val="000B3CE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1E57"/>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150B"/>
    <w:rsid w:val="000D23D2"/>
    <w:rsid w:val="000D2E0E"/>
    <w:rsid w:val="000D36A5"/>
    <w:rsid w:val="000D4945"/>
    <w:rsid w:val="000D4E8D"/>
    <w:rsid w:val="000D5659"/>
    <w:rsid w:val="000D6146"/>
    <w:rsid w:val="000D69BA"/>
    <w:rsid w:val="000D74FD"/>
    <w:rsid w:val="000D7EBE"/>
    <w:rsid w:val="000E055F"/>
    <w:rsid w:val="000E05E7"/>
    <w:rsid w:val="000E0627"/>
    <w:rsid w:val="000E1618"/>
    <w:rsid w:val="000E16A6"/>
    <w:rsid w:val="000E17DF"/>
    <w:rsid w:val="000E1833"/>
    <w:rsid w:val="000E18CE"/>
    <w:rsid w:val="000E1D88"/>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A97"/>
    <w:rsid w:val="000E6E06"/>
    <w:rsid w:val="000F01C1"/>
    <w:rsid w:val="000F0520"/>
    <w:rsid w:val="000F1021"/>
    <w:rsid w:val="000F1C2D"/>
    <w:rsid w:val="000F2187"/>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1DF3"/>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579"/>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6FE0"/>
    <w:rsid w:val="00127100"/>
    <w:rsid w:val="00127156"/>
    <w:rsid w:val="001277E2"/>
    <w:rsid w:val="00127C33"/>
    <w:rsid w:val="00130098"/>
    <w:rsid w:val="00130F74"/>
    <w:rsid w:val="00131118"/>
    <w:rsid w:val="00131424"/>
    <w:rsid w:val="001324B0"/>
    <w:rsid w:val="00132A9B"/>
    <w:rsid w:val="0013306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63C"/>
    <w:rsid w:val="001379B2"/>
    <w:rsid w:val="00137E81"/>
    <w:rsid w:val="00137EB5"/>
    <w:rsid w:val="00140032"/>
    <w:rsid w:val="00140224"/>
    <w:rsid w:val="00140575"/>
    <w:rsid w:val="00140DB0"/>
    <w:rsid w:val="00141024"/>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AF9"/>
    <w:rsid w:val="00152F7D"/>
    <w:rsid w:val="00153172"/>
    <w:rsid w:val="0015378D"/>
    <w:rsid w:val="00154B0A"/>
    <w:rsid w:val="00154C24"/>
    <w:rsid w:val="00154F4B"/>
    <w:rsid w:val="00155286"/>
    <w:rsid w:val="0015580D"/>
    <w:rsid w:val="00156022"/>
    <w:rsid w:val="00156484"/>
    <w:rsid w:val="00156572"/>
    <w:rsid w:val="00156B20"/>
    <w:rsid w:val="00156EBF"/>
    <w:rsid w:val="00157046"/>
    <w:rsid w:val="00157060"/>
    <w:rsid w:val="001571A2"/>
    <w:rsid w:val="00157379"/>
    <w:rsid w:val="00157E1E"/>
    <w:rsid w:val="00160ECE"/>
    <w:rsid w:val="00161410"/>
    <w:rsid w:val="00161902"/>
    <w:rsid w:val="00161AA6"/>
    <w:rsid w:val="0016281C"/>
    <w:rsid w:val="00163108"/>
    <w:rsid w:val="001632EE"/>
    <w:rsid w:val="00163811"/>
    <w:rsid w:val="00163862"/>
    <w:rsid w:val="00163A95"/>
    <w:rsid w:val="00164404"/>
    <w:rsid w:val="00164850"/>
    <w:rsid w:val="00164F41"/>
    <w:rsid w:val="001650F5"/>
    <w:rsid w:val="00165164"/>
    <w:rsid w:val="001653D9"/>
    <w:rsid w:val="0016580C"/>
    <w:rsid w:val="00165861"/>
    <w:rsid w:val="00165878"/>
    <w:rsid w:val="00165CED"/>
    <w:rsid w:val="00165FBD"/>
    <w:rsid w:val="00167999"/>
    <w:rsid w:val="00167FDE"/>
    <w:rsid w:val="001700CF"/>
    <w:rsid w:val="001701B5"/>
    <w:rsid w:val="001707A4"/>
    <w:rsid w:val="001709BF"/>
    <w:rsid w:val="00170C95"/>
    <w:rsid w:val="00170FE0"/>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0AC6"/>
    <w:rsid w:val="00181089"/>
    <w:rsid w:val="00181656"/>
    <w:rsid w:val="00181C77"/>
    <w:rsid w:val="00181F0C"/>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323"/>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4D8"/>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A7B7A"/>
    <w:rsid w:val="001A7D04"/>
    <w:rsid w:val="001B02CE"/>
    <w:rsid w:val="001B0943"/>
    <w:rsid w:val="001B0E09"/>
    <w:rsid w:val="001B0FF5"/>
    <w:rsid w:val="001B1553"/>
    <w:rsid w:val="001B15BB"/>
    <w:rsid w:val="001B15DC"/>
    <w:rsid w:val="001B1695"/>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47C"/>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0F3D"/>
    <w:rsid w:val="002012DD"/>
    <w:rsid w:val="00201AD5"/>
    <w:rsid w:val="00201B10"/>
    <w:rsid w:val="00202BC4"/>
    <w:rsid w:val="0020347C"/>
    <w:rsid w:val="00203CA6"/>
    <w:rsid w:val="002048F2"/>
    <w:rsid w:val="00204968"/>
    <w:rsid w:val="00204D58"/>
    <w:rsid w:val="00205A24"/>
    <w:rsid w:val="00205A2E"/>
    <w:rsid w:val="002066EE"/>
    <w:rsid w:val="00206D70"/>
    <w:rsid w:val="002079CA"/>
    <w:rsid w:val="00207E97"/>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419"/>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683B"/>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39"/>
    <w:rsid w:val="002839B0"/>
    <w:rsid w:val="00283C5A"/>
    <w:rsid w:val="00284354"/>
    <w:rsid w:val="00284699"/>
    <w:rsid w:val="002847DF"/>
    <w:rsid w:val="0028495C"/>
    <w:rsid w:val="00285C4A"/>
    <w:rsid w:val="00285DC2"/>
    <w:rsid w:val="002860F6"/>
    <w:rsid w:val="002863D2"/>
    <w:rsid w:val="00286468"/>
    <w:rsid w:val="00286904"/>
    <w:rsid w:val="00286D9D"/>
    <w:rsid w:val="00287A0B"/>
    <w:rsid w:val="00287BE9"/>
    <w:rsid w:val="00287DC4"/>
    <w:rsid w:val="00287ECC"/>
    <w:rsid w:val="00290F04"/>
    <w:rsid w:val="00291474"/>
    <w:rsid w:val="0029191A"/>
    <w:rsid w:val="00291EF6"/>
    <w:rsid w:val="00292998"/>
    <w:rsid w:val="002937C8"/>
    <w:rsid w:val="00293D82"/>
    <w:rsid w:val="00294465"/>
    <w:rsid w:val="00294632"/>
    <w:rsid w:val="002947FF"/>
    <w:rsid w:val="002948F2"/>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7CC"/>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3E11"/>
    <w:rsid w:val="002E472F"/>
    <w:rsid w:val="002E49F8"/>
    <w:rsid w:val="002E4ABC"/>
    <w:rsid w:val="002E54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204F"/>
    <w:rsid w:val="003121B8"/>
    <w:rsid w:val="0031288B"/>
    <w:rsid w:val="00312B90"/>
    <w:rsid w:val="00312EC3"/>
    <w:rsid w:val="00313738"/>
    <w:rsid w:val="00313D62"/>
    <w:rsid w:val="00313F88"/>
    <w:rsid w:val="00313FFE"/>
    <w:rsid w:val="0031413B"/>
    <w:rsid w:val="003144A7"/>
    <w:rsid w:val="003146C4"/>
    <w:rsid w:val="00314730"/>
    <w:rsid w:val="003149EB"/>
    <w:rsid w:val="003157C7"/>
    <w:rsid w:val="003159BC"/>
    <w:rsid w:val="00315C64"/>
    <w:rsid w:val="00315EAA"/>
    <w:rsid w:val="00316395"/>
    <w:rsid w:val="00316F08"/>
    <w:rsid w:val="003173E4"/>
    <w:rsid w:val="003176D3"/>
    <w:rsid w:val="003178A3"/>
    <w:rsid w:val="00317F79"/>
    <w:rsid w:val="0032021C"/>
    <w:rsid w:val="00320455"/>
    <w:rsid w:val="003209BD"/>
    <w:rsid w:val="00320A92"/>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4F3"/>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216"/>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E42"/>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250"/>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3E71"/>
    <w:rsid w:val="00364482"/>
    <w:rsid w:val="00365559"/>
    <w:rsid w:val="00365766"/>
    <w:rsid w:val="00365924"/>
    <w:rsid w:val="00366155"/>
    <w:rsid w:val="0036675B"/>
    <w:rsid w:val="00366A7E"/>
    <w:rsid w:val="00366A90"/>
    <w:rsid w:val="00366BF7"/>
    <w:rsid w:val="00366C81"/>
    <w:rsid w:val="00366EFC"/>
    <w:rsid w:val="0037059E"/>
    <w:rsid w:val="00370D1C"/>
    <w:rsid w:val="00370D84"/>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816"/>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5CB9"/>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3C23"/>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A0F"/>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2BE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4BA"/>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0DB"/>
    <w:rsid w:val="003D114F"/>
    <w:rsid w:val="003D11EB"/>
    <w:rsid w:val="003D1538"/>
    <w:rsid w:val="003D1742"/>
    <w:rsid w:val="003D1925"/>
    <w:rsid w:val="003D20C8"/>
    <w:rsid w:val="003D28EB"/>
    <w:rsid w:val="003D2EFD"/>
    <w:rsid w:val="003D327B"/>
    <w:rsid w:val="003D3374"/>
    <w:rsid w:val="003D35BF"/>
    <w:rsid w:val="003D3DB1"/>
    <w:rsid w:val="003D3E25"/>
    <w:rsid w:val="003D4586"/>
    <w:rsid w:val="003D4689"/>
    <w:rsid w:val="003D526E"/>
    <w:rsid w:val="003D57C6"/>
    <w:rsid w:val="003D59D8"/>
    <w:rsid w:val="003D5DFC"/>
    <w:rsid w:val="003D60B7"/>
    <w:rsid w:val="003D6135"/>
    <w:rsid w:val="003D65F1"/>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182"/>
    <w:rsid w:val="003F7CD2"/>
    <w:rsid w:val="003F7D51"/>
    <w:rsid w:val="004004A7"/>
    <w:rsid w:val="00400592"/>
    <w:rsid w:val="00400695"/>
    <w:rsid w:val="00400835"/>
    <w:rsid w:val="00400BB9"/>
    <w:rsid w:val="00400C98"/>
    <w:rsid w:val="004015DF"/>
    <w:rsid w:val="00401ADF"/>
    <w:rsid w:val="00401BEE"/>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1AF0"/>
    <w:rsid w:val="00432B29"/>
    <w:rsid w:val="00432F55"/>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1C77"/>
    <w:rsid w:val="00462285"/>
    <w:rsid w:val="00462ECF"/>
    <w:rsid w:val="0046320C"/>
    <w:rsid w:val="004632C0"/>
    <w:rsid w:val="004639A4"/>
    <w:rsid w:val="00463AC7"/>
    <w:rsid w:val="00463D47"/>
    <w:rsid w:val="00463FD0"/>
    <w:rsid w:val="004641F6"/>
    <w:rsid w:val="00464451"/>
    <w:rsid w:val="00464AE9"/>
    <w:rsid w:val="00464BF5"/>
    <w:rsid w:val="00464CAF"/>
    <w:rsid w:val="00464F3D"/>
    <w:rsid w:val="00465582"/>
    <w:rsid w:val="0046590A"/>
    <w:rsid w:val="00466837"/>
    <w:rsid w:val="00466905"/>
    <w:rsid w:val="00466A24"/>
    <w:rsid w:val="00466CEE"/>
    <w:rsid w:val="0046701C"/>
    <w:rsid w:val="00467232"/>
    <w:rsid w:val="00467785"/>
    <w:rsid w:val="00467854"/>
    <w:rsid w:val="00467A42"/>
    <w:rsid w:val="00470DFB"/>
    <w:rsid w:val="00470E0F"/>
    <w:rsid w:val="004719C2"/>
    <w:rsid w:val="00472851"/>
    <w:rsid w:val="0047345D"/>
    <w:rsid w:val="004740DA"/>
    <w:rsid w:val="00474171"/>
    <w:rsid w:val="00474C6C"/>
    <w:rsid w:val="00475539"/>
    <w:rsid w:val="00475625"/>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12A"/>
    <w:rsid w:val="00491897"/>
    <w:rsid w:val="0049243C"/>
    <w:rsid w:val="0049251E"/>
    <w:rsid w:val="00492598"/>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93E"/>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465"/>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9A8"/>
    <w:rsid w:val="004D2D17"/>
    <w:rsid w:val="004D2DEB"/>
    <w:rsid w:val="004D311A"/>
    <w:rsid w:val="004D36F6"/>
    <w:rsid w:val="004D3729"/>
    <w:rsid w:val="004D383A"/>
    <w:rsid w:val="004D391D"/>
    <w:rsid w:val="004D3BA6"/>
    <w:rsid w:val="004D3E86"/>
    <w:rsid w:val="004D4929"/>
    <w:rsid w:val="004D4D68"/>
    <w:rsid w:val="004D4F26"/>
    <w:rsid w:val="004D51E8"/>
    <w:rsid w:val="004D52F6"/>
    <w:rsid w:val="004D53B7"/>
    <w:rsid w:val="004D5B7A"/>
    <w:rsid w:val="004D6308"/>
    <w:rsid w:val="004D638B"/>
    <w:rsid w:val="004D70CC"/>
    <w:rsid w:val="004D73CC"/>
    <w:rsid w:val="004D73E7"/>
    <w:rsid w:val="004D76BA"/>
    <w:rsid w:val="004D7727"/>
    <w:rsid w:val="004D797D"/>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08C7"/>
    <w:rsid w:val="004F1B55"/>
    <w:rsid w:val="004F206C"/>
    <w:rsid w:val="004F242F"/>
    <w:rsid w:val="004F2F49"/>
    <w:rsid w:val="004F372E"/>
    <w:rsid w:val="004F3ACC"/>
    <w:rsid w:val="004F412A"/>
    <w:rsid w:val="004F4785"/>
    <w:rsid w:val="004F4C43"/>
    <w:rsid w:val="004F4DF8"/>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85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639"/>
    <w:rsid w:val="00505E6D"/>
    <w:rsid w:val="00505EC3"/>
    <w:rsid w:val="0050666B"/>
    <w:rsid w:val="00507A68"/>
    <w:rsid w:val="00507B3B"/>
    <w:rsid w:val="00510640"/>
    <w:rsid w:val="005109C0"/>
    <w:rsid w:val="00510EF8"/>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4F1"/>
    <w:rsid w:val="00520DCC"/>
    <w:rsid w:val="00521DFF"/>
    <w:rsid w:val="00522468"/>
    <w:rsid w:val="0052249C"/>
    <w:rsid w:val="005233B3"/>
    <w:rsid w:val="0052399F"/>
    <w:rsid w:val="00525010"/>
    <w:rsid w:val="005252C9"/>
    <w:rsid w:val="0052553C"/>
    <w:rsid w:val="00525A81"/>
    <w:rsid w:val="005260BA"/>
    <w:rsid w:val="00526312"/>
    <w:rsid w:val="005269F7"/>
    <w:rsid w:val="00526AB1"/>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3D2A"/>
    <w:rsid w:val="00534535"/>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2BD7"/>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182"/>
    <w:rsid w:val="00591386"/>
    <w:rsid w:val="005916FF"/>
    <w:rsid w:val="005918EA"/>
    <w:rsid w:val="00591ABC"/>
    <w:rsid w:val="00591BB7"/>
    <w:rsid w:val="005921BD"/>
    <w:rsid w:val="00592D2E"/>
    <w:rsid w:val="00593D2A"/>
    <w:rsid w:val="00594116"/>
    <w:rsid w:val="005942D2"/>
    <w:rsid w:val="00594471"/>
    <w:rsid w:val="00594646"/>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3BBE"/>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3D7D"/>
    <w:rsid w:val="005C4126"/>
    <w:rsid w:val="005C46CA"/>
    <w:rsid w:val="005C47B7"/>
    <w:rsid w:val="005C4DC9"/>
    <w:rsid w:val="005C5A80"/>
    <w:rsid w:val="005C5C5D"/>
    <w:rsid w:val="005C657F"/>
    <w:rsid w:val="005C6629"/>
    <w:rsid w:val="005C673C"/>
    <w:rsid w:val="005C6816"/>
    <w:rsid w:val="005C68E2"/>
    <w:rsid w:val="005C6A47"/>
    <w:rsid w:val="005C6B17"/>
    <w:rsid w:val="005C6C3B"/>
    <w:rsid w:val="005C7DFC"/>
    <w:rsid w:val="005C7E90"/>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60F"/>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0FC"/>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8D7"/>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6DF1"/>
    <w:rsid w:val="00647322"/>
    <w:rsid w:val="00647701"/>
    <w:rsid w:val="00647C29"/>
    <w:rsid w:val="00647D4C"/>
    <w:rsid w:val="006505AD"/>
    <w:rsid w:val="006508FE"/>
    <w:rsid w:val="00651B58"/>
    <w:rsid w:val="00652465"/>
    <w:rsid w:val="0065332B"/>
    <w:rsid w:val="0065343B"/>
    <w:rsid w:val="00653701"/>
    <w:rsid w:val="00653B39"/>
    <w:rsid w:val="00653D5A"/>
    <w:rsid w:val="00653EC1"/>
    <w:rsid w:val="00654124"/>
    <w:rsid w:val="00654219"/>
    <w:rsid w:val="00654D76"/>
    <w:rsid w:val="006557AC"/>
    <w:rsid w:val="006558AB"/>
    <w:rsid w:val="00655CDD"/>
    <w:rsid w:val="00656366"/>
    <w:rsid w:val="00656674"/>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44A"/>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355"/>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A7EFF"/>
    <w:rsid w:val="006B058A"/>
    <w:rsid w:val="006B07C1"/>
    <w:rsid w:val="006B1331"/>
    <w:rsid w:val="006B1374"/>
    <w:rsid w:val="006B1426"/>
    <w:rsid w:val="006B2A7C"/>
    <w:rsid w:val="006B2BD4"/>
    <w:rsid w:val="006B2E28"/>
    <w:rsid w:val="006B2E6F"/>
    <w:rsid w:val="006B3467"/>
    <w:rsid w:val="006B3A97"/>
    <w:rsid w:val="006B3F52"/>
    <w:rsid w:val="006B4785"/>
    <w:rsid w:val="006B48B9"/>
    <w:rsid w:val="006B49F5"/>
    <w:rsid w:val="006B4F0E"/>
    <w:rsid w:val="006B50BD"/>
    <w:rsid w:val="006B6399"/>
    <w:rsid w:val="006B6591"/>
    <w:rsid w:val="006B7927"/>
    <w:rsid w:val="006B7B0C"/>
    <w:rsid w:val="006B7C49"/>
    <w:rsid w:val="006B7DE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B3C"/>
    <w:rsid w:val="006D1B9D"/>
    <w:rsid w:val="006D1E4F"/>
    <w:rsid w:val="006D3126"/>
    <w:rsid w:val="006D330A"/>
    <w:rsid w:val="006D33E2"/>
    <w:rsid w:val="006D3A10"/>
    <w:rsid w:val="006D3D39"/>
    <w:rsid w:val="006D3E8F"/>
    <w:rsid w:val="006D42BE"/>
    <w:rsid w:val="006D4876"/>
    <w:rsid w:val="006D4DF0"/>
    <w:rsid w:val="006D4F1A"/>
    <w:rsid w:val="006D5814"/>
    <w:rsid w:val="006D5913"/>
    <w:rsid w:val="006D5AAC"/>
    <w:rsid w:val="006D5F21"/>
    <w:rsid w:val="006D62F3"/>
    <w:rsid w:val="006D645D"/>
    <w:rsid w:val="006D6B7A"/>
    <w:rsid w:val="006D6C3E"/>
    <w:rsid w:val="006D6FC3"/>
    <w:rsid w:val="006D70E4"/>
    <w:rsid w:val="006D7328"/>
    <w:rsid w:val="006D755A"/>
    <w:rsid w:val="006D7CC9"/>
    <w:rsid w:val="006D7E24"/>
    <w:rsid w:val="006E051F"/>
    <w:rsid w:val="006E0850"/>
    <w:rsid w:val="006E08F0"/>
    <w:rsid w:val="006E16DB"/>
    <w:rsid w:val="006E1EDC"/>
    <w:rsid w:val="006E244A"/>
    <w:rsid w:val="006E2701"/>
    <w:rsid w:val="006E3053"/>
    <w:rsid w:val="006E385D"/>
    <w:rsid w:val="006E4800"/>
    <w:rsid w:val="006E4BAA"/>
    <w:rsid w:val="006E595E"/>
    <w:rsid w:val="006E5B5C"/>
    <w:rsid w:val="006E5DB7"/>
    <w:rsid w:val="006E5E04"/>
    <w:rsid w:val="006E6629"/>
    <w:rsid w:val="006E66B6"/>
    <w:rsid w:val="006E6E01"/>
    <w:rsid w:val="006E6F8A"/>
    <w:rsid w:val="006E76A6"/>
    <w:rsid w:val="006E76C3"/>
    <w:rsid w:val="006E7D19"/>
    <w:rsid w:val="006F0A5C"/>
    <w:rsid w:val="006F123B"/>
    <w:rsid w:val="006F13E8"/>
    <w:rsid w:val="006F1A79"/>
    <w:rsid w:val="006F1D58"/>
    <w:rsid w:val="006F24D1"/>
    <w:rsid w:val="006F250D"/>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6D4"/>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6B1D"/>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23F"/>
    <w:rsid w:val="00726C63"/>
    <w:rsid w:val="00727405"/>
    <w:rsid w:val="0072759B"/>
    <w:rsid w:val="007276B2"/>
    <w:rsid w:val="00727F9D"/>
    <w:rsid w:val="007304A4"/>
    <w:rsid w:val="00730AE8"/>
    <w:rsid w:val="007312C2"/>
    <w:rsid w:val="007313A9"/>
    <w:rsid w:val="00731F64"/>
    <w:rsid w:val="00732CFC"/>
    <w:rsid w:val="00733123"/>
    <w:rsid w:val="0073323E"/>
    <w:rsid w:val="00733D98"/>
    <w:rsid w:val="00733F9C"/>
    <w:rsid w:val="0073525A"/>
    <w:rsid w:val="0073563A"/>
    <w:rsid w:val="007361A7"/>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54D"/>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6F82"/>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05D"/>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B53"/>
    <w:rsid w:val="00775F2E"/>
    <w:rsid w:val="007760EA"/>
    <w:rsid w:val="00776595"/>
    <w:rsid w:val="0077665F"/>
    <w:rsid w:val="007771CD"/>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8AF"/>
    <w:rsid w:val="00783C0A"/>
    <w:rsid w:val="007848FA"/>
    <w:rsid w:val="007849DE"/>
    <w:rsid w:val="00785283"/>
    <w:rsid w:val="00785693"/>
    <w:rsid w:val="007862E3"/>
    <w:rsid w:val="0078635E"/>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AE4"/>
    <w:rsid w:val="007B4DE6"/>
    <w:rsid w:val="007B4EDC"/>
    <w:rsid w:val="007B5109"/>
    <w:rsid w:val="007B52F9"/>
    <w:rsid w:val="007B5A56"/>
    <w:rsid w:val="007B5B9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E7CE4"/>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5EF7"/>
    <w:rsid w:val="007F6019"/>
    <w:rsid w:val="007F61E5"/>
    <w:rsid w:val="007F6390"/>
    <w:rsid w:val="007F646F"/>
    <w:rsid w:val="007F6EFD"/>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236"/>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DF0"/>
    <w:rsid w:val="00813F8F"/>
    <w:rsid w:val="00814404"/>
    <w:rsid w:val="00815350"/>
    <w:rsid w:val="00815C55"/>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52B"/>
    <w:rsid w:val="008267A9"/>
    <w:rsid w:val="0082686A"/>
    <w:rsid w:val="00826A28"/>
    <w:rsid w:val="00827426"/>
    <w:rsid w:val="0082746F"/>
    <w:rsid w:val="008302B7"/>
    <w:rsid w:val="00830454"/>
    <w:rsid w:val="00830C4E"/>
    <w:rsid w:val="00830EBE"/>
    <w:rsid w:val="00830F05"/>
    <w:rsid w:val="00831265"/>
    <w:rsid w:val="00831776"/>
    <w:rsid w:val="00832422"/>
    <w:rsid w:val="00832BC5"/>
    <w:rsid w:val="0083357E"/>
    <w:rsid w:val="00834538"/>
    <w:rsid w:val="008345A3"/>
    <w:rsid w:val="008346F6"/>
    <w:rsid w:val="00834866"/>
    <w:rsid w:val="00834951"/>
    <w:rsid w:val="00834991"/>
    <w:rsid w:val="00834B38"/>
    <w:rsid w:val="00834DA1"/>
    <w:rsid w:val="008352D2"/>
    <w:rsid w:val="00835893"/>
    <w:rsid w:val="008359F5"/>
    <w:rsid w:val="00835A0E"/>
    <w:rsid w:val="0083642B"/>
    <w:rsid w:val="00836971"/>
    <w:rsid w:val="008378A9"/>
    <w:rsid w:val="008400D8"/>
    <w:rsid w:val="008402E5"/>
    <w:rsid w:val="008404DF"/>
    <w:rsid w:val="008407D8"/>
    <w:rsid w:val="00840C33"/>
    <w:rsid w:val="00840F37"/>
    <w:rsid w:val="00841169"/>
    <w:rsid w:val="008411D9"/>
    <w:rsid w:val="0084161E"/>
    <w:rsid w:val="008418AE"/>
    <w:rsid w:val="00841EAC"/>
    <w:rsid w:val="0084206B"/>
    <w:rsid w:val="00842B0D"/>
    <w:rsid w:val="00842DB9"/>
    <w:rsid w:val="00843BE6"/>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2E9B"/>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6793D"/>
    <w:rsid w:val="00870273"/>
    <w:rsid w:val="008706B1"/>
    <w:rsid w:val="0087082F"/>
    <w:rsid w:val="008710D3"/>
    <w:rsid w:val="00871236"/>
    <w:rsid w:val="008712C7"/>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D5E"/>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2C"/>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C5E"/>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0AE"/>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3FD6"/>
    <w:rsid w:val="008E41B2"/>
    <w:rsid w:val="008E4844"/>
    <w:rsid w:val="008E48BF"/>
    <w:rsid w:val="008E49E2"/>
    <w:rsid w:val="008E4D6C"/>
    <w:rsid w:val="008E54DC"/>
    <w:rsid w:val="008E5756"/>
    <w:rsid w:val="008E5A89"/>
    <w:rsid w:val="008E5F35"/>
    <w:rsid w:val="008E66F5"/>
    <w:rsid w:val="008E6C29"/>
    <w:rsid w:val="008E7290"/>
    <w:rsid w:val="008E7E98"/>
    <w:rsid w:val="008F03D0"/>
    <w:rsid w:val="008F0A8B"/>
    <w:rsid w:val="008F0B71"/>
    <w:rsid w:val="008F0BC6"/>
    <w:rsid w:val="008F0BCE"/>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B5E"/>
    <w:rsid w:val="008F4D68"/>
    <w:rsid w:val="008F4F6B"/>
    <w:rsid w:val="008F5A5D"/>
    <w:rsid w:val="008F5AFB"/>
    <w:rsid w:val="008F5D71"/>
    <w:rsid w:val="008F5F96"/>
    <w:rsid w:val="008F6076"/>
    <w:rsid w:val="008F60AD"/>
    <w:rsid w:val="008F692F"/>
    <w:rsid w:val="008F699A"/>
    <w:rsid w:val="008F69A4"/>
    <w:rsid w:val="008F7277"/>
    <w:rsid w:val="008F77F8"/>
    <w:rsid w:val="008F7AE4"/>
    <w:rsid w:val="008F7CE8"/>
    <w:rsid w:val="008F7D71"/>
    <w:rsid w:val="009000BA"/>
    <w:rsid w:val="00900265"/>
    <w:rsid w:val="009002C4"/>
    <w:rsid w:val="009004D2"/>
    <w:rsid w:val="0090058A"/>
    <w:rsid w:val="00900FE0"/>
    <w:rsid w:val="00901139"/>
    <w:rsid w:val="009012A2"/>
    <w:rsid w:val="009016AE"/>
    <w:rsid w:val="00902E95"/>
    <w:rsid w:val="00904BD4"/>
    <w:rsid w:val="00904F51"/>
    <w:rsid w:val="009051E9"/>
    <w:rsid w:val="009056FA"/>
    <w:rsid w:val="00905EA2"/>
    <w:rsid w:val="00905F5B"/>
    <w:rsid w:val="00906303"/>
    <w:rsid w:val="00906C2D"/>
    <w:rsid w:val="00907BF7"/>
    <w:rsid w:val="0091001C"/>
    <w:rsid w:val="0091025D"/>
    <w:rsid w:val="00910266"/>
    <w:rsid w:val="0091052F"/>
    <w:rsid w:val="00910C75"/>
    <w:rsid w:val="00910D77"/>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C31"/>
    <w:rsid w:val="00920DE7"/>
    <w:rsid w:val="00920FA5"/>
    <w:rsid w:val="0092125F"/>
    <w:rsid w:val="009212DE"/>
    <w:rsid w:val="00921790"/>
    <w:rsid w:val="0092191A"/>
    <w:rsid w:val="00921E87"/>
    <w:rsid w:val="00921F3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1E9D"/>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1F36"/>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20C"/>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C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7A1"/>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1AE"/>
    <w:rsid w:val="00997888"/>
    <w:rsid w:val="00997E19"/>
    <w:rsid w:val="009A0079"/>
    <w:rsid w:val="009A0478"/>
    <w:rsid w:val="009A0737"/>
    <w:rsid w:val="009A111B"/>
    <w:rsid w:val="009A1616"/>
    <w:rsid w:val="009A24AF"/>
    <w:rsid w:val="009A26AF"/>
    <w:rsid w:val="009A2C79"/>
    <w:rsid w:val="009A3401"/>
    <w:rsid w:val="009A3487"/>
    <w:rsid w:val="009A3704"/>
    <w:rsid w:val="009A3773"/>
    <w:rsid w:val="009A430A"/>
    <w:rsid w:val="009A4364"/>
    <w:rsid w:val="009A486E"/>
    <w:rsid w:val="009A49DA"/>
    <w:rsid w:val="009A4BEB"/>
    <w:rsid w:val="009A67B7"/>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3720"/>
    <w:rsid w:val="009B4D2D"/>
    <w:rsid w:val="009B5788"/>
    <w:rsid w:val="009B57DF"/>
    <w:rsid w:val="009B5E03"/>
    <w:rsid w:val="009B5FB7"/>
    <w:rsid w:val="009B61B2"/>
    <w:rsid w:val="009B67FC"/>
    <w:rsid w:val="009B6EFD"/>
    <w:rsid w:val="009B71E5"/>
    <w:rsid w:val="009B7629"/>
    <w:rsid w:val="009B78F4"/>
    <w:rsid w:val="009B7F9E"/>
    <w:rsid w:val="009C15BC"/>
    <w:rsid w:val="009C1961"/>
    <w:rsid w:val="009C1B70"/>
    <w:rsid w:val="009C20A0"/>
    <w:rsid w:val="009C21C6"/>
    <w:rsid w:val="009C22E0"/>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6DB"/>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1DB8"/>
    <w:rsid w:val="009F226D"/>
    <w:rsid w:val="009F23AF"/>
    <w:rsid w:val="009F240F"/>
    <w:rsid w:val="009F2643"/>
    <w:rsid w:val="009F3221"/>
    <w:rsid w:val="009F343A"/>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B9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DF1"/>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93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9A"/>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3C04"/>
    <w:rsid w:val="00A54298"/>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7A"/>
    <w:rsid w:val="00A70EDC"/>
    <w:rsid w:val="00A716D1"/>
    <w:rsid w:val="00A7185A"/>
    <w:rsid w:val="00A7196E"/>
    <w:rsid w:val="00A7206E"/>
    <w:rsid w:val="00A721CD"/>
    <w:rsid w:val="00A72B25"/>
    <w:rsid w:val="00A72E5A"/>
    <w:rsid w:val="00A73AB3"/>
    <w:rsid w:val="00A73AFD"/>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073"/>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0F0"/>
    <w:rsid w:val="00A973F2"/>
    <w:rsid w:val="00AA00E5"/>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67D"/>
    <w:rsid w:val="00AA37FA"/>
    <w:rsid w:val="00AA46D6"/>
    <w:rsid w:val="00AA4B9E"/>
    <w:rsid w:val="00AA5AA3"/>
    <w:rsid w:val="00AA60F9"/>
    <w:rsid w:val="00AA6207"/>
    <w:rsid w:val="00AA6E4B"/>
    <w:rsid w:val="00AB09D5"/>
    <w:rsid w:val="00AB16E4"/>
    <w:rsid w:val="00AB1730"/>
    <w:rsid w:val="00AB20D5"/>
    <w:rsid w:val="00AB278C"/>
    <w:rsid w:val="00AB2F6B"/>
    <w:rsid w:val="00AB3250"/>
    <w:rsid w:val="00AB3456"/>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4A5F"/>
    <w:rsid w:val="00AC505D"/>
    <w:rsid w:val="00AC589A"/>
    <w:rsid w:val="00AC5B83"/>
    <w:rsid w:val="00AC5EC2"/>
    <w:rsid w:val="00AC6040"/>
    <w:rsid w:val="00AC74BC"/>
    <w:rsid w:val="00AC7585"/>
    <w:rsid w:val="00AC7978"/>
    <w:rsid w:val="00AC7FB8"/>
    <w:rsid w:val="00AD088E"/>
    <w:rsid w:val="00AD0C83"/>
    <w:rsid w:val="00AD0D1D"/>
    <w:rsid w:val="00AD1525"/>
    <w:rsid w:val="00AD1B40"/>
    <w:rsid w:val="00AD1B67"/>
    <w:rsid w:val="00AD1EF5"/>
    <w:rsid w:val="00AD230B"/>
    <w:rsid w:val="00AD2406"/>
    <w:rsid w:val="00AD24A2"/>
    <w:rsid w:val="00AD2BE7"/>
    <w:rsid w:val="00AD2E76"/>
    <w:rsid w:val="00AD30C0"/>
    <w:rsid w:val="00AD3538"/>
    <w:rsid w:val="00AD368F"/>
    <w:rsid w:val="00AD36D8"/>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0C83"/>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0FF9"/>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095E"/>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6F21"/>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088"/>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5C1"/>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4EB6"/>
    <w:rsid w:val="00BB570B"/>
    <w:rsid w:val="00BB57F6"/>
    <w:rsid w:val="00BB5D8E"/>
    <w:rsid w:val="00BB5F3F"/>
    <w:rsid w:val="00BB6463"/>
    <w:rsid w:val="00BB67FD"/>
    <w:rsid w:val="00BB7E40"/>
    <w:rsid w:val="00BC0683"/>
    <w:rsid w:val="00BC0F84"/>
    <w:rsid w:val="00BC104B"/>
    <w:rsid w:val="00BC12E7"/>
    <w:rsid w:val="00BC164C"/>
    <w:rsid w:val="00BC263C"/>
    <w:rsid w:val="00BC2A38"/>
    <w:rsid w:val="00BC2C08"/>
    <w:rsid w:val="00BC2CEE"/>
    <w:rsid w:val="00BC2F9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2176"/>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1F"/>
    <w:rsid w:val="00BF23ED"/>
    <w:rsid w:val="00BF2A3B"/>
    <w:rsid w:val="00BF2C43"/>
    <w:rsid w:val="00BF3A83"/>
    <w:rsid w:val="00BF3F87"/>
    <w:rsid w:val="00BF4174"/>
    <w:rsid w:val="00BF5503"/>
    <w:rsid w:val="00BF6203"/>
    <w:rsid w:val="00BF6398"/>
    <w:rsid w:val="00BF66AF"/>
    <w:rsid w:val="00BF6A7A"/>
    <w:rsid w:val="00BF6D78"/>
    <w:rsid w:val="00BF70A9"/>
    <w:rsid w:val="00BF7B19"/>
    <w:rsid w:val="00C002BF"/>
    <w:rsid w:val="00C00689"/>
    <w:rsid w:val="00C0142C"/>
    <w:rsid w:val="00C019E6"/>
    <w:rsid w:val="00C01AFF"/>
    <w:rsid w:val="00C0271F"/>
    <w:rsid w:val="00C02D1C"/>
    <w:rsid w:val="00C034E2"/>
    <w:rsid w:val="00C03764"/>
    <w:rsid w:val="00C03913"/>
    <w:rsid w:val="00C0391B"/>
    <w:rsid w:val="00C03D00"/>
    <w:rsid w:val="00C040DC"/>
    <w:rsid w:val="00C04ADE"/>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72"/>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3A"/>
    <w:rsid w:val="00C24969"/>
    <w:rsid w:val="00C24BD9"/>
    <w:rsid w:val="00C25419"/>
    <w:rsid w:val="00C25520"/>
    <w:rsid w:val="00C257D9"/>
    <w:rsid w:val="00C25A72"/>
    <w:rsid w:val="00C26424"/>
    <w:rsid w:val="00C267C0"/>
    <w:rsid w:val="00C27336"/>
    <w:rsid w:val="00C27EC1"/>
    <w:rsid w:val="00C300DC"/>
    <w:rsid w:val="00C30143"/>
    <w:rsid w:val="00C30AA9"/>
    <w:rsid w:val="00C30C20"/>
    <w:rsid w:val="00C30C48"/>
    <w:rsid w:val="00C30E37"/>
    <w:rsid w:val="00C31A0B"/>
    <w:rsid w:val="00C31A46"/>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5AC8"/>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39E0"/>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1C32"/>
    <w:rsid w:val="00C7226F"/>
    <w:rsid w:val="00C72465"/>
    <w:rsid w:val="00C72D8F"/>
    <w:rsid w:val="00C72DB8"/>
    <w:rsid w:val="00C7336B"/>
    <w:rsid w:val="00C73436"/>
    <w:rsid w:val="00C73DC1"/>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7AA"/>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B73"/>
    <w:rsid w:val="00CB0C68"/>
    <w:rsid w:val="00CB11CA"/>
    <w:rsid w:val="00CB17F1"/>
    <w:rsid w:val="00CB1C7C"/>
    <w:rsid w:val="00CB233B"/>
    <w:rsid w:val="00CB2611"/>
    <w:rsid w:val="00CB2890"/>
    <w:rsid w:val="00CB34C9"/>
    <w:rsid w:val="00CB36FB"/>
    <w:rsid w:val="00CB383A"/>
    <w:rsid w:val="00CB4839"/>
    <w:rsid w:val="00CB4AD6"/>
    <w:rsid w:val="00CB4FF0"/>
    <w:rsid w:val="00CB5068"/>
    <w:rsid w:val="00CB5105"/>
    <w:rsid w:val="00CB528F"/>
    <w:rsid w:val="00CB52B4"/>
    <w:rsid w:val="00CB5338"/>
    <w:rsid w:val="00CB5456"/>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6C7"/>
    <w:rsid w:val="00CC475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A1"/>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3F75"/>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7D"/>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6D6"/>
    <w:rsid w:val="00D32D8B"/>
    <w:rsid w:val="00D33804"/>
    <w:rsid w:val="00D33A31"/>
    <w:rsid w:val="00D33E09"/>
    <w:rsid w:val="00D33FEF"/>
    <w:rsid w:val="00D342B2"/>
    <w:rsid w:val="00D34D09"/>
    <w:rsid w:val="00D35018"/>
    <w:rsid w:val="00D352F0"/>
    <w:rsid w:val="00D35336"/>
    <w:rsid w:val="00D35A3F"/>
    <w:rsid w:val="00D3696E"/>
    <w:rsid w:val="00D36B8E"/>
    <w:rsid w:val="00D36FC9"/>
    <w:rsid w:val="00D374A2"/>
    <w:rsid w:val="00D37A8B"/>
    <w:rsid w:val="00D37C7D"/>
    <w:rsid w:val="00D40AAB"/>
    <w:rsid w:val="00D40D32"/>
    <w:rsid w:val="00D40DEA"/>
    <w:rsid w:val="00D41BAF"/>
    <w:rsid w:val="00D41E66"/>
    <w:rsid w:val="00D421B8"/>
    <w:rsid w:val="00D42C2C"/>
    <w:rsid w:val="00D4312C"/>
    <w:rsid w:val="00D43680"/>
    <w:rsid w:val="00D439D2"/>
    <w:rsid w:val="00D43D64"/>
    <w:rsid w:val="00D443D4"/>
    <w:rsid w:val="00D448A9"/>
    <w:rsid w:val="00D44B54"/>
    <w:rsid w:val="00D44EB5"/>
    <w:rsid w:val="00D454BE"/>
    <w:rsid w:val="00D455A0"/>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090"/>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622C"/>
    <w:rsid w:val="00D675B0"/>
    <w:rsid w:val="00D678D3"/>
    <w:rsid w:val="00D67962"/>
    <w:rsid w:val="00D67A8B"/>
    <w:rsid w:val="00D67C54"/>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6C5"/>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2EE0"/>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4D"/>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7F1"/>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3E3B"/>
    <w:rsid w:val="00DD4DE1"/>
    <w:rsid w:val="00DD4EC9"/>
    <w:rsid w:val="00DD51CC"/>
    <w:rsid w:val="00DD5D28"/>
    <w:rsid w:val="00DD5E53"/>
    <w:rsid w:val="00DD5F4F"/>
    <w:rsid w:val="00DD621E"/>
    <w:rsid w:val="00DD6584"/>
    <w:rsid w:val="00DD6842"/>
    <w:rsid w:val="00DD68C4"/>
    <w:rsid w:val="00DD68DA"/>
    <w:rsid w:val="00DD6A9C"/>
    <w:rsid w:val="00DD703C"/>
    <w:rsid w:val="00DD7994"/>
    <w:rsid w:val="00DE0448"/>
    <w:rsid w:val="00DE06CA"/>
    <w:rsid w:val="00DE0706"/>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2C48"/>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7C1"/>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9EE"/>
    <w:rsid w:val="00E23F8B"/>
    <w:rsid w:val="00E24093"/>
    <w:rsid w:val="00E24986"/>
    <w:rsid w:val="00E24FE8"/>
    <w:rsid w:val="00E2595F"/>
    <w:rsid w:val="00E259C2"/>
    <w:rsid w:val="00E26004"/>
    <w:rsid w:val="00E2623E"/>
    <w:rsid w:val="00E263B8"/>
    <w:rsid w:val="00E26A80"/>
    <w:rsid w:val="00E26FF0"/>
    <w:rsid w:val="00E27B9B"/>
    <w:rsid w:val="00E27F19"/>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820"/>
    <w:rsid w:val="00E34E45"/>
    <w:rsid w:val="00E34F7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3F9D"/>
    <w:rsid w:val="00E44172"/>
    <w:rsid w:val="00E44927"/>
    <w:rsid w:val="00E44EE3"/>
    <w:rsid w:val="00E451AF"/>
    <w:rsid w:val="00E452C2"/>
    <w:rsid w:val="00E45C4A"/>
    <w:rsid w:val="00E4603F"/>
    <w:rsid w:val="00E46464"/>
    <w:rsid w:val="00E464AB"/>
    <w:rsid w:val="00E467FD"/>
    <w:rsid w:val="00E4688A"/>
    <w:rsid w:val="00E469E0"/>
    <w:rsid w:val="00E47778"/>
    <w:rsid w:val="00E47D55"/>
    <w:rsid w:val="00E5024A"/>
    <w:rsid w:val="00E509F5"/>
    <w:rsid w:val="00E50A75"/>
    <w:rsid w:val="00E50FAD"/>
    <w:rsid w:val="00E512BB"/>
    <w:rsid w:val="00E51B36"/>
    <w:rsid w:val="00E51C58"/>
    <w:rsid w:val="00E524C4"/>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266"/>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3BE"/>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AAC"/>
    <w:rsid w:val="00E92EA4"/>
    <w:rsid w:val="00E92F76"/>
    <w:rsid w:val="00E9372F"/>
    <w:rsid w:val="00E937FC"/>
    <w:rsid w:val="00E94445"/>
    <w:rsid w:val="00E9451E"/>
    <w:rsid w:val="00E950C5"/>
    <w:rsid w:val="00E95D20"/>
    <w:rsid w:val="00E95DF6"/>
    <w:rsid w:val="00E9639D"/>
    <w:rsid w:val="00E963D1"/>
    <w:rsid w:val="00E96520"/>
    <w:rsid w:val="00E96A15"/>
    <w:rsid w:val="00E96C50"/>
    <w:rsid w:val="00E976A4"/>
    <w:rsid w:val="00EA0142"/>
    <w:rsid w:val="00EA016E"/>
    <w:rsid w:val="00EA04E4"/>
    <w:rsid w:val="00EA0E75"/>
    <w:rsid w:val="00EA0F91"/>
    <w:rsid w:val="00EA1AC4"/>
    <w:rsid w:val="00EA2106"/>
    <w:rsid w:val="00EA297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77"/>
    <w:rsid w:val="00EC43CC"/>
    <w:rsid w:val="00EC44C5"/>
    <w:rsid w:val="00EC47B8"/>
    <w:rsid w:val="00EC5DFB"/>
    <w:rsid w:val="00EC62A7"/>
    <w:rsid w:val="00EC6C01"/>
    <w:rsid w:val="00EC7747"/>
    <w:rsid w:val="00EC7F96"/>
    <w:rsid w:val="00ED04BC"/>
    <w:rsid w:val="00ED0AD8"/>
    <w:rsid w:val="00ED0B9B"/>
    <w:rsid w:val="00ED24F0"/>
    <w:rsid w:val="00ED2538"/>
    <w:rsid w:val="00ED2D18"/>
    <w:rsid w:val="00ED2EFD"/>
    <w:rsid w:val="00ED3114"/>
    <w:rsid w:val="00ED345C"/>
    <w:rsid w:val="00ED346C"/>
    <w:rsid w:val="00ED3FB0"/>
    <w:rsid w:val="00ED4D5D"/>
    <w:rsid w:val="00ED504A"/>
    <w:rsid w:val="00ED50FA"/>
    <w:rsid w:val="00ED5842"/>
    <w:rsid w:val="00ED678C"/>
    <w:rsid w:val="00ED6C8A"/>
    <w:rsid w:val="00ED6DF3"/>
    <w:rsid w:val="00ED7168"/>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9D4"/>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1E4D"/>
    <w:rsid w:val="00EF203B"/>
    <w:rsid w:val="00EF2A0C"/>
    <w:rsid w:val="00EF2D5F"/>
    <w:rsid w:val="00EF30C8"/>
    <w:rsid w:val="00EF3B74"/>
    <w:rsid w:val="00EF3DD3"/>
    <w:rsid w:val="00EF3E8B"/>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2E3C"/>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A6D"/>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C20"/>
    <w:rsid w:val="00F12F42"/>
    <w:rsid w:val="00F13A33"/>
    <w:rsid w:val="00F140AC"/>
    <w:rsid w:val="00F1439E"/>
    <w:rsid w:val="00F14C38"/>
    <w:rsid w:val="00F14C72"/>
    <w:rsid w:val="00F1516D"/>
    <w:rsid w:val="00F1522E"/>
    <w:rsid w:val="00F155A1"/>
    <w:rsid w:val="00F16410"/>
    <w:rsid w:val="00F16623"/>
    <w:rsid w:val="00F16A3F"/>
    <w:rsid w:val="00F171A4"/>
    <w:rsid w:val="00F172E4"/>
    <w:rsid w:val="00F17B35"/>
    <w:rsid w:val="00F202BE"/>
    <w:rsid w:val="00F2083B"/>
    <w:rsid w:val="00F20BA4"/>
    <w:rsid w:val="00F20BC7"/>
    <w:rsid w:val="00F20F64"/>
    <w:rsid w:val="00F21E4C"/>
    <w:rsid w:val="00F225FD"/>
    <w:rsid w:val="00F22754"/>
    <w:rsid w:val="00F22F63"/>
    <w:rsid w:val="00F23077"/>
    <w:rsid w:val="00F23182"/>
    <w:rsid w:val="00F23653"/>
    <w:rsid w:val="00F23690"/>
    <w:rsid w:val="00F2385B"/>
    <w:rsid w:val="00F238D0"/>
    <w:rsid w:val="00F239A0"/>
    <w:rsid w:val="00F23AB1"/>
    <w:rsid w:val="00F23C39"/>
    <w:rsid w:val="00F24DA3"/>
    <w:rsid w:val="00F256A3"/>
    <w:rsid w:val="00F265A5"/>
    <w:rsid w:val="00F26B30"/>
    <w:rsid w:val="00F276D1"/>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0915"/>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44E"/>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2B6"/>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A3"/>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1D3"/>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02A"/>
    <w:rsid w:val="00FE22A2"/>
    <w:rsid w:val="00FE2862"/>
    <w:rsid w:val="00FE2958"/>
    <w:rsid w:val="00FE2BB9"/>
    <w:rsid w:val="00FE357E"/>
    <w:rsid w:val="00FE35B9"/>
    <w:rsid w:val="00FE5490"/>
    <w:rsid w:val="00FE589D"/>
    <w:rsid w:val="00FE6218"/>
    <w:rsid w:val="00FE6733"/>
    <w:rsid w:val="00FE6E10"/>
    <w:rsid w:val="00FE77E6"/>
    <w:rsid w:val="00FE7EA3"/>
    <w:rsid w:val="00FF0373"/>
    <w:rsid w:val="00FF0572"/>
    <w:rsid w:val="00FF0804"/>
    <w:rsid w:val="00FF08E4"/>
    <w:rsid w:val="00FF0B0C"/>
    <w:rsid w:val="00FF0CC2"/>
    <w:rsid w:val="00FF1B1E"/>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 w:type="paragraph" w:styleId="Sidhuvud">
    <w:name w:val="header"/>
    <w:basedOn w:val="Normal"/>
    <w:link w:val="SidhuvudChar"/>
    <w:rsid w:val="0000608B"/>
    <w:pPr>
      <w:tabs>
        <w:tab w:val="center" w:pos="4536"/>
        <w:tab w:val="right" w:pos="9072"/>
      </w:tabs>
    </w:pPr>
  </w:style>
  <w:style w:type="character" w:customStyle="1" w:styleId="SidhuvudChar">
    <w:name w:val="Sidhuvud Char"/>
    <w:basedOn w:val="Standardstycketeckensnitt"/>
    <w:link w:val="Sidhuvud"/>
    <w:rsid w:val="0000608B"/>
    <w:rPr>
      <w:sz w:val="24"/>
    </w:rPr>
  </w:style>
  <w:style w:type="paragraph" w:customStyle="1" w:styleId="logo">
    <w:name w:val="logo"/>
    <w:basedOn w:val="Normal"/>
    <w:semiHidden/>
    <w:rsid w:val="00C977AA"/>
    <w:pPr>
      <w:framePr w:wrap="around" w:vAnchor="page" w:hAnchor="page" w:x="7939" w:y="511" w:anchorLock="1"/>
      <w:widowControl/>
      <w:tabs>
        <w:tab w:val="left" w:pos="284"/>
      </w:tabs>
    </w:pPr>
    <w:rPr>
      <w:sz w:val="20"/>
      <w:szCs w:val="22"/>
    </w:rPr>
  </w:style>
  <w:style w:type="paragraph" w:styleId="Fotnotstext">
    <w:name w:val="footnote text"/>
    <w:basedOn w:val="Normal"/>
    <w:link w:val="FotnotstextChar"/>
    <w:rsid w:val="00C977AA"/>
    <w:rPr>
      <w:sz w:val="20"/>
    </w:rPr>
  </w:style>
  <w:style w:type="character" w:customStyle="1" w:styleId="FotnotstextChar">
    <w:name w:val="Fotnotstext Char"/>
    <w:basedOn w:val="Standardstycketeckensnitt"/>
    <w:link w:val="Fotnotstext"/>
    <w:rsid w:val="00C977AA"/>
  </w:style>
  <w:style w:type="character" w:styleId="Fotnotsreferens">
    <w:name w:val="footnote reference"/>
    <w:basedOn w:val="Standardstycketeckensnitt"/>
    <w:rsid w:val="00C97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79713185">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7323471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903053195">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245</TotalTime>
  <Pages>8</Pages>
  <Words>1017</Words>
  <Characters>6748</Characters>
  <Application>Microsoft Office Word</Application>
  <DocSecurity>0</DocSecurity>
  <Lines>182</Lines>
  <Paragraphs>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Sara Dadnahal</cp:lastModifiedBy>
  <cp:revision>31</cp:revision>
  <cp:lastPrinted>2024-11-06T14:07:00Z</cp:lastPrinted>
  <dcterms:created xsi:type="dcterms:W3CDTF">2024-11-22T12:58:00Z</dcterms:created>
  <dcterms:modified xsi:type="dcterms:W3CDTF">2025-01-21T14:09:00Z</dcterms:modified>
</cp:coreProperties>
</file>