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0791C">
        <w:tblPrEx>
          <w:tblCellMar>
            <w:top w:w="0" w:type="dxa"/>
            <w:bottom w:w="0" w:type="dxa"/>
          </w:tblCellMar>
        </w:tblPrEx>
        <w:tc>
          <w:tcPr>
            <w:tcW w:w="2268" w:type="dxa"/>
          </w:tcPr>
          <w:p w:rsidR="006E4E11" w:rsidRPr="0070791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0791C" w:rsidRDefault="00E66C44" w:rsidP="007242A3">
            <w:pPr>
              <w:framePr w:w="5035" w:h="1644" w:wrap="notBeside" w:vAnchor="page" w:hAnchor="page" w:x="6573" w:y="721"/>
              <w:rPr>
                <w:rFonts w:ascii="Times New Roman" w:hAnsi="Times New Roman"/>
                <w:szCs w:val="24"/>
              </w:rPr>
            </w:pPr>
            <w:r w:rsidRPr="0070791C">
              <w:rPr>
                <w:rFonts w:ascii="Times New Roman" w:hAnsi="Times New Roman"/>
                <w:szCs w:val="24"/>
              </w:rPr>
              <w:t xml:space="preserve">                              </w:t>
            </w:r>
          </w:p>
        </w:tc>
      </w:tr>
      <w:tr w:rsidR="006E4E11" w:rsidRPr="0070791C">
        <w:tblPrEx>
          <w:tblCellMar>
            <w:top w:w="0" w:type="dxa"/>
            <w:bottom w:w="0" w:type="dxa"/>
          </w:tblCellMar>
        </w:tblPrEx>
        <w:tc>
          <w:tcPr>
            <w:tcW w:w="2268" w:type="dxa"/>
          </w:tcPr>
          <w:p w:rsidR="006E4E11" w:rsidRPr="0070791C" w:rsidRDefault="00820538" w:rsidP="007242A3">
            <w:pPr>
              <w:framePr w:w="5035" w:h="1644" w:wrap="notBeside" w:vAnchor="page" w:hAnchor="page" w:x="6573" w:y="721"/>
              <w:rPr>
                <w:rFonts w:ascii="TradeGothic" w:hAnsi="TradeGothic"/>
                <w:b/>
                <w:sz w:val="22"/>
              </w:rPr>
            </w:pPr>
            <w:r w:rsidRPr="0070791C">
              <w:rPr>
                <w:rFonts w:ascii="TradeGothic" w:hAnsi="TradeGothic"/>
                <w:b/>
                <w:sz w:val="22"/>
              </w:rPr>
              <w:t xml:space="preserve">Promemoria </w:t>
            </w:r>
          </w:p>
        </w:tc>
        <w:tc>
          <w:tcPr>
            <w:tcW w:w="2999" w:type="dxa"/>
            <w:gridSpan w:val="2"/>
          </w:tcPr>
          <w:p w:rsidR="006E4E11" w:rsidRPr="0070791C" w:rsidRDefault="006E4E11" w:rsidP="007242A3">
            <w:pPr>
              <w:framePr w:w="5035" w:h="1644" w:wrap="notBeside" w:vAnchor="page" w:hAnchor="page" w:x="6573" w:y="721"/>
              <w:rPr>
                <w:rFonts w:ascii="TradeGothic" w:hAnsi="TradeGothic"/>
                <w:b/>
                <w:sz w:val="22"/>
              </w:rPr>
            </w:pPr>
          </w:p>
        </w:tc>
      </w:tr>
      <w:tr w:rsidR="006E4E11" w:rsidRPr="0070791C">
        <w:tblPrEx>
          <w:tblCellMar>
            <w:top w:w="0" w:type="dxa"/>
            <w:bottom w:w="0" w:type="dxa"/>
          </w:tblCellMar>
        </w:tblPrEx>
        <w:tc>
          <w:tcPr>
            <w:tcW w:w="3402" w:type="dxa"/>
            <w:gridSpan w:val="2"/>
          </w:tcPr>
          <w:p w:rsidR="006E4E11" w:rsidRPr="0070791C" w:rsidRDefault="006E4E11" w:rsidP="007242A3">
            <w:pPr>
              <w:framePr w:w="5035" w:h="1644" w:wrap="notBeside" w:vAnchor="page" w:hAnchor="page" w:x="6573" w:y="721"/>
            </w:pPr>
          </w:p>
        </w:tc>
        <w:tc>
          <w:tcPr>
            <w:tcW w:w="1865" w:type="dxa"/>
          </w:tcPr>
          <w:p w:rsidR="006E4E11" w:rsidRPr="0070791C" w:rsidRDefault="006E4E11" w:rsidP="007242A3">
            <w:pPr>
              <w:framePr w:w="5035" w:h="1644" w:wrap="notBeside" w:vAnchor="page" w:hAnchor="page" w:x="6573" w:y="721"/>
            </w:pPr>
          </w:p>
        </w:tc>
      </w:tr>
      <w:tr w:rsidR="006E4E11" w:rsidRPr="0070791C">
        <w:tblPrEx>
          <w:tblCellMar>
            <w:top w:w="0" w:type="dxa"/>
            <w:bottom w:w="0" w:type="dxa"/>
          </w:tblCellMar>
        </w:tblPrEx>
        <w:tc>
          <w:tcPr>
            <w:tcW w:w="2268" w:type="dxa"/>
          </w:tcPr>
          <w:p w:rsidR="006E4E11" w:rsidRPr="0070791C" w:rsidRDefault="000944FA" w:rsidP="007242A3">
            <w:pPr>
              <w:framePr w:w="5035" w:h="1644" w:wrap="notBeside" w:vAnchor="page" w:hAnchor="page" w:x="6573" w:y="721"/>
            </w:pPr>
            <w:r w:rsidRPr="0070791C">
              <w:t>2012-06-01</w:t>
            </w:r>
          </w:p>
          <w:p w:rsidR="003748BA" w:rsidRPr="0070791C" w:rsidRDefault="003748BA" w:rsidP="007242A3">
            <w:pPr>
              <w:framePr w:w="5035" w:h="1644" w:wrap="notBeside" w:vAnchor="page" w:hAnchor="page" w:x="6573" w:y="721"/>
            </w:pPr>
          </w:p>
        </w:tc>
        <w:tc>
          <w:tcPr>
            <w:tcW w:w="2999" w:type="dxa"/>
            <w:gridSpan w:val="2"/>
          </w:tcPr>
          <w:p w:rsidR="006E4E11" w:rsidRPr="0070791C" w:rsidRDefault="006E4E11" w:rsidP="007242A3">
            <w:pPr>
              <w:framePr w:w="5035" w:h="1644" w:wrap="notBeside" w:vAnchor="page" w:hAnchor="page" w:x="6573" w:y="721"/>
            </w:pPr>
          </w:p>
        </w:tc>
      </w:tr>
      <w:tr w:rsidR="006E4E11" w:rsidRPr="0070791C">
        <w:tblPrEx>
          <w:tblCellMar>
            <w:top w:w="0" w:type="dxa"/>
            <w:bottom w:w="0" w:type="dxa"/>
          </w:tblCellMar>
        </w:tblPrEx>
        <w:tc>
          <w:tcPr>
            <w:tcW w:w="2268" w:type="dxa"/>
          </w:tcPr>
          <w:p w:rsidR="006E4E11" w:rsidRPr="0070791C" w:rsidRDefault="00F13C78" w:rsidP="007242A3">
            <w:pPr>
              <w:framePr w:w="5035" w:h="1644" w:wrap="notBeside" w:vAnchor="page" w:hAnchor="page" w:x="6573" w:y="721"/>
            </w:pPr>
            <w:r w:rsidRPr="0070791C">
              <w:t>EU-nämnden</w:t>
            </w:r>
          </w:p>
        </w:tc>
        <w:tc>
          <w:tcPr>
            <w:tcW w:w="2999" w:type="dxa"/>
            <w:gridSpan w:val="2"/>
          </w:tcPr>
          <w:p w:rsidR="006E4E11" w:rsidRPr="0070791C" w:rsidRDefault="006E4E11" w:rsidP="007242A3">
            <w:pPr>
              <w:framePr w:w="5035" w:h="1644" w:wrap="notBeside" w:vAnchor="page" w:hAnchor="page" w:x="6573" w:y="721"/>
            </w:pPr>
          </w:p>
        </w:tc>
      </w:tr>
    </w:tbl>
    <w:p w:rsidR="008047EB" w:rsidRPr="0070791C" w:rsidRDefault="008047EB" w:rsidP="008047EB">
      <w:pPr>
        <w:rPr>
          <w:vanish/>
        </w:rPr>
      </w:pPr>
    </w:p>
    <w:tbl>
      <w:tblPr>
        <w:tblW w:w="0" w:type="auto"/>
        <w:tblLayout w:type="fixed"/>
        <w:tblLook w:val="0000" w:firstRow="0" w:lastRow="0" w:firstColumn="0" w:lastColumn="0" w:noHBand="0" w:noVBand="0"/>
      </w:tblPr>
      <w:tblGrid>
        <w:gridCol w:w="4911"/>
      </w:tblGrid>
      <w:tr w:rsidR="006E4E11" w:rsidRPr="0070791C">
        <w:tblPrEx>
          <w:tblCellMar>
            <w:top w:w="0" w:type="dxa"/>
            <w:bottom w:w="0" w:type="dxa"/>
          </w:tblCellMar>
        </w:tblPrEx>
        <w:trPr>
          <w:trHeight w:val="284"/>
        </w:trPr>
        <w:tc>
          <w:tcPr>
            <w:tcW w:w="4911" w:type="dxa"/>
          </w:tcPr>
          <w:p w:rsidR="006E4E11" w:rsidRPr="0070791C" w:rsidRDefault="00820538">
            <w:pPr>
              <w:pStyle w:val="Avsndare"/>
              <w:framePr w:h="2483" w:wrap="notBeside" w:x="1504"/>
              <w:rPr>
                <w:b/>
                <w:i w:val="0"/>
                <w:sz w:val="22"/>
              </w:rPr>
            </w:pPr>
            <w:r w:rsidRPr="0070791C">
              <w:rPr>
                <w:b/>
                <w:i w:val="0"/>
                <w:sz w:val="22"/>
              </w:rPr>
              <w:t>Näringsdepartementet</w:t>
            </w:r>
          </w:p>
        </w:tc>
      </w:tr>
      <w:tr w:rsidR="006E4E11" w:rsidRPr="0070791C">
        <w:tblPrEx>
          <w:tblCellMar>
            <w:top w:w="0" w:type="dxa"/>
            <w:bottom w:w="0" w:type="dxa"/>
          </w:tblCellMar>
        </w:tblPrEx>
        <w:trPr>
          <w:trHeight w:val="284"/>
        </w:trPr>
        <w:tc>
          <w:tcPr>
            <w:tcW w:w="4911" w:type="dxa"/>
          </w:tcPr>
          <w:p w:rsidR="006E4E11" w:rsidRPr="0070791C" w:rsidRDefault="006E4E11">
            <w:pPr>
              <w:pStyle w:val="Avsndare"/>
              <w:framePr w:h="2483" w:wrap="notBeside" w:x="1504"/>
              <w:rPr>
                <w:bCs/>
                <w:iCs/>
              </w:rPr>
            </w:pPr>
          </w:p>
        </w:tc>
      </w:tr>
      <w:tr w:rsidR="006E4E11" w:rsidRPr="0070791C">
        <w:tblPrEx>
          <w:tblCellMar>
            <w:top w:w="0" w:type="dxa"/>
            <w:bottom w:w="0" w:type="dxa"/>
          </w:tblCellMar>
        </w:tblPrEx>
        <w:trPr>
          <w:trHeight w:val="284"/>
        </w:trPr>
        <w:tc>
          <w:tcPr>
            <w:tcW w:w="4911" w:type="dxa"/>
          </w:tcPr>
          <w:p w:rsidR="006E4E11" w:rsidRPr="0070791C" w:rsidRDefault="006E4E11">
            <w:pPr>
              <w:pStyle w:val="Avsndare"/>
              <w:framePr w:h="2483" w:wrap="notBeside" w:x="1504"/>
              <w:rPr>
                <w:bCs/>
                <w:iCs/>
              </w:rPr>
            </w:pPr>
          </w:p>
        </w:tc>
      </w:tr>
      <w:tr w:rsidR="006E4E11" w:rsidRPr="0070791C">
        <w:tblPrEx>
          <w:tblCellMar>
            <w:top w:w="0" w:type="dxa"/>
            <w:bottom w:w="0" w:type="dxa"/>
          </w:tblCellMar>
        </w:tblPrEx>
        <w:trPr>
          <w:trHeight w:val="284"/>
        </w:trPr>
        <w:tc>
          <w:tcPr>
            <w:tcW w:w="4911" w:type="dxa"/>
          </w:tcPr>
          <w:p w:rsidR="006E4E11" w:rsidRPr="0070791C" w:rsidRDefault="006E4E11">
            <w:pPr>
              <w:pStyle w:val="Avsndare"/>
              <w:framePr w:h="2483" w:wrap="notBeside" w:x="1504"/>
              <w:rPr>
                <w:bCs/>
                <w:iCs/>
              </w:rPr>
            </w:pPr>
          </w:p>
        </w:tc>
      </w:tr>
      <w:tr w:rsidR="006E4E11" w:rsidRPr="0070791C">
        <w:tblPrEx>
          <w:tblCellMar>
            <w:top w:w="0" w:type="dxa"/>
            <w:bottom w:w="0" w:type="dxa"/>
          </w:tblCellMar>
        </w:tblPrEx>
        <w:trPr>
          <w:trHeight w:val="284"/>
        </w:trPr>
        <w:tc>
          <w:tcPr>
            <w:tcW w:w="4911" w:type="dxa"/>
          </w:tcPr>
          <w:p w:rsidR="006E4E11" w:rsidRPr="0070791C" w:rsidRDefault="006E4E11">
            <w:pPr>
              <w:pStyle w:val="Avsndare"/>
              <w:framePr w:h="2483" w:wrap="notBeside" w:x="1504"/>
              <w:rPr>
                <w:bCs/>
                <w:iCs/>
              </w:rPr>
            </w:pPr>
          </w:p>
        </w:tc>
      </w:tr>
      <w:tr w:rsidR="006E4E11" w:rsidRPr="0070791C">
        <w:tblPrEx>
          <w:tblCellMar>
            <w:top w:w="0" w:type="dxa"/>
            <w:bottom w:w="0" w:type="dxa"/>
          </w:tblCellMar>
        </w:tblPrEx>
        <w:trPr>
          <w:trHeight w:val="284"/>
        </w:trPr>
        <w:tc>
          <w:tcPr>
            <w:tcW w:w="4911" w:type="dxa"/>
          </w:tcPr>
          <w:p w:rsidR="006E4E11" w:rsidRPr="0070791C" w:rsidRDefault="006E4E11">
            <w:pPr>
              <w:pStyle w:val="Avsndare"/>
              <w:framePr w:h="2483" w:wrap="notBeside" w:x="1504"/>
              <w:rPr>
                <w:bCs/>
                <w:iCs/>
              </w:rPr>
            </w:pPr>
          </w:p>
        </w:tc>
      </w:tr>
      <w:tr w:rsidR="006E4E11" w:rsidRPr="0070791C">
        <w:tblPrEx>
          <w:tblCellMar>
            <w:top w:w="0" w:type="dxa"/>
            <w:bottom w:w="0" w:type="dxa"/>
          </w:tblCellMar>
        </w:tblPrEx>
        <w:trPr>
          <w:trHeight w:val="284"/>
        </w:trPr>
        <w:tc>
          <w:tcPr>
            <w:tcW w:w="4911" w:type="dxa"/>
          </w:tcPr>
          <w:p w:rsidR="006E4E11" w:rsidRPr="0070791C" w:rsidRDefault="006E4E11">
            <w:pPr>
              <w:pStyle w:val="Avsndare"/>
              <w:framePr w:h="2483" w:wrap="notBeside" w:x="1504"/>
              <w:rPr>
                <w:bCs/>
                <w:iCs/>
              </w:rPr>
            </w:pPr>
          </w:p>
        </w:tc>
      </w:tr>
      <w:tr w:rsidR="00820538" w:rsidRPr="0070791C">
        <w:tblPrEx>
          <w:tblCellMar>
            <w:top w:w="0" w:type="dxa"/>
            <w:bottom w:w="0" w:type="dxa"/>
          </w:tblCellMar>
        </w:tblPrEx>
        <w:trPr>
          <w:trHeight w:val="284"/>
        </w:trPr>
        <w:tc>
          <w:tcPr>
            <w:tcW w:w="4911" w:type="dxa"/>
          </w:tcPr>
          <w:p w:rsidR="00820538" w:rsidRPr="0070791C" w:rsidRDefault="00820538">
            <w:pPr>
              <w:pStyle w:val="Avsndare"/>
              <w:framePr w:h="2483" w:wrap="notBeside" w:x="1504"/>
              <w:rPr>
                <w:bCs/>
                <w:iCs/>
              </w:rPr>
            </w:pPr>
          </w:p>
        </w:tc>
      </w:tr>
    </w:tbl>
    <w:p w:rsidR="006E4E11" w:rsidRPr="0070791C" w:rsidRDefault="00820538" w:rsidP="00783472">
      <w:pPr>
        <w:pStyle w:val="RKrubrik"/>
        <w:pBdr>
          <w:bottom w:val="single" w:sz="4" w:space="1" w:color="000000"/>
        </w:pBdr>
        <w:spacing w:before="0" w:after="0"/>
      </w:pPr>
      <w:r w:rsidRPr="0070791C">
        <w:t xml:space="preserve">Kommenterad dagordning rådsmötet TTE (energi) den </w:t>
      </w:r>
      <w:r w:rsidR="008B4872" w:rsidRPr="0070791C">
        <w:t>15 juni</w:t>
      </w:r>
      <w:r w:rsidR="00CD796D" w:rsidRPr="0070791C">
        <w:t xml:space="preserve"> </w:t>
      </w:r>
      <w:r w:rsidRPr="0070791C">
        <w:t>20</w:t>
      </w:r>
      <w:r w:rsidR="00783472" w:rsidRPr="0070791C">
        <w:t>1</w:t>
      </w:r>
      <w:r w:rsidR="008B4872" w:rsidRPr="0070791C">
        <w:t>2</w:t>
      </w:r>
    </w:p>
    <w:p w:rsidR="00CD796D" w:rsidRPr="0070791C" w:rsidRDefault="00CD796D" w:rsidP="00CD796D">
      <w:pPr>
        <w:spacing w:line="240" w:lineRule="auto"/>
      </w:pPr>
    </w:p>
    <w:p w:rsidR="00CD796D" w:rsidRPr="0070791C" w:rsidRDefault="00CD796D" w:rsidP="00CD796D">
      <w:pPr>
        <w:spacing w:line="240" w:lineRule="auto"/>
        <w:rPr>
          <w:b/>
          <w:bCs/>
        </w:rPr>
      </w:pPr>
      <w:r w:rsidRPr="0070791C">
        <w:rPr>
          <w:b/>
          <w:bCs/>
        </w:rPr>
        <w:t>1.</w:t>
      </w:r>
      <w:r w:rsidRPr="0070791C">
        <w:rPr>
          <w:b/>
          <w:bCs/>
        </w:rPr>
        <w:tab/>
        <w:t>Godkännande av dagordningen</w:t>
      </w:r>
    </w:p>
    <w:p w:rsidR="00CD796D" w:rsidRPr="0070791C" w:rsidRDefault="00CD796D" w:rsidP="00CD796D">
      <w:pPr>
        <w:spacing w:line="240" w:lineRule="auto"/>
        <w:rPr>
          <w:b/>
          <w:bCs/>
          <w:u w:val="single"/>
        </w:rPr>
      </w:pPr>
    </w:p>
    <w:p w:rsidR="00CD796D" w:rsidRPr="0070791C" w:rsidRDefault="00CD796D" w:rsidP="00CD796D">
      <w:pPr>
        <w:spacing w:line="240" w:lineRule="auto"/>
        <w:rPr>
          <w:b/>
          <w:bCs/>
          <w:u w:val="single"/>
        </w:rPr>
      </w:pPr>
    </w:p>
    <w:p w:rsidR="00CD796D" w:rsidRPr="0070791C" w:rsidRDefault="00CD796D" w:rsidP="00CD796D">
      <w:pPr>
        <w:spacing w:line="240" w:lineRule="auto"/>
        <w:outlineLvl w:val="0"/>
        <w:rPr>
          <w:b/>
          <w:bCs/>
          <w:color w:val="000000"/>
          <w:u w:val="single"/>
        </w:rPr>
      </w:pPr>
      <w:r w:rsidRPr="0070791C">
        <w:rPr>
          <w:b/>
          <w:bCs/>
          <w:color w:val="000000"/>
          <w:u w:val="single"/>
        </w:rPr>
        <w:t>Lagstiftningsöverläggningar</w:t>
      </w:r>
    </w:p>
    <w:p w:rsidR="00CD796D" w:rsidRPr="0070791C" w:rsidRDefault="00CD796D" w:rsidP="00CD796D">
      <w:pPr>
        <w:spacing w:line="240" w:lineRule="auto"/>
        <w:rPr>
          <w:b/>
          <w:bCs/>
          <w:i/>
          <w:color w:val="000000"/>
        </w:rPr>
      </w:pPr>
      <w:r w:rsidRPr="0070791C">
        <w:rPr>
          <w:b/>
          <w:bCs/>
          <w:i/>
          <w:color w:val="000000"/>
        </w:rPr>
        <w:t>(offentlig överläggning enligt artikel 16</w:t>
      </w:r>
      <w:r w:rsidR="00F342A5" w:rsidRPr="0070791C">
        <w:rPr>
          <w:b/>
          <w:bCs/>
          <w:i/>
          <w:color w:val="000000"/>
        </w:rPr>
        <w:t>(</w:t>
      </w:r>
      <w:r w:rsidRPr="0070791C">
        <w:rPr>
          <w:b/>
          <w:bCs/>
          <w:i/>
          <w:color w:val="000000"/>
        </w:rPr>
        <w:t>8</w:t>
      </w:r>
      <w:r w:rsidR="00F342A5" w:rsidRPr="0070791C">
        <w:rPr>
          <w:b/>
          <w:bCs/>
          <w:i/>
          <w:color w:val="000000"/>
        </w:rPr>
        <w:t>)</w:t>
      </w:r>
      <w:r w:rsidRPr="0070791C">
        <w:rPr>
          <w:b/>
          <w:bCs/>
          <w:i/>
          <w:color w:val="000000"/>
        </w:rPr>
        <w:t xml:space="preserve"> i fördraget om Europeiska unionen)</w:t>
      </w:r>
    </w:p>
    <w:p w:rsidR="00CD796D" w:rsidRPr="0070791C" w:rsidRDefault="00CD796D" w:rsidP="00CD796D">
      <w:pPr>
        <w:spacing w:line="240" w:lineRule="auto"/>
        <w:rPr>
          <w:iCs/>
        </w:rPr>
      </w:pPr>
    </w:p>
    <w:p w:rsidR="00054984" w:rsidRPr="0070791C" w:rsidRDefault="00CD796D" w:rsidP="00054984">
      <w:pPr>
        <w:spacing w:line="240" w:lineRule="auto"/>
        <w:rPr>
          <w:b/>
          <w:bCs/>
        </w:rPr>
      </w:pPr>
      <w:r w:rsidRPr="0070791C">
        <w:rPr>
          <w:b/>
          <w:bCs/>
        </w:rPr>
        <w:t>2.</w:t>
      </w:r>
      <w:r w:rsidRPr="0070791C">
        <w:rPr>
          <w:b/>
          <w:bCs/>
        </w:rPr>
        <w:tab/>
        <w:t>(ev.) Godkännande av A-punktslistan</w:t>
      </w:r>
    </w:p>
    <w:p w:rsidR="00054984" w:rsidRPr="0070791C" w:rsidRDefault="00054984" w:rsidP="00054984">
      <w:pPr>
        <w:spacing w:line="240" w:lineRule="auto"/>
        <w:rPr>
          <w:b/>
          <w:bCs/>
        </w:rPr>
      </w:pPr>
    </w:p>
    <w:p w:rsidR="00631E62" w:rsidRPr="0070791C" w:rsidRDefault="00631E62" w:rsidP="00054984">
      <w:pPr>
        <w:spacing w:line="240" w:lineRule="auto"/>
        <w:rPr>
          <w:b/>
          <w:bCs/>
        </w:rPr>
      </w:pPr>
    </w:p>
    <w:p w:rsidR="00631E62" w:rsidRPr="0070791C" w:rsidRDefault="00054984" w:rsidP="00631E62">
      <w:pPr>
        <w:overflowPunct/>
        <w:spacing w:line="240" w:lineRule="auto"/>
        <w:textAlignment w:val="auto"/>
        <w:rPr>
          <w:rFonts w:ascii="Times New Roman" w:hAnsi="Times New Roman"/>
          <w:b/>
          <w:color w:val="000000"/>
          <w:szCs w:val="24"/>
          <w:lang w:eastAsia="fr-BE"/>
        </w:rPr>
      </w:pPr>
      <w:r w:rsidRPr="0070791C">
        <w:rPr>
          <w:b/>
        </w:rPr>
        <w:t>3.</w:t>
      </w:r>
      <w:r w:rsidRPr="0070791C">
        <w:t xml:space="preserve"> </w:t>
      </w:r>
      <w:r w:rsidR="001719D5" w:rsidRPr="0070791C">
        <w:tab/>
      </w:r>
      <w:r w:rsidR="00631E62" w:rsidRPr="0070791C">
        <w:rPr>
          <w:rFonts w:ascii="Times New Roman" w:hAnsi="Times New Roman"/>
          <w:b/>
          <w:color w:val="000000"/>
          <w:szCs w:val="24"/>
          <w:lang w:eastAsia="fr-BE"/>
        </w:rPr>
        <w:t>Förslag till Europaparlamentets och rådets förordning om riktlinjer för transeuropeiska energiinfrastrukturer och om upphävande av beslut nr 1364/2006/EG</w:t>
      </w:r>
    </w:p>
    <w:p w:rsidR="00A239F6" w:rsidRPr="0070791C" w:rsidRDefault="00BB4705" w:rsidP="00A239F6">
      <w:pPr>
        <w:spacing w:line="240" w:lineRule="auto"/>
        <w:ind w:left="1134" w:hanging="567"/>
        <w:rPr>
          <w:i/>
          <w:color w:val="000000"/>
        </w:rPr>
      </w:pPr>
      <w:r w:rsidRPr="0070791C">
        <w:rPr>
          <w:rFonts w:ascii="Times New Roman" w:hAnsi="Times New Roman"/>
          <w:iCs/>
          <w:lang w:eastAsia="hu-HU"/>
        </w:rPr>
        <w:t>-</w:t>
      </w:r>
      <w:r w:rsidRPr="0070791C">
        <w:rPr>
          <w:rFonts w:ascii="Times New Roman" w:hAnsi="Times New Roman"/>
          <w:iCs/>
          <w:lang w:eastAsia="hu-HU"/>
        </w:rPr>
        <w:tab/>
      </w:r>
      <w:r w:rsidR="00A239F6" w:rsidRPr="0070791C">
        <w:rPr>
          <w:i/>
          <w:color w:val="000000"/>
        </w:rPr>
        <w:t>Lägesrapport</w:t>
      </w:r>
    </w:p>
    <w:p w:rsidR="00BB4705" w:rsidRPr="0070791C" w:rsidRDefault="00BB4705" w:rsidP="00A239F6">
      <w:pPr>
        <w:widowControl w:val="0"/>
        <w:overflowPunct/>
        <w:spacing w:line="240" w:lineRule="auto"/>
        <w:textAlignment w:val="auto"/>
        <w:rPr>
          <w:rFonts w:ascii="Times New Roman" w:hAnsi="Times New Roman"/>
          <w:iCs/>
          <w:lang w:eastAsia="hu-HU"/>
        </w:rPr>
      </w:pPr>
      <w:r w:rsidRPr="0070791C">
        <w:rPr>
          <w:rFonts w:ascii="Times New Roman" w:hAnsi="Times New Roman"/>
          <w:lang w:eastAsia="fr-BE"/>
        </w:rPr>
        <w:t>15813/11 ENER 330 CADREFIN 103 CODEC 1749</w:t>
      </w:r>
    </w:p>
    <w:p w:rsidR="00BB4705" w:rsidRPr="0070791C" w:rsidRDefault="00BB4705" w:rsidP="00BB4705">
      <w:pPr>
        <w:spacing w:line="240" w:lineRule="auto"/>
        <w:rPr>
          <w:rFonts w:ascii="Times New Roman" w:hAnsi="Times New Roman"/>
          <w:lang w:eastAsia="fr-BE"/>
        </w:rPr>
      </w:pPr>
    </w:p>
    <w:p w:rsidR="008B2D02" w:rsidRPr="0070791C" w:rsidRDefault="008B2D02" w:rsidP="008B2D02">
      <w:pPr>
        <w:rPr>
          <w:u w:val="single"/>
        </w:rPr>
      </w:pPr>
      <w:r w:rsidRPr="0070791C">
        <w:rPr>
          <w:u w:val="single"/>
        </w:rPr>
        <w:t>Bakgrund</w:t>
      </w:r>
    </w:p>
    <w:p w:rsidR="008B2D02" w:rsidRPr="0070791C" w:rsidRDefault="008B2D02" w:rsidP="008B2D02">
      <w:pPr>
        <w:pStyle w:val="RKnormal"/>
        <w:rPr>
          <w:bCs/>
          <w:iCs/>
        </w:rPr>
      </w:pPr>
      <w:r w:rsidRPr="0070791C">
        <w:rPr>
          <w:bCs/>
          <w:iCs/>
        </w:rPr>
        <w:t xml:space="preserve">Kommissionen antog den 19 oktober 2011 ett förslag till förordning om energiinfrastruktur. Förslaget baseras på EU:s energistrategi 2011-2020 samt på de infrastrukturprioriteringar för 2020 och framåt som antogs i februari (KOM (2010) 639 och KOM (2010) 677/4). </w:t>
      </w:r>
    </w:p>
    <w:p w:rsidR="008B2D02" w:rsidRPr="0070791C" w:rsidRDefault="008B2D02" w:rsidP="008B2D02">
      <w:pPr>
        <w:pStyle w:val="RKnormal"/>
        <w:rPr>
          <w:bCs/>
          <w:iCs/>
        </w:rPr>
      </w:pPr>
    </w:p>
    <w:p w:rsidR="008B2D02" w:rsidRPr="0070791C" w:rsidRDefault="008B2D02" w:rsidP="008B2D02">
      <w:pPr>
        <w:pStyle w:val="RKnormal"/>
        <w:rPr>
          <w:bCs/>
          <w:iCs/>
        </w:rPr>
      </w:pPr>
      <w:r w:rsidRPr="0070791C">
        <w:rPr>
          <w:bCs/>
          <w:iCs/>
        </w:rPr>
        <w:t xml:space="preserve">Bakgrunden till förslaget är kommissionens uppskattning att energiinfrastrukturinvesteringar på 200 miljarder euro behövs till 2020 för att klara EU:s klimat- och energimål. Vidare anges att de största hindren för att lyckas få dessa investeringar på plats före 2020 är långa och ineffektiva tillståndsprocesser samt avsaknad av möjligheter till finansiering av projekt. Dessutom nämns att regelverken kring nätregleringar och tariffsättning inte är konstruerade för den typ av infrastrukturprojekt som nu behöver etableras. </w:t>
      </w:r>
    </w:p>
    <w:p w:rsidR="008B2D02" w:rsidRPr="0070791C" w:rsidRDefault="008B2D02" w:rsidP="008B2D02">
      <w:pPr>
        <w:pStyle w:val="RKnormal"/>
        <w:rPr>
          <w:bCs/>
          <w:iCs/>
        </w:rPr>
      </w:pPr>
    </w:p>
    <w:p w:rsidR="008B2D02" w:rsidRPr="0070791C" w:rsidRDefault="008B2D02" w:rsidP="008B2D02">
      <w:pPr>
        <w:pStyle w:val="RKnormal"/>
        <w:rPr>
          <w:bCs/>
          <w:iCs/>
        </w:rPr>
      </w:pPr>
      <w:r w:rsidRPr="0070791C">
        <w:rPr>
          <w:bCs/>
          <w:iCs/>
        </w:rPr>
        <w:t xml:space="preserve">Förslaget syftar till att främja s.k. ”projekt av gemensamt intresse” (PCI) inom tolv prioriterade geografiska korridorer och områden. </w:t>
      </w:r>
    </w:p>
    <w:p w:rsidR="008B2D02" w:rsidRPr="0070791C" w:rsidRDefault="008B2D02" w:rsidP="008B2D02">
      <w:pPr>
        <w:pStyle w:val="RKnormal"/>
        <w:rPr>
          <w:bCs/>
          <w:iCs/>
        </w:rPr>
      </w:pPr>
    </w:p>
    <w:p w:rsidR="008B2D02" w:rsidRPr="0070791C" w:rsidRDefault="008B2D02" w:rsidP="008B2D02">
      <w:pPr>
        <w:pStyle w:val="RKnormal"/>
        <w:rPr>
          <w:bCs/>
          <w:iCs/>
        </w:rPr>
      </w:pPr>
      <w:r w:rsidRPr="0070791C">
        <w:rPr>
          <w:bCs/>
          <w:iCs/>
        </w:rPr>
        <w:t xml:space="preserve">Projekten som kvalificeras till PCI ska enligt förslaget till förordning främjas genom att först och främst få en hög nationell prioritet. En ny metod för </w:t>
      </w:r>
      <w:r w:rsidRPr="0070791C">
        <w:rPr>
          <w:bCs/>
          <w:iCs/>
        </w:rPr>
        <w:lastRenderedPageBreak/>
        <w:t>planering av energiinfrastruktur föreslås och PCI ska omfattas av en snabbare tillståndsprocess där en tidsgräns för tillståndsgivningen föreslås till maximalt tre år. Ett nytt regelverk kring nätreglering föreslås där kostnader ska kunna allokeras dit nyttovärden uppkommer. Projekten ska även kunna få finansiellt stöd genom den sk. ”Connecting Europe Facility” (KOM(2011) 655). Finansiering ska först och främst kunna ges för studier men även i vissa fall för genomförande av projekt.</w:t>
      </w:r>
    </w:p>
    <w:p w:rsidR="008B2D02" w:rsidRPr="0070791C" w:rsidRDefault="008B2D02" w:rsidP="008B2D02">
      <w:pPr>
        <w:pStyle w:val="RKnormal"/>
        <w:rPr>
          <w:bCs/>
          <w:iCs/>
        </w:rPr>
      </w:pPr>
    </w:p>
    <w:p w:rsidR="00056D4B" w:rsidRPr="0070791C" w:rsidRDefault="00056D4B" w:rsidP="00056D4B">
      <w:pPr>
        <w:pStyle w:val="RKnormal"/>
        <w:rPr>
          <w:bCs/>
          <w:iCs/>
        </w:rPr>
      </w:pPr>
      <w:r w:rsidRPr="0070791C">
        <w:rPr>
          <w:bCs/>
          <w:iCs/>
        </w:rPr>
        <w:t>Vid TTE-rådet den 15 juni kommer en lägesrapport att presenteras.</w:t>
      </w:r>
    </w:p>
    <w:p w:rsidR="00056D4B" w:rsidRPr="0070791C" w:rsidRDefault="00056D4B" w:rsidP="00056D4B">
      <w:pPr>
        <w:tabs>
          <w:tab w:val="left" w:pos="2835"/>
        </w:tabs>
        <w:spacing w:line="240" w:lineRule="atLeast"/>
        <w:rPr>
          <w:bCs/>
          <w:iCs/>
        </w:rPr>
      </w:pPr>
      <w:r w:rsidRPr="0070791C">
        <w:rPr>
          <w:bCs/>
          <w:iCs/>
        </w:rPr>
        <w:t>Rapporten beskriver förhandlingsläget i rådet, framför allt vad gäller kapitel 2 (urval av projekt) och kapitel 4 (marknadsregleringar) eftersom det danska ordförandeskapet under våren koncentrerat förhandlingarna kring just dessa delar.</w:t>
      </w:r>
    </w:p>
    <w:p w:rsidR="008B2D02" w:rsidRPr="0070791C" w:rsidRDefault="008B2D02" w:rsidP="008B2D02">
      <w:pPr>
        <w:pStyle w:val="RKnormal"/>
        <w:rPr>
          <w:bCs/>
          <w:iCs/>
        </w:rPr>
      </w:pPr>
    </w:p>
    <w:p w:rsidR="008B2D02" w:rsidRPr="0070791C" w:rsidRDefault="008B2D02" w:rsidP="008B2D02">
      <w:pPr>
        <w:tabs>
          <w:tab w:val="left" w:pos="2835"/>
        </w:tabs>
      </w:pPr>
      <w:r w:rsidRPr="0070791C">
        <w:t>Frågan har behandlats i EU-nämnden tidigare vid två tillfällen, den 18 november 2011 och den 10 februari 2012.</w:t>
      </w:r>
    </w:p>
    <w:p w:rsidR="008B2D02" w:rsidRPr="0070791C" w:rsidRDefault="008B2D02" w:rsidP="008B2D02">
      <w:pPr>
        <w:pStyle w:val="RKnormal"/>
        <w:rPr>
          <w:bCs/>
          <w:iCs/>
        </w:rPr>
      </w:pPr>
      <w:r w:rsidRPr="0070791C">
        <w:rPr>
          <w:bCs/>
          <w:iCs/>
        </w:rPr>
        <w:tab/>
      </w:r>
    </w:p>
    <w:p w:rsidR="008B2D02" w:rsidRPr="0070791C" w:rsidRDefault="008B2D02" w:rsidP="008B2D02">
      <w:pPr>
        <w:rPr>
          <w:u w:val="single"/>
        </w:rPr>
      </w:pPr>
      <w:r w:rsidRPr="0070791C">
        <w:rPr>
          <w:u w:val="single"/>
        </w:rPr>
        <w:t>Förslag till svensk ståndpunkt</w:t>
      </w:r>
    </w:p>
    <w:p w:rsidR="008B2D02" w:rsidRPr="0070791C" w:rsidRDefault="008B2D02" w:rsidP="008B2D02">
      <w:pPr>
        <w:pStyle w:val="RKnormal"/>
        <w:rPr>
          <w:u w:val="single"/>
        </w:rPr>
      </w:pPr>
      <w:r w:rsidRPr="0070791C">
        <w:t>Regerin</w:t>
      </w:r>
      <w:r w:rsidR="008D4DC7" w:rsidRPr="0070791C">
        <w:t>gen välkomnar lägesrapporten.</w:t>
      </w:r>
    </w:p>
    <w:p w:rsidR="00A239F6" w:rsidRPr="0070791C" w:rsidRDefault="00A239F6" w:rsidP="00A239F6">
      <w:pPr>
        <w:tabs>
          <w:tab w:val="left" w:pos="2835"/>
        </w:tabs>
        <w:ind w:firstLine="567"/>
        <w:rPr>
          <w:rFonts w:cs="OrigGarmnd BT"/>
          <w:color w:val="000000"/>
        </w:rPr>
      </w:pPr>
    </w:p>
    <w:p w:rsidR="008B4872" w:rsidRPr="0070791C" w:rsidRDefault="008B4872" w:rsidP="00B508B8">
      <w:pPr>
        <w:pStyle w:val="RKnormal"/>
        <w:rPr>
          <w:bCs/>
        </w:rPr>
      </w:pPr>
    </w:p>
    <w:p w:rsidR="008B4872" w:rsidRPr="0070791C" w:rsidRDefault="008B4872" w:rsidP="00B508B8">
      <w:pPr>
        <w:pStyle w:val="RKnormal"/>
        <w:rPr>
          <w:bCs/>
        </w:rPr>
      </w:pPr>
    </w:p>
    <w:p w:rsidR="008B4872" w:rsidRPr="0070791C" w:rsidRDefault="00BB0854" w:rsidP="00E57605">
      <w:pPr>
        <w:rPr>
          <w:rFonts w:ascii="Times New Roman" w:hAnsi="Times New Roman"/>
          <w:b/>
          <w:szCs w:val="24"/>
          <w:lang w:eastAsia="hu-HU"/>
        </w:rPr>
      </w:pPr>
      <w:r w:rsidRPr="0070791C">
        <w:rPr>
          <w:b/>
        </w:rPr>
        <w:t xml:space="preserve">4. </w:t>
      </w:r>
      <w:r w:rsidR="001719D5" w:rsidRPr="0070791C">
        <w:rPr>
          <w:b/>
        </w:rPr>
        <w:tab/>
      </w:r>
      <w:r w:rsidR="0059546E" w:rsidRPr="0070791C">
        <w:rPr>
          <w:rFonts w:ascii="Times New Roman" w:hAnsi="Times New Roman"/>
          <w:b/>
          <w:szCs w:val="24"/>
          <w:lang w:eastAsia="hu-HU"/>
        </w:rPr>
        <w:t>Förslag till Europaparlamentets och rådets förordning om säkerhet för pros</w:t>
      </w:r>
      <w:r w:rsidR="008E44F6" w:rsidRPr="0070791C">
        <w:rPr>
          <w:rFonts w:ascii="Times New Roman" w:hAnsi="Times New Roman"/>
          <w:b/>
          <w:szCs w:val="24"/>
          <w:lang w:eastAsia="hu-HU"/>
        </w:rPr>
        <w:t xml:space="preserve">pekterings-, undersöknings- och </w:t>
      </w:r>
      <w:r w:rsidR="0059546E" w:rsidRPr="0070791C">
        <w:rPr>
          <w:rFonts w:ascii="Times New Roman" w:hAnsi="Times New Roman"/>
          <w:b/>
          <w:szCs w:val="24"/>
          <w:lang w:eastAsia="hu-HU"/>
        </w:rPr>
        <w:t>produktionsverksamhet för olja och gas till havs</w:t>
      </w:r>
    </w:p>
    <w:p w:rsidR="00BB4705" w:rsidRPr="0070791C" w:rsidRDefault="00BB4705" w:rsidP="00BB4705">
      <w:pPr>
        <w:widowControl w:val="0"/>
        <w:overflowPunct/>
        <w:spacing w:line="240" w:lineRule="auto"/>
        <w:ind w:left="1134" w:hanging="567"/>
        <w:textAlignment w:val="auto"/>
        <w:rPr>
          <w:rFonts w:ascii="Times New Roman" w:hAnsi="Times New Roman"/>
          <w:iCs/>
          <w:lang w:eastAsia="hu-HU"/>
        </w:rPr>
      </w:pPr>
      <w:r w:rsidRPr="0070791C">
        <w:rPr>
          <w:rFonts w:ascii="Times New Roman" w:hAnsi="Times New Roman"/>
          <w:lang w:eastAsia="hu-HU"/>
        </w:rPr>
        <w:t>-</w:t>
      </w:r>
      <w:r w:rsidRPr="0070791C">
        <w:rPr>
          <w:rFonts w:ascii="Times New Roman" w:hAnsi="Times New Roman"/>
          <w:i/>
          <w:lang w:eastAsia="hu-HU"/>
        </w:rPr>
        <w:tab/>
      </w:r>
      <w:r w:rsidRPr="0070791C">
        <w:rPr>
          <w:rFonts w:ascii="Times New Roman" w:hAnsi="Times New Roman"/>
          <w:i/>
          <w:iCs/>
          <w:lang w:eastAsia="hu-HU"/>
        </w:rPr>
        <w:t>Lägesrapport</w:t>
      </w:r>
    </w:p>
    <w:p w:rsidR="00BB4705" w:rsidRPr="0070791C" w:rsidRDefault="00BB4705" w:rsidP="00BB4705">
      <w:pPr>
        <w:widowControl w:val="0"/>
        <w:overflowPunct/>
        <w:spacing w:line="240" w:lineRule="auto"/>
        <w:textAlignment w:val="auto"/>
        <w:outlineLvl w:val="0"/>
        <w:rPr>
          <w:rFonts w:ascii="Times New Roman" w:hAnsi="Times New Roman"/>
          <w:bCs/>
          <w:lang w:eastAsia="hu-HU"/>
        </w:rPr>
      </w:pPr>
      <w:r w:rsidRPr="0070791C">
        <w:rPr>
          <w:rFonts w:ascii="Times New Roman" w:hAnsi="Times New Roman"/>
          <w:bCs/>
          <w:lang w:eastAsia="hu-HU"/>
        </w:rPr>
        <w:t>16175/11 ENER 344 ENV 832 MARE 1 COMAR 1 PROCIV 144 CODEC 1871</w:t>
      </w:r>
    </w:p>
    <w:p w:rsidR="00D33ED0" w:rsidRPr="0070791C" w:rsidRDefault="00D33ED0" w:rsidP="00D33ED0">
      <w:pPr>
        <w:pStyle w:val="RKnormal"/>
      </w:pPr>
    </w:p>
    <w:p w:rsidR="00511E7D" w:rsidRPr="0070791C" w:rsidRDefault="00511E7D" w:rsidP="00511E7D">
      <w:pPr>
        <w:widowControl w:val="0"/>
        <w:overflowPunct/>
        <w:autoSpaceDE/>
        <w:autoSpaceDN/>
        <w:adjustRightInd/>
        <w:spacing w:line="360" w:lineRule="auto"/>
        <w:textAlignment w:val="auto"/>
        <w:rPr>
          <w:rFonts w:ascii="Times New Roman" w:hAnsi="Times New Roman"/>
          <w:lang w:eastAsia="fr-BE"/>
        </w:rPr>
      </w:pPr>
      <w:r w:rsidRPr="0070791C">
        <w:rPr>
          <w:rFonts w:ascii="Times New Roman" w:hAnsi="Times New Roman"/>
          <w:u w:val="single"/>
          <w:lang w:eastAsia="fr-BE"/>
        </w:rPr>
        <w:t>Bakgrund</w:t>
      </w:r>
    </w:p>
    <w:p w:rsidR="00511E7D" w:rsidRPr="0070791C" w:rsidRDefault="00511E7D" w:rsidP="00511E7D">
      <w:pPr>
        <w:tabs>
          <w:tab w:val="left" w:pos="2835"/>
        </w:tabs>
        <w:spacing w:line="240" w:lineRule="atLeast"/>
      </w:pPr>
      <w:r w:rsidRPr="0070791C">
        <w:t>Kommissionen presenterade den 13 oktober 2010 ett meddelande om ”utmaningen att uppnå en säker olje- och gasverksamhet till havs” (KOM(2010) 560 slutlig). Detta mot bakgrund av olyckan på oljeplattformen Deepwater Horizon i Mexikanska golfen den 20 april 2010. I meddelandet rekommenderade kommissionen ett särskilt EU-regelverk. Kommissionen bedömde att ett EU-regelverk var nödvändigt eftersom de miljöskador, de sociala skador och de ekonomiska skador som en eventuell olycka till havs kan orsaka inte känner några nationsgränser.</w:t>
      </w:r>
    </w:p>
    <w:p w:rsidR="00511E7D" w:rsidRPr="0070791C" w:rsidRDefault="00511E7D" w:rsidP="00511E7D">
      <w:pPr>
        <w:tabs>
          <w:tab w:val="left" w:pos="2835"/>
        </w:tabs>
        <w:spacing w:line="240" w:lineRule="atLeast"/>
      </w:pPr>
    </w:p>
    <w:p w:rsidR="00511E7D" w:rsidRPr="0070791C" w:rsidRDefault="00511E7D" w:rsidP="00511E7D">
      <w:pPr>
        <w:tabs>
          <w:tab w:val="left" w:pos="2835"/>
        </w:tabs>
        <w:spacing w:line="240" w:lineRule="atLeast"/>
      </w:pPr>
      <w:r w:rsidRPr="0070791C">
        <w:t>Den 3 december 2010 antog TTE-rådet (Energi) slutsatser på ovan nämnda meddelande och uppmanade kommissionen att framlägga konkreta initiativ och rättsliga förslag för att förbättra säkerhet och miljöskydd vid olje- och gasutvinning till havs.</w:t>
      </w:r>
    </w:p>
    <w:p w:rsidR="00511E7D" w:rsidRPr="0070791C" w:rsidRDefault="00511E7D" w:rsidP="00511E7D">
      <w:pPr>
        <w:tabs>
          <w:tab w:val="left" w:pos="2835"/>
        </w:tabs>
        <w:spacing w:line="240" w:lineRule="atLeast"/>
      </w:pPr>
    </w:p>
    <w:p w:rsidR="00511E7D" w:rsidRPr="0070791C" w:rsidRDefault="00511E7D" w:rsidP="00511E7D">
      <w:pPr>
        <w:tabs>
          <w:tab w:val="left" w:pos="2835"/>
        </w:tabs>
        <w:spacing w:line="240" w:lineRule="atLeast"/>
      </w:pPr>
      <w:r w:rsidRPr="0070791C">
        <w:t xml:space="preserve">I oktober 2011 presenterade kommissionen sitt förslag till förordning för att förbättra säkerhet och miljöskydd vid olje- och gasutvinning till havs (KOM (2011) 688 slutlig). Förslaget innehåller bestämmelser som ska garantera användningen och implementeringen av bästa praxis och regelverk, stärka unionens beredskap på området samt förbättra och klargöra skadestånds- och kompensationsbestämmelser. Förslaget har behandlats i rådet under slutet av 2011 och under våren 2012. </w:t>
      </w:r>
    </w:p>
    <w:p w:rsidR="00511E7D" w:rsidRPr="0070791C" w:rsidRDefault="00511E7D" w:rsidP="00511E7D">
      <w:pPr>
        <w:tabs>
          <w:tab w:val="left" w:pos="2835"/>
        </w:tabs>
        <w:spacing w:line="240" w:lineRule="atLeast"/>
      </w:pPr>
    </w:p>
    <w:p w:rsidR="00511E7D" w:rsidRPr="0070791C" w:rsidRDefault="00511E7D" w:rsidP="00511E7D">
      <w:pPr>
        <w:tabs>
          <w:tab w:val="left" w:pos="2835"/>
        </w:tabs>
        <w:spacing w:line="240" w:lineRule="atLeast"/>
      </w:pPr>
      <w:r w:rsidRPr="0070791C">
        <w:t>På TTE-rådet den 15 j</w:t>
      </w:r>
      <w:r w:rsidR="00C513E0" w:rsidRPr="0070791C">
        <w:t>uni kommer kommissionen att presentera</w:t>
      </w:r>
      <w:r w:rsidRPr="0070791C">
        <w:t xml:space="preserve"> en lägesrapport om arbetet med förordningsförslaget och förhandlingsläget.</w:t>
      </w:r>
    </w:p>
    <w:p w:rsidR="00F3167B" w:rsidRPr="0070791C" w:rsidRDefault="00F3167B" w:rsidP="00F3167B">
      <w:pPr>
        <w:tabs>
          <w:tab w:val="left" w:pos="2835"/>
        </w:tabs>
        <w:spacing w:line="240" w:lineRule="atLeast"/>
      </w:pPr>
      <w:r w:rsidRPr="0070791C">
        <w:t>Förordningsförslaget har vid ett antal gånger under vintern och våren varit uppe för förhandling i rådsarbetsgruppen för energi. Sammanfattningsvis kan sägas efter det senaste rådsarbetsgruppsmötet (den 24 april) att det finns ett brett stöd för förslagets utveckling under förhandlingarna och att samtliga medlemsländer stödjer Kommissionens intentioner i förordningsförslaget. Den enda utestående frågan är att det föreligger oenighet mellan medlemsländerna huruvida den rättsliga grunden för förslaget bör omhändertas i en förordning eller i ett direktiv.</w:t>
      </w:r>
    </w:p>
    <w:p w:rsidR="00511E7D" w:rsidRPr="0070791C" w:rsidRDefault="00511E7D" w:rsidP="00511E7D">
      <w:pPr>
        <w:tabs>
          <w:tab w:val="left" w:pos="2835"/>
        </w:tabs>
        <w:spacing w:line="240" w:lineRule="atLeast"/>
      </w:pPr>
    </w:p>
    <w:p w:rsidR="00511E7D" w:rsidRPr="0070791C" w:rsidRDefault="00511E7D" w:rsidP="00511E7D">
      <w:pPr>
        <w:tabs>
          <w:tab w:val="left" w:pos="2835"/>
        </w:tabs>
        <w:spacing w:line="240" w:lineRule="atLeast"/>
        <w:rPr>
          <w:u w:val="single"/>
        </w:rPr>
      </w:pPr>
      <w:r w:rsidRPr="0070791C">
        <w:rPr>
          <w:u w:val="single"/>
        </w:rPr>
        <w:t>Förslag till svensk ståndpunkt</w:t>
      </w:r>
    </w:p>
    <w:p w:rsidR="00511E7D" w:rsidRPr="0070791C" w:rsidRDefault="008D4DC7" w:rsidP="00511E7D">
      <w:pPr>
        <w:tabs>
          <w:tab w:val="left" w:pos="2835"/>
        </w:tabs>
        <w:spacing w:line="240" w:lineRule="atLeast"/>
        <w:rPr>
          <w:u w:val="single"/>
        </w:rPr>
      </w:pPr>
      <w:r w:rsidRPr="0070791C">
        <w:t xml:space="preserve">Regeringen välkomnar </w:t>
      </w:r>
      <w:r w:rsidR="00511E7D" w:rsidRPr="0070791C">
        <w:t>lägesrapporten.</w:t>
      </w:r>
    </w:p>
    <w:p w:rsidR="00316130" w:rsidRPr="0070791C" w:rsidRDefault="00316130" w:rsidP="00316130">
      <w:pPr>
        <w:spacing w:line="240" w:lineRule="auto"/>
        <w:outlineLvl w:val="0"/>
        <w:rPr>
          <w:b/>
          <w:iCs/>
          <w:color w:val="000000"/>
          <w:u w:val="single"/>
        </w:rPr>
      </w:pPr>
    </w:p>
    <w:p w:rsidR="007F4E39" w:rsidRPr="0070791C" w:rsidRDefault="007F4E39" w:rsidP="00316130">
      <w:pPr>
        <w:spacing w:line="240" w:lineRule="auto"/>
        <w:outlineLvl w:val="0"/>
        <w:rPr>
          <w:b/>
          <w:iCs/>
          <w:color w:val="000000"/>
          <w:u w:val="single"/>
        </w:rPr>
      </w:pPr>
    </w:p>
    <w:p w:rsidR="007F4E39" w:rsidRPr="0070791C" w:rsidRDefault="007F4E39" w:rsidP="00316130">
      <w:pPr>
        <w:spacing w:line="240" w:lineRule="auto"/>
        <w:outlineLvl w:val="0"/>
        <w:rPr>
          <w:b/>
          <w:iCs/>
          <w:color w:val="000000"/>
          <w:u w:val="single"/>
        </w:rPr>
      </w:pPr>
    </w:p>
    <w:p w:rsidR="00316130" w:rsidRPr="0070791C" w:rsidRDefault="00316130" w:rsidP="00316130">
      <w:pPr>
        <w:spacing w:line="240" w:lineRule="auto"/>
        <w:outlineLvl w:val="0"/>
        <w:rPr>
          <w:b/>
          <w:iCs/>
          <w:color w:val="000000"/>
          <w:u w:val="single"/>
        </w:rPr>
      </w:pPr>
      <w:r w:rsidRPr="0070791C">
        <w:rPr>
          <w:b/>
          <w:iCs/>
          <w:color w:val="000000"/>
          <w:u w:val="single"/>
        </w:rPr>
        <w:t>Icke lagstiftande verksamhet</w:t>
      </w:r>
    </w:p>
    <w:p w:rsidR="00316130" w:rsidRPr="0070791C" w:rsidRDefault="00316130" w:rsidP="00316130">
      <w:pPr>
        <w:spacing w:line="240" w:lineRule="auto"/>
        <w:rPr>
          <w:iCs/>
          <w:color w:val="000000"/>
        </w:rPr>
      </w:pPr>
    </w:p>
    <w:p w:rsidR="00316130" w:rsidRPr="0070791C" w:rsidRDefault="00316130" w:rsidP="00316130">
      <w:pPr>
        <w:spacing w:line="240" w:lineRule="auto"/>
        <w:rPr>
          <w:b/>
          <w:bCs/>
        </w:rPr>
      </w:pPr>
      <w:r w:rsidRPr="0070791C">
        <w:rPr>
          <w:b/>
          <w:bCs/>
        </w:rPr>
        <w:t>5.</w:t>
      </w:r>
      <w:r w:rsidRPr="0070791C">
        <w:rPr>
          <w:b/>
          <w:bCs/>
        </w:rPr>
        <w:tab/>
        <w:t>(ev.) Godkännande av A-punktslistan</w:t>
      </w:r>
    </w:p>
    <w:p w:rsidR="00B17ED9" w:rsidRPr="0070791C" w:rsidRDefault="00B17ED9" w:rsidP="00B17ED9">
      <w:pPr>
        <w:spacing w:line="240" w:lineRule="auto"/>
        <w:ind w:left="567" w:hanging="567"/>
        <w:rPr>
          <w:iCs/>
          <w:color w:val="000000"/>
        </w:rPr>
      </w:pPr>
    </w:p>
    <w:p w:rsidR="007D2940" w:rsidRPr="0070791C" w:rsidRDefault="007D2940" w:rsidP="00B17ED9">
      <w:pPr>
        <w:spacing w:line="240" w:lineRule="auto"/>
        <w:ind w:left="567" w:hanging="567"/>
        <w:rPr>
          <w:iCs/>
          <w:color w:val="000000"/>
        </w:rPr>
      </w:pPr>
    </w:p>
    <w:p w:rsidR="007D2940" w:rsidRPr="0070791C" w:rsidRDefault="00316130" w:rsidP="001719D5">
      <w:pPr>
        <w:rPr>
          <w:rFonts w:ascii="Times New Roman" w:hAnsi="Times New Roman"/>
          <w:b/>
          <w:szCs w:val="24"/>
          <w:lang w:eastAsia="hu-HU"/>
        </w:rPr>
      </w:pPr>
      <w:r w:rsidRPr="0070791C">
        <w:rPr>
          <w:rFonts w:ascii="Times New Roman" w:hAnsi="Times New Roman"/>
          <w:b/>
          <w:szCs w:val="24"/>
          <w:lang w:eastAsia="hu-HU"/>
        </w:rPr>
        <w:t>6</w:t>
      </w:r>
      <w:r w:rsidR="002F5988" w:rsidRPr="0070791C">
        <w:rPr>
          <w:rFonts w:ascii="Times New Roman" w:hAnsi="Times New Roman"/>
          <w:b/>
          <w:szCs w:val="24"/>
          <w:lang w:eastAsia="hu-HU"/>
        </w:rPr>
        <w:t xml:space="preserve">. </w:t>
      </w:r>
      <w:r w:rsidR="001719D5" w:rsidRPr="0070791C">
        <w:rPr>
          <w:rFonts w:ascii="Times New Roman" w:hAnsi="Times New Roman"/>
          <w:b/>
          <w:szCs w:val="24"/>
          <w:lang w:eastAsia="hu-HU"/>
        </w:rPr>
        <w:tab/>
      </w:r>
      <w:r w:rsidR="008D33EC" w:rsidRPr="0070791C">
        <w:rPr>
          <w:rFonts w:ascii="Times New Roman" w:hAnsi="Times New Roman"/>
          <w:b/>
          <w:szCs w:val="24"/>
          <w:lang w:eastAsia="hu-HU"/>
        </w:rPr>
        <w:t>Meddelande från kommissionen till Europaparlamentet, rådet, Europeiska ekonomiska och sociala kommittén och Regionkommittén - Energifärdplan för 2050</w:t>
      </w:r>
    </w:p>
    <w:p w:rsidR="00E926CB" w:rsidRPr="0070791C" w:rsidRDefault="007D2940" w:rsidP="00E926CB">
      <w:pPr>
        <w:spacing w:line="240" w:lineRule="atLeast"/>
        <w:ind w:firstLine="567"/>
        <w:rPr>
          <w:i/>
        </w:rPr>
      </w:pPr>
      <w:r w:rsidRPr="0070791C">
        <w:rPr>
          <w:i/>
        </w:rPr>
        <w:t>-</w:t>
      </w:r>
      <w:r w:rsidR="00E926CB" w:rsidRPr="0070791C">
        <w:rPr>
          <w:i/>
          <w:color w:val="000000"/>
        </w:rPr>
        <w:t xml:space="preserve"> </w:t>
      </w:r>
      <w:r w:rsidR="00E926CB" w:rsidRPr="0070791C">
        <w:rPr>
          <w:i/>
        </w:rPr>
        <w:t xml:space="preserve">Antagande av </w:t>
      </w:r>
      <w:r w:rsidR="00EF3E80" w:rsidRPr="0070791C">
        <w:rPr>
          <w:i/>
        </w:rPr>
        <w:t xml:space="preserve"> råds</w:t>
      </w:r>
      <w:r w:rsidR="00E926CB" w:rsidRPr="0070791C">
        <w:rPr>
          <w:i/>
        </w:rPr>
        <w:t>slutsatser</w:t>
      </w:r>
    </w:p>
    <w:p w:rsidR="00BB4705" w:rsidRPr="0070791C" w:rsidRDefault="00BB4705" w:rsidP="00BB4705">
      <w:pPr>
        <w:pStyle w:val="EntEmet"/>
        <w:tabs>
          <w:tab w:val="clear" w:pos="284"/>
          <w:tab w:val="clear" w:pos="567"/>
          <w:tab w:val="clear" w:pos="851"/>
          <w:tab w:val="clear" w:pos="1134"/>
          <w:tab w:val="clear" w:pos="1418"/>
        </w:tabs>
        <w:rPr>
          <w:lang w:val="sv-SE"/>
        </w:rPr>
      </w:pPr>
      <w:r w:rsidRPr="0070791C">
        <w:rPr>
          <w:lang w:val="sv-SE"/>
        </w:rPr>
        <w:t>18597/11 ENER 408 ENV 973 POLGEN 232</w:t>
      </w:r>
    </w:p>
    <w:p w:rsidR="00EF3E80" w:rsidRPr="0070791C" w:rsidRDefault="00EF3E80" w:rsidP="00EF3E80">
      <w:pPr>
        <w:tabs>
          <w:tab w:val="left" w:pos="2835"/>
        </w:tabs>
        <w:spacing w:line="240" w:lineRule="atLeast"/>
        <w:rPr>
          <w:u w:val="single"/>
        </w:rPr>
      </w:pPr>
    </w:p>
    <w:p w:rsidR="00EF3E80" w:rsidRPr="0070791C" w:rsidRDefault="00EF3E80" w:rsidP="00EF3E80">
      <w:pPr>
        <w:tabs>
          <w:tab w:val="left" w:pos="2835"/>
        </w:tabs>
        <w:spacing w:line="240" w:lineRule="atLeast"/>
        <w:rPr>
          <w:u w:val="single"/>
        </w:rPr>
      </w:pPr>
      <w:r w:rsidRPr="0070791C">
        <w:rPr>
          <w:u w:val="single"/>
        </w:rPr>
        <w:t>Bakgrund</w:t>
      </w:r>
    </w:p>
    <w:p w:rsidR="005D72E3" w:rsidRPr="0070791C" w:rsidRDefault="005D72E3" w:rsidP="005D72E3">
      <w:pPr>
        <w:tabs>
          <w:tab w:val="left" w:pos="2835"/>
        </w:tabs>
        <w:spacing w:line="240" w:lineRule="atLeast"/>
      </w:pPr>
      <w:r w:rsidRPr="0070791C">
        <w:t xml:space="preserve">Under 2011 lade kommissionen fram tre färdplaner för klimat, transport och energiområdena. I mars 2011 presenterades ”Färdplan för ett konkurrenskraftigt utsläppssnålt samhälle </w:t>
      </w:r>
      <w:smartTag w:uri="urn:schemas-microsoft-com:office:smarttags" w:element="metricconverter">
        <w:smartTagPr>
          <w:attr w:name="ProductID" w:val="2050”"/>
        </w:smartTagPr>
        <w:r w:rsidRPr="0070791C">
          <w:t>2050”</w:t>
        </w:r>
      </w:smartTag>
      <w:r w:rsidRPr="0070791C">
        <w:t xml:space="preserve"> (Low Carbon Roadmap) samt en vitbok om transporter med 2050-perspektiv (Roadmap to a Single European Transport Area). Kommissionens meddelande ”Energy Roadmap </w:t>
      </w:r>
      <w:smartTag w:uri="urn:schemas-microsoft-com:office:smarttags" w:element="metricconverter">
        <w:smartTagPr>
          <w:attr w:name="ProductID" w:val="2050”"/>
        </w:smartTagPr>
        <w:r w:rsidRPr="0070791C">
          <w:t>2050”</w:t>
        </w:r>
      </w:smartTag>
      <w:r w:rsidRPr="0070791C">
        <w:t xml:space="preserve"> (KOM (2011) 885), som presenterades 15 december 2011, är den tredje färdplanen.</w:t>
      </w:r>
    </w:p>
    <w:p w:rsidR="005D72E3" w:rsidRPr="0070791C" w:rsidRDefault="005D72E3" w:rsidP="005D72E3">
      <w:pPr>
        <w:tabs>
          <w:tab w:val="left" w:pos="2835"/>
        </w:tabs>
        <w:spacing w:line="240" w:lineRule="atLeast"/>
      </w:pPr>
    </w:p>
    <w:p w:rsidR="005D72E3" w:rsidRPr="0070791C" w:rsidRDefault="005D72E3" w:rsidP="005D72E3">
      <w:pPr>
        <w:tabs>
          <w:tab w:val="left" w:pos="2835"/>
        </w:tabs>
        <w:spacing w:line="240" w:lineRule="atLeast"/>
      </w:pPr>
      <w:r w:rsidRPr="0070791C">
        <w:rPr>
          <w:b/>
          <w:i/>
        </w:rPr>
        <w:t>Kommissionens meddelande</w:t>
      </w:r>
      <w:r w:rsidRPr="0070791C">
        <w:t xml:space="preserve"> tar sin utgångspunkt i målet om 80-95 procent minskade utsläpp av växthusgaser jämfört med 1990. Färdplanen konstaterar att EU:s styrmedel och åtgärder för att nå målen inom klimat- och energiområdet till 2020 måste stärkas och ytterligare åtgärder måste till för att målet till 2050 ska kunna uppnås. Med dagens åtgärder når vi enligt kommissionen endast 40 procent minskning till 2050. I meddelandet presenterar kommissionen hur EU kan nå utsläppsmålet till 2050 samtidigt som försörjningstrygghet och konkurrenskraft säkras.</w:t>
      </w:r>
    </w:p>
    <w:p w:rsidR="005D72E3" w:rsidRPr="0070791C" w:rsidRDefault="005D72E3" w:rsidP="005D72E3">
      <w:pPr>
        <w:tabs>
          <w:tab w:val="left" w:pos="2835"/>
        </w:tabs>
        <w:spacing w:line="240" w:lineRule="atLeast"/>
      </w:pPr>
    </w:p>
    <w:p w:rsidR="005D72E3" w:rsidRPr="0070791C" w:rsidRDefault="005D72E3" w:rsidP="005D72E3">
      <w:pPr>
        <w:tabs>
          <w:tab w:val="left" w:pos="2835"/>
        </w:tabs>
        <w:spacing w:line="240" w:lineRule="atLeast"/>
      </w:pPr>
      <w:r w:rsidRPr="0070791C">
        <w:t xml:space="preserve">Det danska ordförandeskapet förbereder </w:t>
      </w:r>
      <w:r w:rsidRPr="0070791C">
        <w:rPr>
          <w:b/>
          <w:i/>
        </w:rPr>
        <w:t>förslag till rådsslutsatser</w:t>
      </w:r>
      <w:r w:rsidRPr="0070791C">
        <w:t xml:space="preserve"> med anledning av kommissionens meddelande, vilka avses beslutas på TTE-rådet 15 juni. Förslaget till slutsatser inleds med ett välkomnande av Energy Roadmap och ett konstaterande att denna kan utgöra vägledning i arbetet med ett långsiktigt stabilt ramverk. I ett avsnitt om </w:t>
      </w:r>
      <w:r w:rsidRPr="0070791C">
        <w:rPr>
          <w:b/>
          <w:i/>
        </w:rPr>
        <w:t>horisontella principer</w:t>
      </w:r>
      <w:r w:rsidRPr="0070791C">
        <w:t xml:space="preserve"> uppmärksammar man bl.a. det angelägna behovet av en omställning av energisektorn, uppmanar till arbete för att ta fram ett policyramverk till 2030, konstaterar färdplanens resultat att en omställning är tekniskt och ekonomiskt möjlig och uppmärksammar allmänhetens roll. Efter detta följer ett avsnitt kring ”</w:t>
      </w:r>
      <w:r w:rsidRPr="0070791C">
        <w:rPr>
          <w:b/>
          <w:i/>
        </w:rPr>
        <w:t>nyckelfaktorer</w:t>
      </w:r>
      <w:r w:rsidRPr="0070791C">
        <w:t xml:space="preserve">” där bl.a. vikten av både ekonomiska styrmedel och forskning och utveckling tydliggörs. I ett avsnitt om </w:t>
      </w:r>
      <w:r w:rsidRPr="0070791C">
        <w:rPr>
          <w:b/>
          <w:i/>
        </w:rPr>
        <w:t>inre marknaden</w:t>
      </w:r>
      <w:r w:rsidRPr="0070791C">
        <w:t xml:space="preserve"> lyfter man vikten av en integrerad energimarknad och utbyggnaden av energiinfrastruktur. Den </w:t>
      </w:r>
      <w:r w:rsidRPr="0070791C">
        <w:rPr>
          <w:b/>
          <w:i/>
        </w:rPr>
        <w:t>externa dimensionen</w:t>
      </w:r>
      <w:r w:rsidRPr="0070791C">
        <w:t xml:space="preserve"> tas upp och man påminner om tidigare slutsatser om att stärka den externa dimensionen och fördelarna med en koordinerad ansats för att möta globala utmaningar och klimatförändringar. Förslaget avslutas med ett avsnitt om </w:t>
      </w:r>
      <w:r w:rsidRPr="0070791C">
        <w:rPr>
          <w:b/>
          <w:i/>
        </w:rPr>
        <w:t>uppföljning</w:t>
      </w:r>
      <w:r w:rsidRPr="0070791C">
        <w:t xml:space="preserve"> där man även inbjuder kommissionen att ta fram ett förslag till ett ramverk.</w:t>
      </w:r>
    </w:p>
    <w:p w:rsidR="005D72E3" w:rsidRPr="0070791C" w:rsidRDefault="005D72E3" w:rsidP="005D72E3">
      <w:pPr>
        <w:tabs>
          <w:tab w:val="left" w:pos="2835"/>
        </w:tabs>
        <w:spacing w:line="240" w:lineRule="atLeast"/>
      </w:pPr>
    </w:p>
    <w:p w:rsidR="005D72E3" w:rsidRPr="0070791C" w:rsidRDefault="005D72E3" w:rsidP="005D72E3">
      <w:pPr>
        <w:tabs>
          <w:tab w:val="left" w:pos="2835"/>
        </w:tabs>
        <w:spacing w:line="240" w:lineRule="atLeast"/>
      </w:pPr>
      <w:r w:rsidRPr="0070791C">
        <w:t>Ett Fakta-PM i frågan presenterades i januari (2011/12:FPM95).</w:t>
      </w:r>
    </w:p>
    <w:p w:rsidR="005D72E3" w:rsidRPr="0070791C" w:rsidRDefault="005D72E3" w:rsidP="005D72E3">
      <w:pPr>
        <w:tabs>
          <w:tab w:val="left" w:pos="2835"/>
        </w:tabs>
        <w:spacing w:line="240" w:lineRule="atLeast"/>
      </w:pPr>
      <w:r w:rsidRPr="0070791C">
        <w:cr/>
        <w:t>Energy Roadmap 2050 har inte behandlats vid samråd med EU-nämnden tidigare.</w:t>
      </w:r>
    </w:p>
    <w:p w:rsidR="005D72E3" w:rsidRPr="0070791C" w:rsidRDefault="005D72E3" w:rsidP="005D72E3">
      <w:pPr>
        <w:tabs>
          <w:tab w:val="left" w:pos="2835"/>
        </w:tabs>
        <w:spacing w:line="240" w:lineRule="atLeast"/>
        <w:rPr>
          <w:u w:val="single"/>
        </w:rPr>
      </w:pPr>
    </w:p>
    <w:p w:rsidR="005D72E3" w:rsidRPr="0070791C" w:rsidRDefault="005D72E3" w:rsidP="005D72E3">
      <w:pPr>
        <w:tabs>
          <w:tab w:val="left" w:pos="2835"/>
        </w:tabs>
        <w:spacing w:line="240" w:lineRule="atLeast"/>
        <w:rPr>
          <w:u w:val="single"/>
        </w:rPr>
      </w:pPr>
      <w:r w:rsidRPr="0070791C">
        <w:rPr>
          <w:u w:val="single"/>
        </w:rPr>
        <w:t>Förslag till svensk ståndpunkt</w:t>
      </w:r>
    </w:p>
    <w:p w:rsidR="005D72E3" w:rsidRPr="0070791C" w:rsidRDefault="005D72E3" w:rsidP="005D72E3">
      <w:pPr>
        <w:tabs>
          <w:tab w:val="left" w:pos="2835"/>
        </w:tabs>
        <w:spacing w:line="240" w:lineRule="atLeast"/>
      </w:pPr>
      <w:r w:rsidRPr="0070791C">
        <w:t xml:space="preserve">Regeringen välkomnar </w:t>
      </w:r>
      <w:r w:rsidR="004916B3" w:rsidRPr="0070791C">
        <w:t xml:space="preserve">det nuvarande </w:t>
      </w:r>
      <w:r w:rsidRPr="0070791C">
        <w:t xml:space="preserve">utkastet till slutsatser som visar på en balanserad avvägning mellan olika länders förutsättningar och synpunkter. Regeringen kan stödja </w:t>
      </w:r>
      <w:r w:rsidR="00EE150A" w:rsidRPr="0070791C">
        <w:t xml:space="preserve">det nuvarande </w:t>
      </w:r>
      <w:r w:rsidRPr="0070791C">
        <w:t>utkastet till slutsatser.</w:t>
      </w:r>
    </w:p>
    <w:p w:rsidR="005D72E3" w:rsidRPr="0070791C" w:rsidRDefault="005D72E3" w:rsidP="005D72E3">
      <w:pPr>
        <w:tabs>
          <w:tab w:val="left" w:pos="2835"/>
        </w:tabs>
        <w:spacing w:line="240" w:lineRule="atLeast"/>
      </w:pPr>
    </w:p>
    <w:p w:rsidR="005D72E3" w:rsidRPr="0070791C" w:rsidRDefault="005D72E3" w:rsidP="005D72E3">
      <w:pPr>
        <w:tabs>
          <w:tab w:val="left" w:pos="2835"/>
        </w:tabs>
        <w:spacing w:line="240" w:lineRule="atLeast"/>
      </w:pPr>
      <w:r w:rsidRPr="0070791C">
        <w:t>Regeringen har under utformningen av slutsatserna verkat för bl.a.</w:t>
      </w:r>
    </w:p>
    <w:p w:rsidR="005D72E3" w:rsidRPr="0070791C" w:rsidRDefault="005D72E3" w:rsidP="005D72E3">
      <w:pPr>
        <w:numPr>
          <w:ilvl w:val="0"/>
          <w:numId w:val="3"/>
        </w:numPr>
        <w:tabs>
          <w:tab w:val="left" w:pos="426"/>
          <w:tab w:val="left" w:pos="2835"/>
        </w:tabs>
        <w:spacing w:line="240" w:lineRule="atLeast"/>
        <w:ind w:left="426" w:hanging="426"/>
      </w:pPr>
      <w:r w:rsidRPr="0070791C">
        <w:t>att omställningen lyfts fram som ekonomiskt och tekniskt möjlig.</w:t>
      </w:r>
    </w:p>
    <w:p w:rsidR="005D72E3" w:rsidRPr="0070791C" w:rsidRDefault="005D72E3" w:rsidP="005D72E3">
      <w:pPr>
        <w:numPr>
          <w:ilvl w:val="0"/>
          <w:numId w:val="3"/>
        </w:numPr>
        <w:tabs>
          <w:tab w:val="left" w:pos="426"/>
          <w:tab w:val="left" w:pos="2835"/>
        </w:tabs>
        <w:spacing w:line="240" w:lineRule="atLeast"/>
        <w:ind w:left="426" w:hanging="426"/>
      </w:pPr>
      <w:r w:rsidRPr="0070791C">
        <w:t>att den positiva sidan av en omställning lyfts fram, t.ex. möjlighet till tillväxt med anledning av den stora globala efterfrågan på energieffektiva produkter och tekniker för förnybar energi.</w:t>
      </w:r>
    </w:p>
    <w:p w:rsidR="005D72E3" w:rsidRPr="0070791C" w:rsidRDefault="005D72E3" w:rsidP="005D72E3">
      <w:pPr>
        <w:numPr>
          <w:ilvl w:val="0"/>
          <w:numId w:val="3"/>
        </w:numPr>
        <w:tabs>
          <w:tab w:val="left" w:pos="426"/>
          <w:tab w:val="left" w:pos="2835"/>
        </w:tabs>
        <w:spacing w:line="240" w:lineRule="atLeast"/>
        <w:ind w:left="426" w:hanging="426"/>
      </w:pPr>
      <w:r w:rsidRPr="0070791C">
        <w:t>att vikten av marknadsbaserade styrmedel och ett pris på koldioxid lyfts fram.</w:t>
      </w:r>
    </w:p>
    <w:p w:rsidR="005D72E3" w:rsidRPr="0070791C" w:rsidRDefault="005D72E3" w:rsidP="005D72E3">
      <w:pPr>
        <w:numPr>
          <w:ilvl w:val="0"/>
          <w:numId w:val="3"/>
        </w:numPr>
        <w:tabs>
          <w:tab w:val="left" w:pos="426"/>
          <w:tab w:val="left" w:pos="2835"/>
        </w:tabs>
        <w:spacing w:line="240" w:lineRule="atLeast"/>
        <w:ind w:left="426" w:hanging="426"/>
      </w:pPr>
      <w:r w:rsidRPr="0070791C">
        <w:t>att forskning och utveckling nämns som viktigt utöver de ekonomiska styrmedlen, inklusive vikten av finansiering av SET-planen.</w:t>
      </w:r>
    </w:p>
    <w:p w:rsidR="005D72E3" w:rsidRPr="0070791C" w:rsidRDefault="005D72E3" w:rsidP="005D72E3">
      <w:pPr>
        <w:numPr>
          <w:ilvl w:val="0"/>
          <w:numId w:val="3"/>
        </w:numPr>
        <w:tabs>
          <w:tab w:val="left" w:pos="426"/>
          <w:tab w:val="left" w:pos="2835"/>
        </w:tabs>
        <w:spacing w:line="240" w:lineRule="atLeast"/>
        <w:ind w:left="426" w:hanging="426"/>
      </w:pPr>
      <w:r w:rsidRPr="0070791C">
        <w:t>att behovet av att ett arbete med förslag till ett nytt ramverk för energipolitiken efter år 2020 påbörjas skyndsamt påpekas.</w:t>
      </w:r>
    </w:p>
    <w:p w:rsidR="00FD4890" w:rsidRPr="0070791C" w:rsidRDefault="00FD4890" w:rsidP="00FD4890">
      <w:pPr>
        <w:tabs>
          <w:tab w:val="left" w:pos="2835"/>
        </w:tabs>
        <w:spacing w:line="240" w:lineRule="atLeast"/>
      </w:pPr>
    </w:p>
    <w:p w:rsidR="00316130" w:rsidRPr="0070791C" w:rsidRDefault="00316130" w:rsidP="007D2940">
      <w:pPr>
        <w:rPr>
          <w:u w:val="single"/>
        </w:rPr>
      </w:pPr>
    </w:p>
    <w:p w:rsidR="007D2940" w:rsidRPr="0070791C" w:rsidRDefault="007D2940" w:rsidP="00B17ED9">
      <w:pPr>
        <w:spacing w:line="240" w:lineRule="auto"/>
        <w:ind w:left="567" w:hanging="567"/>
        <w:rPr>
          <w:iCs/>
          <w:color w:val="000000"/>
        </w:rPr>
      </w:pPr>
    </w:p>
    <w:p w:rsidR="00DD564D" w:rsidRPr="0070791C" w:rsidRDefault="00316130" w:rsidP="00DD564D">
      <w:pPr>
        <w:widowControl w:val="0"/>
        <w:overflowPunct/>
        <w:autoSpaceDE/>
        <w:autoSpaceDN/>
        <w:adjustRightInd/>
        <w:spacing w:line="240" w:lineRule="auto"/>
        <w:textAlignment w:val="auto"/>
        <w:rPr>
          <w:rFonts w:ascii="Times New Roman" w:hAnsi="Times New Roman"/>
          <w:b/>
          <w:highlight w:val="yellow"/>
          <w:lang w:eastAsia="fr-BE"/>
        </w:rPr>
      </w:pPr>
      <w:r w:rsidRPr="0070791C">
        <w:rPr>
          <w:rFonts w:ascii="Times New Roman" w:hAnsi="Times New Roman"/>
          <w:b/>
          <w:szCs w:val="24"/>
          <w:lang w:eastAsia="hu-HU"/>
        </w:rPr>
        <w:t>7</w:t>
      </w:r>
      <w:r w:rsidR="00DD564D" w:rsidRPr="0070791C">
        <w:rPr>
          <w:rFonts w:ascii="Times New Roman" w:hAnsi="Times New Roman"/>
          <w:b/>
          <w:szCs w:val="24"/>
          <w:lang w:eastAsia="hu-HU"/>
        </w:rPr>
        <w:t>.</w:t>
      </w:r>
      <w:r w:rsidR="00DD564D" w:rsidRPr="0070791C">
        <w:rPr>
          <w:rFonts w:ascii="Times New Roman" w:hAnsi="Times New Roman"/>
          <w:b/>
          <w:lang w:eastAsia="fr-BE"/>
        </w:rPr>
        <w:t xml:space="preserve"> </w:t>
      </w:r>
      <w:r w:rsidR="00C01C4A" w:rsidRPr="0070791C">
        <w:rPr>
          <w:rFonts w:ascii="Times New Roman" w:hAnsi="Times New Roman"/>
          <w:b/>
          <w:lang w:eastAsia="fr-BE"/>
        </w:rPr>
        <w:t xml:space="preserve">Meddelande från Kommissionen om en strategi för förnybar energy </w:t>
      </w:r>
    </w:p>
    <w:p w:rsidR="00DD564D" w:rsidRPr="0070791C" w:rsidRDefault="00C01C4A" w:rsidP="00C01C4A">
      <w:pPr>
        <w:widowControl w:val="0"/>
        <w:overflowPunct/>
        <w:autoSpaceDE/>
        <w:autoSpaceDN/>
        <w:adjustRightInd/>
        <w:spacing w:line="240" w:lineRule="auto"/>
        <w:textAlignment w:val="auto"/>
        <w:rPr>
          <w:rFonts w:ascii="Times New Roman" w:hAnsi="Times New Roman"/>
          <w:i/>
          <w:lang w:eastAsia="fr-BE"/>
        </w:rPr>
      </w:pPr>
      <w:r w:rsidRPr="0070791C">
        <w:rPr>
          <w:rFonts w:ascii="Times New Roman" w:hAnsi="Times New Roman"/>
          <w:i/>
          <w:lang w:eastAsia="fr-BE"/>
        </w:rPr>
        <w:t xml:space="preserve">- </w:t>
      </w:r>
      <w:r w:rsidR="00A03C91" w:rsidRPr="0070791C">
        <w:rPr>
          <w:rFonts w:ascii="Times New Roman" w:hAnsi="Times New Roman"/>
          <w:i/>
          <w:lang w:eastAsia="fr-BE"/>
        </w:rPr>
        <w:t>Presentation av kommissionen</w:t>
      </w:r>
    </w:p>
    <w:p w:rsidR="00A03C91" w:rsidRPr="0070791C" w:rsidRDefault="00A03C91" w:rsidP="00A03C91">
      <w:pPr>
        <w:pStyle w:val="RKnormal"/>
        <w:rPr>
          <w:u w:val="single"/>
        </w:rPr>
      </w:pPr>
    </w:p>
    <w:p w:rsidR="00A03C91" w:rsidRPr="0070791C" w:rsidRDefault="00A03C91" w:rsidP="00A03C91">
      <w:pPr>
        <w:pStyle w:val="RKnormal"/>
        <w:rPr>
          <w:u w:val="single"/>
        </w:rPr>
      </w:pPr>
      <w:r w:rsidRPr="0070791C">
        <w:rPr>
          <w:u w:val="single"/>
        </w:rPr>
        <w:t>Bakgrund</w:t>
      </w:r>
    </w:p>
    <w:p w:rsidR="00A03C91" w:rsidRPr="0070791C" w:rsidRDefault="00A03C91" w:rsidP="00A03C91">
      <w:pPr>
        <w:pStyle w:val="RKnormal"/>
      </w:pPr>
      <w:r w:rsidRPr="0070791C">
        <w:t xml:space="preserve">Under 2011 lade kommissionen fram tre färdplaner för klimat, transport och energiområdena. Kommissionens meddelande ”Energy Roadmap </w:t>
      </w:r>
      <w:smartTag w:uri="urn:schemas-microsoft-com:office:smarttags" w:element="metricconverter">
        <w:smartTagPr>
          <w:attr w:name="ProductID" w:val="2050”"/>
        </w:smartTagPr>
        <w:r w:rsidRPr="0070791C">
          <w:t>2050”</w:t>
        </w:r>
      </w:smartTag>
      <w:r w:rsidRPr="0070791C">
        <w:t xml:space="preserve"> (KOM (2011) 885) presenterades 15 december 2011.</w:t>
      </w:r>
    </w:p>
    <w:p w:rsidR="00A03C91" w:rsidRPr="0070791C" w:rsidRDefault="00A03C91" w:rsidP="00A03C91">
      <w:pPr>
        <w:pStyle w:val="RKnormal"/>
      </w:pPr>
    </w:p>
    <w:p w:rsidR="00A03C91" w:rsidRPr="0070791C" w:rsidRDefault="00A03C91" w:rsidP="00A03C91">
      <w:pPr>
        <w:pStyle w:val="RKnormal"/>
      </w:pPr>
      <w:r w:rsidRPr="0070791C">
        <w:t xml:space="preserve">Som första uppföljning av Energy Roadmap 2050 kommer kommissionen att presentera ett meddelande om en strategi för förnybar energi efter 2020. </w:t>
      </w:r>
    </w:p>
    <w:p w:rsidR="00C513E0" w:rsidRPr="0070791C" w:rsidRDefault="00C513E0" w:rsidP="00A03C91">
      <w:pPr>
        <w:pStyle w:val="RKnormal"/>
      </w:pPr>
    </w:p>
    <w:p w:rsidR="00A03C91" w:rsidRPr="0070791C" w:rsidRDefault="00A03C91" w:rsidP="00A03C91">
      <w:pPr>
        <w:pStyle w:val="RKnormal"/>
      </w:pPr>
      <w:r w:rsidRPr="0070791C">
        <w:t>Tillsammans med andra planerade meddelanden om bl.a. den inre marknaden och CCS är tanken att de tillsammans ska föra diskussionerna vidare för att nå målsättningen om 80-95% minskade utsläpp av växthusgaser till år 2050.</w:t>
      </w:r>
    </w:p>
    <w:p w:rsidR="00A03C91" w:rsidRPr="0070791C" w:rsidRDefault="00A03C91" w:rsidP="00A03C91"/>
    <w:p w:rsidR="00A03C91" w:rsidRPr="0070791C" w:rsidRDefault="00A03C91" w:rsidP="00A03C91">
      <w:r w:rsidRPr="0070791C">
        <w:t>Meddelandet förväntas inte innehålla några lag- eller policyförslag utan förväntas vara av beskrivande och analyserande karaktär.</w:t>
      </w:r>
    </w:p>
    <w:p w:rsidR="00A03C91" w:rsidRPr="0070791C" w:rsidRDefault="00A03C91" w:rsidP="00A03C91">
      <w:pPr>
        <w:pStyle w:val="RKnormal"/>
      </w:pPr>
    </w:p>
    <w:p w:rsidR="00A03C91" w:rsidRPr="0070791C" w:rsidRDefault="00A03C91" w:rsidP="00A03C91">
      <w:pPr>
        <w:pStyle w:val="RKnormal"/>
      </w:pPr>
      <w:r w:rsidRPr="0070791C">
        <w:t>Meddelandet är aviserat att antas av kommissionen den 6 juni. Vid TTE-rådet den 15 juni avser kommissionen att göra en första presentation av meddelandet.</w:t>
      </w:r>
    </w:p>
    <w:p w:rsidR="00A03C91" w:rsidRPr="0070791C" w:rsidRDefault="00A03C91" w:rsidP="00A03C91">
      <w:pPr>
        <w:pStyle w:val="RKnormal"/>
      </w:pPr>
    </w:p>
    <w:p w:rsidR="00A03C91" w:rsidRPr="0070791C" w:rsidRDefault="00A03C91" w:rsidP="00A03C91">
      <w:pPr>
        <w:pStyle w:val="RKnormal"/>
      </w:pPr>
      <w:r w:rsidRPr="0070791C">
        <w:t>Frågan har inte behandlats vid samråd med EU-nämnden tidigare.</w:t>
      </w:r>
    </w:p>
    <w:p w:rsidR="00A03C91" w:rsidRPr="0070791C" w:rsidRDefault="00A03C91" w:rsidP="00A03C91">
      <w:pPr>
        <w:pStyle w:val="RKnormal"/>
        <w:rPr>
          <w:u w:val="single"/>
        </w:rPr>
      </w:pPr>
    </w:p>
    <w:p w:rsidR="00A03C91" w:rsidRPr="0070791C" w:rsidRDefault="00A03C91" w:rsidP="00A03C91">
      <w:pPr>
        <w:pStyle w:val="RKnormal"/>
        <w:rPr>
          <w:u w:val="single"/>
        </w:rPr>
      </w:pPr>
      <w:r w:rsidRPr="0070791C">
        <w:rPr>
          <w:u w:val="single"/>
        </w:rPr>
        <w:t>Förslag till svensk ståndpunkt</w:t>
      </w:r>
    </w:p>
    <w:p w:rsidR="00A03C91" w:rsidRPr="0070791C" w:rsidRDefault="00A03C91" w:rsidP="00A03C91">
      <w:pPr>
        <w:pStyle w:val="RKnormal"/>
      </w:pPr>
      <w:r w:rsidRPr="0070791C">
        <w:t xml:space="preserve">Regeringen ska ta del av presentationen. </w:t>
      </w:r>
    </w:p>
    <w:p w:rsidR="00C01C4A" w:rsidRPr="0070791C" w:rsidRDefault="00C01C4A" w:rsidP="00CD796D">
      <w:pPr>
        <w:spacing w:line="240" w:lineRule="auto"/>
        <w:rPr>
          <w:iCs/>
          <w:color w:val="000000"/>
        </w:rPr>
      </w:pPr>
    </w:p>
    <w:p w:rsidR="00A03C91" w:rsidRPr="0070791C" w:rsidRDefault="00A03C91" w:rsidP="00CD796D">
      <w:pPr>
        <w:spacing w:line="240" w:lineRule="auto"/>
        <w:rPr>
          <w:iCs/>
          <w:color w:val="000000"/>
        </w:rPr>
      </w:pPr>
    </w:p>
    <w:p w:rsidR="00316130" w:rsidRPr="0070791C" w:rsidRDefault="00316130" w:rsidP="00316130">
      <w:pPr>
        <w:spacing w:line="240" w:lineRule="auto"/>
        <w:ind w:left="567" w:hanging="567"/>
        <w:rPr>
          <w:b/>
          <w:color w:val="000000"/>
          <w:szCs w:val="24"/>
        </w:rPr>
      </w:pPr>
      <w:r w:rsidRPr="0070791C">
        <w:rPr>
          <w:b/>
          <w:color w:val="000000"/>
          <w:szCs w:val="24"/>
        </w:rPr>
        <w:t>8.</w:t>
      </w:r>
      <w:r w:rsidRPr="0070791C">
        <w:rPr>
          <w:b/>
          <w:color w:val="000000"/>
          <w:szCs w:val="24"/>
        </w:rPr>
        <w:tab/>
        <w:t>Övriga frågor</w:t>
      </w:r>
    </w:p>
    <w:p w:rsidR="00316130" w:rsidRPr="0070791C" w:rsidRDefault="00316130" w:rsidP="00316130">
      <w:pPr>
        <w:spacing w:line="240" w:lineRule="auto"/>
        <w:ind w:left="567" w:hanging="567"/>
        <w:rPr>
          <w:b/>
          <w:color w:val="000000"/>
          <w:szCs w:val="24"/>
        </w:rPr>
      </w:pPr>
    </w:p>
    <w:p w:rsidR="00316130" w:rsidRPr="0070791C" w:rsidRDefault="00316130" w:rsidP="00316130">
      <w:pPr>
        <w:pStyle w:val="Normalwebb"/>
        <w:ind w:left="567" w:hanging="567"/>
        <w:rPr>
          <w:b/>
          <w:highlight w:val="yellow"/>
          <w:lang w:val="sv-SE"/>
        </w:rPr>
      </w:pPr>
      <w:r w:rsidRPr="0070791C">
        <w:rPr>
          <w:b/>
          <w:lang w:val="sv-SE"/>
        </w:rPr>
        <w:t xml:space="preserve"> (a)</w:t>
      </w:r>
      <w:r w:rsidR="00797095" w:rsidRPr="0070791C">
        <w:rPr>
          <w:b/>
          <w:lang w:val="sv-SE"/>
        </w:rPr>
        <w:tab/>
        <w:t xml:space="preserve"> </w:t>
      </w:r>
      <w:r w:rsidR="001719D5" w:rsidRPr="0070791C">
        <w:rPr>
          <w:b/>
          <w:lang w:val="sv-SE"/>
        </w:rPr>
        <w:t>Förslag till Europaparlamentets och rådets direktiv om energieffektivitet och om upphävande av direktiven 2004/8/EG och 2006/32/EG</w:t>
      </w:r>
    </w:p>
    <w:p w:rsidR="001719D5" w:rsidRPr="0070791C" w:rsidRDefault="001719D5" w:rsidP="001719D5">
      <w:pPr>
        <w:pStyle w:val="RKnormal"/>
        <w:tabs>
          <w:tab w:val="clear" w:pos="2835"/>
        </w:tabs>
        <w:ind w:firstLine="567"/>
        <w:rPr>
          <w:i/>
        </w:rPr>
      </w:pPr>
      <w:r w:rsidRPr="0070791C">
        <w:rPr>
          <w:bCs/>
          <w:i/>
        </w:rPr>
        <w:t xml:space="preserve">Energieffektiviseringsdirektivet: </w:t>
      </w:r>
      <w:r w:rsidRPr="0070791C">
        <w:rPr>
          <w:i/>
        </w:rPr>
        <w:t>KOM (2011) 370 slutlig</w:t>
      </w:r>
    </w:p>
    <w:p w:rsidR="001719D5" w:rsidRPr="0070791C" w:rsidRDefault="001719D5" w:rsidP="00E57605">
      <w:pPr>
        <w:pStyle w:val="RKnormal"/>
        <w:numPr>
          <w:ilvl w:val="0"/>
          <w:numId w:val="7"/>
        </w:numPr>
        <w:tabs>
          <w:tab w:val="clear" w:pos="2835"/>
        </w:tabs>
        <w:rPr>
          <w:i/>
        </w:rPr>
      </w:pPr>
      <w:r w:rsidRPr="0070791C">
        <w:rPr>
          <w:i/>
        </w:rPr>
        <w:t>Information från ordförandeskapet.</w:t>
      </w:r>
    </w:p>
    <w:p w:rsidR="001719D5" w:rsidRPr="0070791C" w:rsidRDefault="001719D5" w:rsidP="001719D5">
      <w:pPr>
        <w:pStyle w:val="RKnormal"/>
        <w:rPr>
          <w:bCs/>
        </w:rPr>
      </w:pPr>
    </w:p>
    <w:p w:rsidR="001719D5" w:rsidRPr="0070791C" w:rsidRDefault="001719D5" w:rsidP="001719D5">
      <w:pPr>
        <w:pStyle w:val="RKnormal"/>
        <w:rPr>
          <w:u w:val="single"/>
        </w:rPr>
      </w:pPr>
      <w:r w:rsidRPr="0070791C">
        <w:rPr>
          <w:u w:val="single"/>
        </w:rPr>
        <w:t>Bakgrund</w:t>
      </w:r>
    </w:p>
    <w:p w:rsidR="001719D5" w:rsidRPr="0070791C" w:rsidRDefault="001719D5" w:rsidP="001719D5">
      <w:pPr>
        <w:tabs>
          <w:tab w:val="left" w:pos="2835"/>
        </w:tabs>
        <w:overflowPunct/>
        <w:spacing w:line="240" w:lineRule="auto"/>
        <w:textAlignment w:val="auto"/>
        <w:rPr>
          <w:rFonts w:cs="OrigGarmnd BT"/>
          <w:color w:val="000000"/>
          <w:szCs w:val="24"/>
          <w:lang w:eastAsia="sv-SE"/>
        </w:rPr>
      </w:pPr>
      <w:r w:rsidRPr="0070791C">
        <w:rPr>
          <w:rFonts w:cs="OrigGarmnd BT"/>
          <w:color w:val="000000"/>
          <w:szCs w:val="24"/>
          <w:lang w:eastAsia="sv-SE"/>
        </w:rPr>
        <w:t xml:space="preserve">Den 22 juni 2011 presenterade KOM ett förslag till ett nytt direktiv om energieffektivitet (KOM(2011)370 slutlig). Det nya direktivet föreslås ersätta energitjänstedirektivet (2006/32/EG) och kraftvärmedirektivet (2004/8/EG). Därtill föreslås att artiklarna 9.1 och 9.2 i energimärkningsdirektivet (2010/30/EU) ska upphöra att gälla. Målet är att energianvändningen i EU ska minska med 20 procent till år 2020. </w:t>
      </w:r>
    </w:p>
    <w:p w:rsidR="001719D5" w:rsidRPr="0070791C" w:rsidRDefault="001719D5" w:rsidP="001719D5">
      <w:pPr>
        <w:overflowPunct/>
        <w:spacing w:line="240" w:lineRule="auto"/>
        <w:textAlignment w:val="auto"/>
        <w:rPr>
          <w:rFonts w:cs="OrigGarmnd BT"/>
          <w:color w:val="000000"/>
          <w:szCs w:val="24"/>
          <w:lang w:eastAsia="sv-SE"/>
        </w:rPr>
      </w:pPr>
    </w:p>
    <w:p w:rsidR="001719D5" w:rsidRPr="0070791C" w:rsidRDefault="001719D5" w:rsidP="001719D5">
      <w:pPr>
        <w:tabs>
          <w:tab w:val="left" w:pos="2835"/>
        </w:tabs>
        <w:overflowPunct/>
        <w:spacing w:line="240" w:lineRule="auto"/>
        <w:textAlignment w:val="auto"/>
        <w:rPr>
          <w:lang w:eastAsia="sv-SE"/>
        </w:rPr>
      </w:pPr>
      <w:r w:rsidRPr="0070791C">
        <w:rPr>
          <w:rFonts w:cs="OrigGarmnd BT"/>
          <w:color w:val="000000"/>
          <w:szCs w:val="24"/>
          <w:lang w:eastAsia="sv-SE"/>
        </w:rPr>
        <w:t xml:space="preserve">Förslaget till direktiv har förhandlats intensivt under de polska och danska ordförandeskapen. Vid TTE-rådet i februari 2012 presenterade det danska ordförandeskapet en lägesrapport. De nyckelfrågor i förhandlingarna som då identifierats var mål för energieffektivisering, offentliga sektorns roll, kvotpliktssystem, energikartläggningar, individuell mätning samt främjande av kraftvärme och fjärrvärme/kyla. </w:t>
      </w:r>
    </w:p>
    <w:p w:rsidR="001719D5" w:rsidRPr="0070791C" w:rsidRDefault="001719D5" w:rsidP="001719D5">
      <w:pPr>
        <w:tabs>
          <w:tab w:val="left" w:pos="2835"/>
        </w:tabs>
        <w:overflowPunct/>
        <w:spacing w:line="240" w:lineRule="auto"/>
        <w:textAlignment w:val="auto"/>
        <w:rPr>
          <w:rFonts w:cs="OrigGarmnd BT"/>
          <w:color w:val="000000"/>
          <w:szCs w:val="24"/>
          <w:lang w:eastAsia="sv-SE"/>
        </w:rPr>
      </w:pPr>
    </w:p>
    <w:p w:rsidR="001719D5" w:rsidRPr="0070791C" w:rsidRDefault="001719D5" w:rsidP="001719D5">
      <w:pPr>
        <w:tabs>
          <w:tab w:val="left" w:pos="2835"/>
        </w:tabs>
        <w:overflowPunct/>
        <w:spacing w:line="240" w:lineRule="auto"/>
        <w:textAlignment w:val="auto"/>
        <w:rPr>
          <w:lang w:eastAsia="sv-SE"/>
        </w:rPr>
      </w:pPr>
      <w:r w:rsidRPr="0070791C">
        <w:rPr>
          <w:lang w:eastAsia="sv-SE"/>
        </w:rPr>
        <w:t>Det danska ordförandeskapet prioriterar frågan högt och har som mål att nå en överenskommelse med Europaparlamentet innan sommaren. Efter att Europaparlamentet röstade om sina ändringsförslag den 28 februari har en rad informella så kallade trilogmöten ägt rum i syfte att nå en överenskommelse. På rådsmötet förväntas ordförandeskapet informera om utfallet av dessa möten och huruvida en överenskommelse nåtts.</w:t>
      </w:r>
    </w:p>
    <w:p w:rsidR="001719D5" w:rsidRPr="0070791C" w:rsidRDefault="001719D5" w:rsidP="001719D5">
      <w:pPr>
        <w:pStyle w:val="RKnormal"/>
      </w:pPr>
    </w:p>
    <w:p w:rsidR="001719D5" w:rsidRPr="0070791C" w:rsidRDefault="001719D5" w:rsidP="001719D5">
      <w:pPr>
        <w:pStyle w:val="RKnormal"/>
        <w:rPr>
          <w:bCs/>
          <w:u w:val="single"/>
        </w:rPr>
      </w:pPr>
      <w:r w:rsidRPr="0070791C">
        <w:rPr>
          <w:bCs/>
          <w:u w:val="single"/>
        </w:rPr>
        <w:t>Förslag till svensk ståndpunkt</w:t>
      </w:r>
    </w:p>
    <w:p w:rsidR="001719D5" w:rsidRPr="0070791C" w:rsidRDefault="001719D5" w:rsidP="001719D5">
      <w:pPr>
        <w:pStyle w:val="RKnormal"/>
        <w:rPr>
          <w:bCs/>
        </w:rPr>
      </w:pPr>
      <w:r w:rsidRPr="0070791C">
        <w:rPr>
          <w:bCs/>
        </w:rPr>
        <w:t xml:space="preserve">Regeringen ska ta del av informationen från ordförandeskapet. </w:t>
      </w:r>
    </w:p>
    <w:p w:rsidR="00316130" w:rsidRPr="0070791C" w:rsidRDefault="00316130" w:rsidP="00316130"/>
    <w:p w:rsidR="00D975D7" w:rsidRPr="0070791C" w:rsidRDefault="00D975D7" w:rsidP="00316130">
      <w:pPr>
        <w:rPr>
          <w:u w:val="single"/>
        </w:rPr>
      </w:pPr>
    </w:p>
    <w:p w:rsidR="00797095" w:rsidRPr="0070791C" w:rsidRDefault="00797095" w:rsidP="00316130">
      <w:pPr>
        <w:spacing w:line="240" w:lineRule="auto"/>
        <w:ind w:left="1134" w:hanging="567"/>
        <w:jc w:val="both"/>
        <w:rPr>
          <w:rFonts w:cs="OrigGarmnd BT"/>
          <w:color w:val="000000"/>
          <w:highlight w:val="yellow"/>
        </w:rPr>
      </w:pPr>
    </w:p>
    <w:p w:rsidR="00316130" w:rsidRPr="0070791C" w:rsidRDefault="00316130" w:rsidP="00DE39C2">
      <w:pPr>
        <w:overflowPunct/>
        <w:spacing w:line="240" w:lineRule="auto"/>
        <w:textAlignment w:val="auto"/>
        <w:outlineLvl w:val="0"/>
        <w:rPr>
          <w:b/>
        </w:rPr>
      </w:pPr>
      <w:r w:rsidRPr="0070791C">
        <w:rPr>
          <w:b/>
        </w:rPr>
        <w:t>“Energy Star”</w:t>
      </w:r>
    </w:p>
    <w:p w:rsidR="00BB4705" w:rsidRPr="0070791C" w:rsidRDefault="00BB4705" w:rsidP="00BB4705">
      <w:pPr>
        <w:pStyle w:val="RKnormal"/>
        <w:rPr>
          <w:b/>
        </w:rPr>
      </w:pPr>
      <w:r w:rsidRPr="0070791C">
        <w:rPr>
          <w:b/>
        </w:rPr>
        <w:t>i) Förslag till förordning om ändring i förordning 106/2008 om program för energieffektivitetsmärkning av kontorsutrustning, Energy Star.</w:t>
      </w:r>
    </w:p>
    <w:p w:rsidR="00316130" w:rsidRPr="0070791C" w:rsidRDefault="00316130" w:rsidP="00316130">
      <w:pPr>
        <w:rPr>
          <w:u w:val="single"/>
        </w:rPr>
      </w:pPr>
    </w:p>
    <w:p w:rsidR="00316130" w:rsidRPr="0070791C" w:rsidRDefault="00BB4705" w:rsidP="00316130">
      <w:pPr>
        <w:overflowPunct/>
        <w:spacing w:before="120" w:line="240" w:lineRule="auto"/>
        <w:ind w:left="567" w:hanging="567"/>
        <w:textAlignment w:val="auto"/>
        <w:outlineLvl w:val="0"/>
        <w:rPr>
          <w:rFonts w:ascii="Times New Roman" w:hAnsi="Times New Roman"/>
          <w:b/>
          <w:bCs/>
          <w:szCs w:val="24"/>
          <w:lang w:eastAsia="hu-HU"/>
        </w:rPr>
      </w:pPr>
      <w:r w:rsidRPr="0070791C">
        <w:rPr>
          <w:b/>
        </w:rPr>
        <w:t>ii)Förslag till rådets beslut om ingående av avtal mellan EU och USA om samordning av program för energieffektivitetsmärkning av kontorsutrustning, “Energy Star”.</w:t>
      </w:r>
    </w:p>
    <w:p w:rsidR="00BB4705" w:rsidRPr="0070791C" w:rsidRDefault="00BB4705" w:rsidP="00E57605">
      <w:pPr>
        <w:pStyle w:val="RKnormal"/>
        <w:numPr>
          <w:ilvl w:val="0"/>
          <w:numId w:val="6"/>
        </w:numPr>
        <w:tabs>
          <w:tab w:val="clear" w:pos="2835"/>
        </w:tabs>
        <w:rPr>
          <w:i/>
        </w:rPr>
      </w:pPr>
      <w:r w:rsidRPr="0070791C">
        <w:rPr>
          <w:i/>
        </w:rPr>
        <w:t>Information från ordförandeskapet.</w:t>
      </w:r>
    </w:p>
    <w:p w:rsidR="00BB4705" w:rsidRPr="0070791C" w:rsidRDefault="00BB4705" w:rsidP="00BB4705">
      <w:pPr>
        <w:pStyle w:val="RKnormal"/>
        <w:rPr>
          <w:bCs/>
        </w:rPr>
      </w:pPr>
    </w:p>
    <w:p w:rsidR="00BB4705" w:rsidRPr="0070791C" w:rsidRDefault="00BB4705" w:rsidP="00BB4705">
      <w:pPr>
        <w:pStyle w:val="RKnormal"/>
        <w:rPr>
          <w:u w:val="single"/>
        </w:rPr>
      </w:pPr>
      <w:r w:rsidRPr="0070791C">
        <w:rPr>
          <w:u w:val="single"/>
        </w:rPr>
        <w:t>Bakgrund</w:t>
      </w:r>
    </w:p>
    <w:p w:rsidR="00BB4705" w:rsidRPr="0070791C" w:rsidRDefault="00BB4705" w:rsidP="00BB4705">
      <w:pPr>
        <w:pStyle w:val="RKnormal"/>
      </w:pPr>
      <w:r w:rsidRPr="0070791C">
        <w:t xml:space="preserve">Samarbetet mellan EU och USA om ett gemensamt program för att främja energieffektiv kontorsutrustning inleddes 2001 och baseras på det amerikanska energimärkningssystemet Energy Star. Bestämmelserna i avtalet genomförs i EU genom förordning (EG) nr 106/2008. Samarbetsprogrammet har varat i två genomförandeperioder och löpte ut i slutet av 2011. Rådet bemyndigande kommissionen i juli 2011 att förhandla fram ett nytt avtal med USA. Den 15 mars 2012 presenterade kommissionen ett förslag åtföljt av ett förslag till ändring i förordning (EG) nr 106/2008. Den huvudsakliga skillnaden i förslagen jämfört med idag är att två olika system för programregistrering införs, tredjepartsverifiering för deltagare i USA och självcertifiering inom EU. Medlemsstaterna har visat stöd för liggande förslag och inväntar nu Europaparlamentets behandling innan ett nytt avtal kan undertecknas. </w:t>
      </w:r>
    </w:p>
    <w:p w:rsidR="00BB4705" w:rsidRPr="0070791C" w:rsidRDefault="00BB4705" w:rsidP="00BB4705">
      <w:pPr>
        <w:pStyle w:val="RKnormal"/>
      </w:pPr>
    </w:p>
    <w:p w:rsidR="00BB4705" w:rsidRPr="0070791C" w:rsidRDefault="00BB4705" w:rsidP="00BB4705">
      <w:pPr>
        <w:pStyle w:val="RKnormal"/>
      </w:pPr>
      <w:r w:rsidRPr="0070791C">
        <w:t xml:space="preserve">Regeringen välkomnar förslagen och det fortsatta samarbetet mellan EU och USA om samordning av främjande av energieffektiv kontorsutrustning. Energy star-programmet har visat sig vara ett effektivt sätt att främja energieffektiv kontorsutrustning och har därmed bidragit positivt till såväl kostnadsbesparingar som ökad miljönytta. </w:t>
      </w:r>
    </w:p>
    <w:p w:rsidR="00BB4705" w:rsidRPr="0070791C" w:rsidRDefault="00BB4705" w:rsidP="00BB4705">
      <w:pPr>
        <w:pStyle w:val="RKnormal"/>
      </w:pPr>
    </w:p>
    <w:p w:rsidR="00BB4705" w:rsidRPr="0070791C" w:rsidRDefault="00BB4705" w:rsidP="00BB4705">
      <w:pPr>
        <w:pStyle w:val="RKnormal"/>
        <w:rPr>
          <w:bCs/>
          <w:u w:val="single"/>
        </w:rPr>
      </w:pPr>
      <w:r w:rsidRPr="0070791C">
        <w:rPr>
          <w:bCs/>
          <w:u w:val="single"/>
        </w:rPr>
        <w:t>Förslag till svensk ståndpunkt</w:t>
      </w:r>
    </w:p>
    <w:p w:rsidR="00FC3571" w:rsidRPr="0070791C" w:rsidRDefault="00BB4705" w:rsidP="00992C0A">
      <w:pPr>
        <w:pStyle w:val="RKnormal"/>
        <w:rPr>
          <w:bCs/>
        </w:rPr>
      </w:pPr>
      <w:r w:rsidRPr="0070791C">
        <w:rPr>
          <w:bCs/>
        </w:rPr>
        <w:t>Regeringen ska ta del av informationen från ordförandeskapet.</w:t>
      </w:r>
    </w:p>
    <w:p w:rsidR="00992C0A" w:rsidRPr="0070791C" w:rsidRDefault="00992C0A" w:rsidP="00992C0A">
      <w:pPr>
        <w:pStyle w:val="RKnormal"/>
      </w:pPr>
    </w:p>
    <w:p w:rsidR="00FC3571" w:rsidRPr="0070791C" w:rsidRDefault="00FC3571" w:rsidP="00797095"/>
    <w:p w:rsidR="00CD796D" w:rsidRPr="0070791C" w:rsidRDefault="00CD796D" w:rsidP="00CD796D">
      <w:pPr>
        <w:spacing w:line="240" w:lineRule="auto"/>
        <w:rPr>
          <w:color w:val="000000"/>
        </w:rPr>
      </w:pPr>
    </w:p>
    <w:p w:rsidR="00453CD3" w:rsidRPr="0070791C" w:rsidRDefault="00316130" w:rsidP="00453CD3">
      <w:pPr>
        <w:pStyle w:val="Normalwebb"/>
        <w:ind w:left="567" w:hanging="567"/>
        <w:rPr>
          <w:b/>
          <w:lang w:val="sv-SE"/>
        </w:rPr>
      </w:pPr>
      <w:r w:rsidRPr="0070791C">
        <w:rPr>
          <w:b/>
          <w:lang w:val="sv-SE"/>
        </w:rPr>
        <w:t>(b)</w:t>
      </w:r>
      <w:r w:rsidR="00453CD3" w:rsidRPr="0070791C">
        <w:rPr>
          <w:b/>
          <w:lang w:val="sv-SE"/>
        </w:rPr>
        <w:tab/>
        <w:t xml:space="preserve">EU:s externa relationer på energiområdet </w:t>
      </w:r>
    </w:p>
    <w:p w:rsidR="00316130" w:rsidRPr="0070791C" w:rsidRDefault="00BB4705" w:rsidP="00316130">
      <w:pPr>
        <w:overflowPunct/>
        <w:autoSpaceDE/>
        <w:autoSpaceDN/>
        <w:adjustRightInd/>
        <w:spacing w:line="240" w:lineRule="auto"/>
        <w:ind w:left="567" w:hanging="567"/>
        <w:textAlignment w:val="auto"/>
        <w:rPr>
          <w:rFonts w:ascii="Times New Roman" w:hAnsi="Times New Roman"/>
          <w:i/>
          <w:szCs w:val="24"/>
          <w:lang w:eastAsia="hu-HU"/>
        </w:rPr>
      </w:pPr>
      <w:r w:rsidRPr="0070791C">
        <w:rPr>
          <w:rFonts w:ascii="Times New Roman" w:hAnsi="Times New Roman"/>
          <w:i/>
          <w:szCs w:val="24"/>
          <w:lang w:eastAsia="hu-HU"/>
        </w:rPr>
        <w:t>-</w:t>
      </w:r>
      <w:r w:rsidRPr="0070791C">
        <w:rPr>
          <w:rFonts w:ascii="Times New Roman" w:hAnsi="Times New Roman"/>
          <w:i/>
          <w:szCs w:val="24"/>
          <w:lang w:eastAsia="hu-HU"/>
        </w:rPr>
        <w:tab/>
        <w:t>Information från ordförandeskapet och Kommissionen</w:t>
      </w:r>
      <w:r w:rsidR="00316130" w:rsidRPr="0070791C">
        <w:rPr>
          <w:rFonts w:ascii="Times New Roman" w:hAnsi="Times New Roman"/>
          <w:i/>
          <w:szCs w:val="24"/>
          <w:lang w:eastAsia="hu-HU"/>
        </w:rPr>
        <w:t xml:space="preserve"> </w:t>
      </w:r>
    </w:p>
    <w:p w:rsidR="00854C7B" w:rsidRPr="0070791C" w:rsidRDefault="00854C7B" w:rsidP="00854C7B">
      <w:pPr>
        <w:pStyle w:val="RKnormal"/>
        <w:rPr>
          <w:bCs/>
        </w:rPr>
      </w:pPr>
    </w:p>
    <w:p w:rsidR="00854C7B" w:rsidRPr="0070791C" w:rsidRDefault="00854C7B" w:rsidP="00854C7B">
      <w:pPr>
        <w:pStyle w:val="RKnormal"/>
        <w:rPr>
          <w:u w:val="single"/>
        </w:rPr>
      </w:pPr>
      <w:r w:rsidRPr="0070791C">
        <w:rPr>
          <w:u w:val="single"/>
        </w:rPr>
        <w:t>Bakgrund</w:t>
      </w:r>
    </w:p>
    <w:p w:rsidR="00854C7B" w:rsidRPr="0070791C" w:rsidRDefault="00854C7B" w:rsidP="00854C7B">
      <w:r w:rsidRPr="0070791C">
        <w:t xml:space="preserve">TTE-rådet (energi)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 och kommissionen, som här förväntas rapportera om nyligen genomförda och kommande internationella möten. </w:t>
      </w:r>
    </w:p>
    <w:p w:rsidR="00854C7B" w:rsidRPr="0070791C" w:rsidRDefault="00854C7B" w:rsidP="00854C7B"/>
    <w:p w:rsidR="00854C7B" w:rsidRPr="0070791C" w:rsidRDefault="00854C7B" w:rsidP="00854C7B">
      <w:r w:rsidRPr="0070791C">
        <w:t>Ännu saknas information om vilka dialoger ordförandeskapet och kommissionen väntas ta upp.</w:t>
      </w:r>
    </w:p>
    <w:p w:rsidR="00854C7B" w:rsidRPr="0070791C" w:rsidRDefault="00854C7B" w:rsidP="00854C7B">
      <w:pPr>
        <w:pStyle w:val="RKnormal"/>
      </w:pPr>
    </w:p>
    <w:p w:rsidR="00854C7B" w:rsidRPr="0070791C" w:rsidRDefault="00854C7B" w:rsidP="00854C7B">
      <w:pPr>
        <w:pStyle w:val="RKnormal"/>
        <w:rPr>
          <w:bCs/>
          <w:u w:val="single"/>
        </w:rPr>
      </w:pPr>
      <w:r w:rsidRPr="0070791C">
        <w:rPr>
          <w:bCs/>
          <w:u w:val="single"/>
        </w:rPr>
        <w:t>Förslag till svensk ståndpunkt</w:t>
      </w:r>
    </w:p>
    <w:p w:rsidR="00854C7B" w:rsidRPr="0070791C" w:rsidRDefault="00854C7B" w:rsidP="00854C7B">
      <w:pPr>
        <w:pStyle w:val="RKnormal"/>
      </w:pPr>
      <w:r w:rsidRPr="0070791C">
        <w:rPr>
          <w:bCs/>
        </w:rPr>
        <w:t>Regeringen ska ta del av informationen från ordförandeskapet.</w:t>
      </w:r>
    </w:p>
    <w:p w:rsidR="000F2D11" w:rsidRPr="0070791C" w:rsidRDefault="000F2D11" w:rsidP="00453CD3"/>
    <w:p w:rsidR="000F2D11" w:rsidRPr="0070791C" w:rsidRDefault="000F2D11" w:rsidP="000F2D11">
      <w:pPr>
        <w:rPr>
          <w:u w:val="single"/>
        </w:rPr>
      </w:pPr>
    </w:p>
    <w:p w:rsidR="00316130" w:rsidRPr="0070791C" w:rsidRDefault="00316130" w:rsidP="00316130">
      <w:pPr>
        <w:overflowPunct/>
        <w:autoSpaceDE/>
        <w:autoSpaceDN/>
        <w:adjustRightInd/>
        <w:spacing w:line="240" w:lineRule="auto"/>
        <w:textAlignment w:val="auto"/>
        <w:rPr>
          <w:rFonts w:ascii="Times New Roman" w:hAnsi="Times New Roman"/>
          <w:b/>
          <w:bCs/>
          <w:szCs w:val="24"/>
          <w:lang w:eastAsia="hu-HU"/>
        </w:rPr>
      </w:pPr>
      <w:r w:rsidRPr="0070791C">
        <w:rPr>
          <w:rFonts w:ascii="Times New Roman" w:hAnsi="Times New Roman"/>
          <w:b/>
          <w:bCs/>
          <w:szCs w:val="24"/>
          <w:lang w:eastAsia="hu-HU"/>
        </w:rPr>
        <w:t>(c)</w:t>
      </w:r>
      <w:r w:rsidRPr="0070791C">
        <w:rPr>
          <w:rFonts w:ascii="Times New Roman" w:hAnsi="Times New Roman"/>
          <w:b/>
          <w:bCs/>
          <w:szCs w:val="24"/>
          <w:lang w:eastAsia="hu-HU"/>
        </w:rPr>
        <w:tab/>
      </w:r>
      <w:r w:rsidR="00DE39C2" w:rsidRPr="0070791C">
        <w:rPr>
          <w:rFonts w:ascii="Times New Roman" w:hAnsi="Times New Roman"/>
          <w:b/>
          <w:bCs/>
          <w:szCs w:val="24"/>
          <w:lang w:eastAsia="hu-HU"/>
        </w:rPr>
        <w:t xml:space="preserve">Genomgripande risk- och säkerhetsbedömningar av kärnkraftsverken </w:t>
      </w:r>
      <w:r w:rsidRPr="0070791C">
        <w:rPr>
          <w:rFonts w:ascii="Times New Roman" w:hAnsi="Times New Roman"/>
          <w:b/>
          <w:bCs/>
          <w:szCs w:val="24"/>
          <w:lang w:eastAsia="hu-HU"/>
        </w:rPr>
        <w:t xml:space="preserve">(“stress tests”) </w:t>
      </w:r>
    </w:p>
    <w:p w:rsidR="00316130" w:rsidRPr="0070791C" w:rsidRDefault="00DE39C2" w:rsidP="00316130">
      <w:pPr>
        <w:overflowPunct/>
        <w:autoSpaceDE/>
        <w:autoSpaceDN/>
        <w:adjustRightInd/>
        <w:spacing w:line="240" w:lineRule="auto"/>
        <w:ind w:left="1701" w:hanging="567"/>
        <w:textAlignment w:val="auto"/>
        <w:rPr>
          <w:rFonts w:ascii="Times New Roman" w:hAnsi="Times New Roman"/>
          <w:i/>
          <w:szCs w:val="24"/>
          <w:lang w:eastAsia="hu-HU"/>
        </w:rPr>
      </w:pPr>
      <w:r w:rsidRPr="0070791C">
        <w:rPr>
          <w:rFonts w:ascii="Times New Roman" w:hAnsi="Times New Roman"/>
          <w:i/>
          <w:szCs w:val="24"/>
          <w:lang w:eastAsia="hu-HU"/>
        </w:rPr>
        <w:t>-</w:t>
      </w:r>
      <w:r w:rsidRPr="0070791C">
        <w:rPr>
          <w:rFonts w:ascii="Times New Roman" w:hAnsi="Times New Roman"/>
          <w:i/>
          <w:szCs w:val="24"/>
          <w:lang w:eastAsia="hu-HU"/>
        </w:rPr>
        <w:tab/>
        <w:t>Information från Kommissionen</w:t>
      </w:r>
      <w:r w:rsidR="00316130" w:rsidRPr="0070791C">
        <w:rPr>
          <w:rFonts w:ascii="Times New Roman" w:hAnsi="Times New Roman"/>
          <w:i/>
          <w:szCs w:val="24"/>
          <w:lang w:eastAsia="hu-HU"/>
        </w:rPr>
        <w:t xml:space="preserve"> </w:t>
      </w:r>
    </w:p>
    <w:p w:rsidR="00B27503" w:rsidRPr="0070791C" w:rsidRDefault="00B27503" w:rsidP="00B27503">
      <w:pPr>
        <w:rPr>
          <w:u w:val="single"/>
        </w:rPr>
      </w:pPr>
    </w:p>
    <w:p w:rsidR="00B27503" w:rsidRPr="0070791C" w:rsidRDefault="00B27503" w:rsidP="00B27503">
      <w:pPr>
        <w:rPr>
          <w:u w:val="single"/>
        </w:rPr>
      </w:pPr>
      <w:r w:rsidRPr="0070791C">
        <w:rPr>
          <w:u w:val="single"/>
        </w:rPr>
        <w:t>Bakgrund</w:t>
      </w:r>
    </w:p>
    <w:p w:rsidR="00CE40FE" w:rsidRPr="0070791C" w:rsidRDefault="00CE40FE" w:rsidP="00CE40FE">
      <w:pPr>
        <w:pStyle w:val="RKnormal"/>
      </w:pPr>
      <w:r w:rsidRPr="0070791C">
        <w:t>Kommissionen avser rapportera om de s.k. stresstesterna d.v.s. om de genomgripande risk- och säkerhetsbedömningar som på uppdrag av Europeiska rådet (mars 2011) genomförts vid de europeiska kärnkraft</w:t>
      </w:r>
      <w:r w:rsidRPr="0070791C">
        <w:softHyphen/>
        <w:t>verken med anledning av kärnkraftsolyckan i Japan förra året.</w:t>
      </w:r>
    </w:p>
    <w:p w:rsidR="00CE40FE" w:rsidRPr="0070791C" w:rsidRDefault="00CE40FE" w:rsidP="00CE40FE">
      <w:pPr>
        <w:rPr>
          <w:u w:val="single"/>
        </w:rPr>
      </w:pPr>
    </w:p>
    <w:p w:rsidR="00CE40FE" w:rsidRPr="0070791C" w:rsidRDefault="00CE40FE" w:rsidP="00CE40FE">
      <w:pPr>
        <w:rPr>
          <w:u w:val="single"/>
        </w:rPr>
      </w:pPr>
      <w:r w:rsidRPr="0070791C">
        <w:rPr>
          <w:u w:val="single"/>
        </w:rPr>
        <w:t>Förslag till svensk ståndpunkt</w:t>
      </w:r>
    </w:p>
    <w:p w:rsidR="00CE40FE" w:rsidRPr="0070791C" w:rsidRDefault="00CE40FE" w:rsidP="00CE40FE">
      <w:pPr>
        <w:pStyle w:val="RKnormal"/>
      </w:pPr>
      <w:r w:rsidRPr="0070791C">
        <w:t>Regeringen välkomnar informationen.</w:t>
      </w:r>
    </w:p>
    <w:p w:rsidR="00F53DB3" w:rsidRPr="0070791C" w:rsidRDefault="00F53DB3" w:rsidP="00453CD3"/>
    <w:p w:rsidR="00F53DB3" w:rsidRPr="0070791C" w:rsidRDefault="00F53DB3" w:rsidP="00570AFF">
      <w:pPr>
        <w:spacing w:line="240" w:lineRule="auto"/>
        <w:rPr>
          <w:color w:val="000000"/>
          <w:szCs w:val="24"/>
        </w:rPr>
      </w:pPr>
    </w:p>
    <w:p w:rsidR="001B3ADE" w:rsidRPr="0070791C" w:rsidRDefault="001B3ADE" w:rsidP="00570AFF">
      <w:pPr>
        <w:spacing w:line="240" w:lineRule="auto"/>
        <w:rPr>
          <w:color w:val="000000"/>
          <w:szCs w:val="24"/>
        </w:rPr>
      </w:pPr>
    </w:p>
    <w:p w:rsidR="001B3ADE" w:rsidRPr="0070791C" w:rsidRDefault="001B3ADE" w:rsidP="00570AFF">
      <w:pPr>
        <w:spacing w:line="240" w:lineRule="auto"/>
        <w:rPr>
          <w:color w:val="000000"/>
          <w:szCs w:val="24"/>
        </w:rPr>
      </w:pPr>
    </w:p>
    <w:p w:rsidR="001B3ADE" w:rsidRPr="0070791C" w:rsidRDefault="001B3ADE" w:rsidP="00570AFF">
      <w:pPr>
        <w:spacing w:line="240" w:lineRule="auto"/>
        <w:rPr>
          <w:color w:val="000000"/>
          <w:szCs w:val="24"/>
        </w:rPr>
      </w:pPr>
    </w:p>
    <w:p w:rsidR="001B3ADE" w:rsidRPr="0070791C" w:rsidRDefault="001B3ADE" w:rsidP="00570AFF">
      <w:pPr>
        <w:spacing w:line="240" w:lineRule="auto"/>
        <w:rPr>
          <w:color w:val="000000"/>
          <w:szCs w:val="24"/>
        </w:rPr>
      </w:pPr>
    </w:p>
    <w:p w:rsidR="00F53DB3" w:rsidRPr="0070791C" w:rsidRDefault="00316130" w:rsidP="00FC3571">
      <w:pPr>
        <w:overflowPunct/>
        <w:autoSpaceDE/>
        <w:autoSpaceDN/>
        <w:adjustRightInd/>
        <w:spacing w:after="200" w:line="276" w:lineRule="auto"/>
        <w:ind w:left="720" w:hanging="720"/>
        <w:textAlignment w:val="auto"/>
        <w:rPr>
          <w:rFonts w:ascii="Times New Roman" w:hAnsi="Times New Roman"/>
          <w:b/>
          <w:bCs/>
          <w:szCs w:val="24"/>
          <w:lang w:eastAsia="hu-HU"/>
        </w:rPr>
      </w:pPr>
      <w:r w:rsidRPr="0070791C">
        <w:rPr>
          <w:rFonts w:ascii="Times New Roman" w:hAnsi="Times New Roman"/>
          <w:b/>
          <w:bCs/>
          <w:szCs w:val="24"/>
          <w:lang w:eastAsia="hu-HU"/>
        </w:rPr>
        <w:t>(d)</w:t>
      </w:r>
      <w:r w:rsidRPr="0070791C">
        <w:rPr>
          <w:rFonts w:ascii="Times New Roman" w:hAnsi="Times New Roman"/>
          <w:b/>
          <w:bCs/>
          <w:szCs w:val="24"/>
          <w:lang w:eastAsia="hu-HU"/>
        </w:rPr>
        <w:tab/>
      </w:r>
      <w:r w:rsidR="0075533A" w:rsidRPr="0070791C">
        <w:rPr>
          <w:rFonts w:ascii="Times New Roman" w:hAnsi="Times New Roman"/>
          <w:b/>
          <w:bCs/>
          <w:szCs w:val="24"/>
          <w:lang w:eastAsia="hu-HU"/>
        </w:rPr>
        <w:t xml:space="preserve">Presentation av det inkommande ordförandeskapet </w:t>
      </w:r>
      <w:r w:rsidR="008600B1" w:rsidRPr="0070791C">
        <w:rPr>
          <w:rFonts w:ascii="Times New Roman" w:hAnsi="Times New Roman"/>
          <w:b/>
          <w:bCs/>
          <w:szCs w:val="24"/>
          <w:lang w:eastAsia="hu-HU"/>
        </w:rPr>
        <w:br/>
      </w:r>
      <w:r w:rsidRPr="0070791C">
        <w:rPr>
          <w:rFonts w:ascii="Times New Roman" w:hAnsi="Times New Roman"/>
          <w:i/>
          <w:szCs w:val="24"/>
          <w:lang w:eastAsia="hu-HU"/>
        </w:rPr>
        <w:t>-</w:t>
      </w:r>
      <w:r w:rsidRPr="0070791C">
        <w:rPr>
          <w:rFonts w:ascii="Times New Roman" w:hAnsi="Times New Roman"/>
          <w:i/>
          <w:szCs w:val="24"/>
          <w:lang w:eastAsia="hu-HU"/>
        </w:rPr>
        <w:tab/>
      </w:r>
      <w:r w:rsidR="0075533A" w:rsidRPr="0070791C">
        <w:rPr>
          <w:rFonts w:ascii="Times New Roman" w:hAnsi="Times New Roman"/>
          <w:i/>
          <w:szCs w:val="24"/>
          <w:lang w:eastAsia="hu-HU"/>
        </w:rPr>
        <w:t>Information från den cypriotiska delegationen</w:t>
      </w:r>
      <w:r w:rsidR="00F53DB3" w:rsidRPr="0070791C">
        <w:rPr>
          <w:color w:val="000000"/>
          <w:szCs w:val="24"/>
        </w:rPr>
        <w:tab/>
      </w:r>
    </w:p>
    <w:p w:rsidR="00F8458E" w:rsidRPr="0070791C" w:rsidRDefault="00F8458E" w:rsidP="00F8458E">
      <w:pPr>
        <w:rPr>
          <w:u w:val="single"/>
        </w:rPr>
      </w:pPr>
      <w:r w:rsidRPr="0070791C">
        <w:rPr>
          <w:u w:val="single"/>
        </w:rPr>
        <w:t>Bakgrund</w:t>
      </w:r>
    </w:p>
    <w:p w:rsidR="0075533A" w:rsidRPr="0070791C" w:rsidRDefault="0075533A" w:rsidP="0075533A">
      <w:r w:rsidRPr="0070791C">
        <w:t>Under punkten övrigt kommer den cypriotiska delegationen att informera energirådet om det inkommande cypriotiska ordförandeskapets prioriteringar på energiområdet. Cypern tar över det roterande ordförandeskapet i EU:s ministerråd från den 1 juli till den 31 december 2012.</w:t>
      </w:r>
    </w:p>
    <w:p w:rsidR="0075533A" w:rsidRPr="0070791C" w:rsidRDefault="0075533A" w:rsidP="0075533A">
      <w:pPr>
        <w:rPr>
          <w:u w:val="single"/>
        </w:rPr>
      </w:pPr>
    </w:p>
    <w:p w:rsidR="0075533A" w:rsidRPr="0070791C" w:rsidRDefault="00F8458E" w:rsidP="0075533A">
      <w:pPr>
        <w:rPr>
          <w:u w:val="single"/>
        </w:rPr>
      </w:pPr>
      <w:r w:rsidRPr="0070791C">
        <w:rPr>
          <w:u w:val="single"/>
        </w:rPr>
        <w:t>Förslag till s</w:t>
      </w:r>
      <w:r w:rsidR="0075533A" w:rsidRPr="0070791C">
        <w:rPr>
          <w:u w:val="single"/>
        </w:rPr>
        <w:t>vensk ståndpunkt</w:t>
      </w:r>
    </w:p>
    <w:p w:rsidR="0075533A" w:rsidRPr="0070791C" w:rsidRDefault="0075533A" w:rsidP="0075533A">
      <w:r w:rsidRPr="0070791C">
        <w:t>Regeringen bör ta del av informationen.</w:t>
      </w:r>
    </w:p>
    <w:p w:rsidR="004D1223" w:rsidRPr="0070791C" w:rsidRDefault="004D1223" w:rsidP="000D4EEF">
      <w:pPr>
        <w:pStyle w:val="RKnormal"/>
      </w:pPr>
    </w:p>
    <w:sectPr w:rsidR="004D1223" w:rsidRPr="007079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8D2" w:rsidRPr="0070791C" w:rsidRDefault="002A28D2">
      <w:r w:rsidRPr="0070791C">
        <w:separator/>
      </w:r>
    </w:p>
  </w:endnote>
  <w:endnote w:type="continuationSeparator" w:id="0">
    <w:p w:rsidR="002A28D2" w:rsidRPr="0070791C" w:rsidRDefault="002A28D2">
      <w:r w:rsidRPr="00707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8D2" w:rsidRPr="0070791C" w:rsidRDefault="002A28D2">
      <w:r w:rsidRPr="0070791C">
        <w:separator/>
      </w:r>
    </w:p>
  </w:footnote>
  <w:footnote w:type="continuationSeparator" w:id="0">
    <w:p w:rsidR="002A28D2" w:rsidRPr="0070791C" w:rsidRDefault="002A28D2">
      <w:r w:rsidRPr="00707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B23" w:rsidRPr="0070791C" w:rsidRDefault="00F86B23">
    <w:pPr>
      <w:pStyle w:val="Sidhuvud"/>
      <w:framePr w:wrap="around" w:vAnchor="text" w:hAnchor="margin" w:xAlign="right" w:y="1"/>
      <w:rPr>
        <w:rStyle w:val="Sidnummer"/>
      </w:rPr>
    </w:pPr>
    <w:r w:rsidRPr="0070791C">
      <w:rPr>
        <w:rStyle w:val="Sidnummer"/>
      </w:rPr>
      <w:fldChar w:fldCharType="begin" w:fldLock="1"/>
    </w:r>
    <w:r w:rsidRPr="0070791C">
      <w:rPr>
        <w:rStyle w:val="Sidnummer"/>
      </w:rPr>
      <w:instrText xml:space="preserve">PAGE  </w:instrText>
    </w:r>
    <w:r w:rsidRPr="0070791C">
      <w:rPr>
        <w:rStyle w:val="Sidnummer"/>
      </w:rPr>
      <w:fldChar w:fldCharType="separate"/>
    </w:r>
    <w:r w:rsidR="00E66C44" w:rsidRPr="0070791C">
      <w:rPr>
        <w:rStyle w:val="Sidnummer"/>
      </w:rPr>
      <w:t>8</w:t>
    </w:r>
    <w:r w:rsidRPr="007079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86B23" w:rsidRPr="0070791C">
      <w:tblPrEx>
        <w:tblCellMar>
          <w:top w:w="0" w:type="dxa"/>
          <w:bottom w:w="0" w:type="dxa"/>
        </w:tblCellMar>
      </w:tblPrEx>
      <w:trPr>
        <w:cantSplit/>
      </w:trPr>
      <w:tc>
        <w:tcPr>
          <w:tcW w:w="3119" w:type="dxa"/>
        </w:tcPr>
        <w:p w:rsidR="00F86B23" w:rsidRPr="0070791C" w:rsidRDefault="00F86B23">
          <w:pPr>
            <w:pStyle w:val="Sidhuvud"/>
            <w:spacing w:line="200" w:lineRule="atLeast"/>
            <w:ind w:right="357"/>
            <w:rPr>
              <w:rFonts w:ascii="TradeGothic" w:hAnsi="TradeGothic"/>
              <w:b/>
              <w:bCs/>
              <w:sz w:val="16"/>
            </w:rPr>
          </w:pPr>
        </w:p>
      </w:tc>
      <w:tc>
        <w:tcPr>
          <w:tcW w:w="4111" w:type="dxa"/>
          <w:tcMar>
            <w:left w:w="567" w:type="dxa"/>
          </w:tcMar>
        </w:tcPr>
        <w:p w:rsidR="00F86B23" w:rsidRPr="0070791C" w:rsidRDefault="00F86B23">
          <w:pPr>
            <w:pStyle w:val="Sidhuvud"/>
            <w:ind w:right="360"/>
          </w:pPr>
        </w:p>
      </w:tc>
      <w:tc>
        <w:tcPr>
          <w:tcW w:w="1525" w:type="dxa"/>
        </w:tcPr>
        <w:p w:rsidR="00F86B23" w:rsidRPr="0070791C" w:rsidRDefault="00F86B23">
          <w:pPr>
            <w:pStyle w:val="Sidhuvud"/>
            <w:ind w:right="360"/>
          </w:pPr>
        </w:p>
      </w:tc>
    </w:tr>
  </w:tbl>
  <w:p w:rsidR="00F86B23" w:rsidRPr="0070791C" w:rsidRDefault="00F86B23" w:rsidP="00A83CC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B23" w:rsidRPr="0070791C" w:rsidRDefault="00F86B23">
    <w:pPr>
      <w:pStyle w:val="Sidhuvud"/>
      <w:framePr w:wrap="around" w:vAnchor="text" w:hAnchor="margin" w:xAlign="right" w:y="1"/>
      <w:rPr>
        <w:rStyle w:val="Sidnummer"/>
      </w:rPr>
    </w:pPr>
    <w:r w:rsidRPr="0070791C">
      <w:rPr>
        <w:rStyle w:val="Sidnummer"/>
      </w:rPr>
      <w:fldChar w:fldCharType="begin" w:fldLock="1"/>
    </w:r>
    <w:r w:rsidRPr="0070791C">
      <w:rPr>
        <w:rStyle w:val="Sidnummer"/>
      </w:rPr>
      <w:instrText xml:space="preserve">PAGE  </w:instrText>
    </w:r>
    <w:r w:rsidRPr="0070791C">
      <w:rPr>
        <w:rStyle w:val="Sidnummer"/>
      </w:rPr>
      <w:fldChar w:fldCharType="separate"/>
    </w:r>
    <w:r w:rsidR="00E66C44" w:rsidRPr="0070791C">
      <w:rPr>
        <w:rStyle w:val="Sidnummer"/>
      </w:rPr>
      <w:t>7</w:t>
    </w:r>
    <w:r w:rsidRPr="007079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86B23" w:rsidRPr="0070791C">
      <w:tblPrEx>
        <w:tblCellMar>
          <w:top w:w="0" w:type="dxa"/>
          <w:bottom w:w="0" w:type="dxa"/>
        </w:tblCellMar>
      </w:tblPrEx>
      <w:trPr>
        <w:cantSplit/>
      </w:trPr>
      <w:tc>
        <w:tcPr>
          <w:tcW w:w="3119" w:type="dxa"/>
        </w:tcPr>
        <w:p w:rsidR="00F86B23" w:rsidRPr="0070791C" w:rsidRDefault="00F86B23">
          <w:pPr>
            <w:pStyle w:val="Sidhuvud"/>
            <w:spacing w:line="200" w:lineRule="atLeast"/>
            <w:ind w:right="357"/>
            <w:rPr>
              <w:rFonts w:ascii="TradeGothic" w:hAnsi="TradeGothic"/>
              <w:b/>
              <w:bCs/>
              <w:sz w:val="16"/>
            </w:rPr>
          </w:pPr>
        </w:p>
      </w:tc>
      <w:tc>
        <w:tcPr>
          <w:tcW w:w="4111" w:type="dxa"/>
          <w:tcMar>
            <w:left w:w="567" w:type="dxa"/>
          </w:tcMar>
        </w:tcPr>
        <w:p w:rsidR="00F86B23" w:rsidRPr="0070791C" w:rsidRDefault="00F86B23">
          <w:pPr>
            <w:pStyle w:val="Sidhuvud"/>
            <w:ind w:right="360"/>
          </w:pPr>
        </w:p>
      </w:tc>
      <w:tc>
        <w:tcPr>
          <w:tcW w:w="1525" w:type="dxa"/>
        </w:tcPr>
        <w:p w:rsidR="00F86B23" w:rsidRPr="0070791C" w:rsidRDefault="00F86B23">
          <w:pPr>
            <w:pStyle w:val="Sidhuvud"/>
            <w:ind w:right="360"/>
          </w:pPr>
        </w:p>
      </w:tc>
    </w:tr>
  </w:tbl>
  <w:p w:rsidR="00F86B23" w:rsidRPr="0070791C" w:rsidRDefault="00F86B2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B23" w:rsidRPr="0070791C" w:rsidRDefault="0070791C">
    <w:pPr>
      <w:framePr w:w="2948" w:h="1321" w:hRule="exact" w:wrap="notBeside" w:vAnchor="page" w:hAnchor="page" w:x="1362" w:y="653"/>
    </w:pPr>
    <w:r w:rsidRPr="0070791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86B23" w:rsidRPr="0070791C" w:rsidRDefault="00F86B23">
    <w:pPr>
      <w:pStyle w:val="RKrubrik"/>
      <w:keepNext w:val="0"/>
      <w:tabs>
        <w:tab w:val="clear" w:pos="1134"/>
        <w:tab w:val="clear" w:pos="2835"/>
      </w:tabs>
      <w:spacing w:before="0" w:after="0" w:line="320" w:lineRule="atLeast"/>
      <w:rPr>
        <w:bCs/>
      </w:rPr>
    </w:pPr>
  </w:p>
  <w:p w:rsidR="00F86B23" w:rsidRPr="0070791C" w:rsidRDefault="00F86B23">
    <w:pPr>
      <w:rPr>
        <w:rFonts w:ascii="TradeGothic" w:hAnsi="TradeGothic"/>
        <w:b/>
        <w:bCs/>
        <w:spacing w:val="12"/>
        <w:sz w:val="22"/>
      </w:rPr>
    </w:pPr>
  </w:p>
  <w:p w:rsidR="00F86B23" w:rsidRPr="0070791C" w:rsidRDefault="00F86B23">
    <w:pPr>
      <w:pStyle w:val="RKrubrik"/>
      <w:keepNext w:val="0"/>
      <w:tabs>
        <w:tab w:val="clear" w:pos="1134"/>
        <w:tab w:val="clear" w:pos="2835"/>
      </w:tabs>
      <w:spacing w:before="0" w:after="0" w:line="320" w:lineRule="atLeast"/>
      <w:rPr>
        <w:bCs/>
      </w:rPr>
    </w:pPr>
  </w:p>
  <w:p w:rsidR="00F86B23" w:rsidRPr="0070791C" w:rsidRDefault="00F86B2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40C7"/>
    <w:multiLevelType w:val="hybridMultilevel"/>
    <w:tmpl w:val="649899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7956776"/>
    <w:multiLevelType w:val="hybridMultilevel"/>
    <w:tmpl w:val="7270D1DE"/>
    <w:lvl w:ilvl="0" w:tplc="81E6EC3C">
      <w:start w:val="1"/>
      <w:numFmt w:val="lowerRoman"/>
      <w:lvlText w:val="%1)"/>
      <w:lvlJc w:val="left"/>
      <w:pPr>
        <w:ind w:left="2421" w:hanging="72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2" w15:restartNumberingAfterBreak="0">
    <w:nsid w:val="5B225E0E"/>
    <w:multiLevelType w:val="hybridMultilevel"/>
    <w:tmpl w:val="B720ECD0"/>
    <w:lvl w:ilvl="0" w:tplc="1EFA9FB6">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6B664E"/>
    <w:multiLevelType w:val="hybridMultilevel"/>
    <w:tmpl w:val="138EA61C"/>
    <w:lvl w:ilvl="0" w:tplc="5BB0D654">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10715F5"/>
    <w:multiLevelType w:val="hybridMultilevel"/>
    <w:tmpl w:val="581A597C"/>
    <w:lvl w:ilvl="0" w:tplc="BED818A2">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CE24C4"/>
    <w:multiLevelType w:val="hybridMultilevel"/>
    <w:tmpl w:val="A80EB318"/>
    <w:lvl w:ilvl="0" w:tplc="A58EAD8E">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2171E9F"/>
    <w:multiLevelType w:val="hybridMultilevel"/>
    <w:tmpl w:val="48E26D96"/>
    <w:lvl w:ilvl="0" w:tplc="8E6A1A38">
      <w:start w:val="2"/>
      <w:numFmt w:val="bullet"/>
      <w:lvlText w:val="-"/>
      <w:lvlJc w:val="left"/>
      <w:pPr>
        <w:ind w:left="720" w:hanging="360"/>
      </w:pPr>
      <w:rPr>
        <w:rFonts w:ascii="OrigGarmnd BT" w:eastAsia="Times New Roman" w:hAnsi="OrigGarmnd BT"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20953759">
    <w:abstractNumId w:val="2"/>
  </w:num>
  <w:num w:numId="2" w16cid:durableId="1553073468">
    <w:abstractNumId w:val="1"/>
  </w:num>
  <w:num w:numId="3" w16cid:durableId="2055419990">
    <w:abstractNumId w:val="0"/>
  </w:num>
  <w:num w:numId="4" w16cid:durableId="1860125530">
    <w:abstractNumId w:val="5"/>
  </w:num>
  <w:num w:numId="5" w16cid:durableId="317345991">
    <w:abstractNumId w:val="4"/>
  </w:num>
  <w:num w:numId="6" w16cid:durableId="869298988">
    <w:abstractNumId w:val="3"/>
  </w:num>
  <w:num w:numId="7" w16cid:durableId="797188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01742D"/>
    <w:rsid w:val="00052F04"/>
    <w:rsid w:val="00054984"/>
    <w:rsid w:val="00056D4B"/>
    <w:rsid w:val="00062BAE"/>
    <w:rsid w:val="00067B85"/>
    <w:rsid w:val="000944FA"/>
    <w:rsid w:val="000A1217"/>
    <w:rsid w:val="000A3567"/>
    <w:rsid w:val="000A685D"/>
    <w:rsid w:val="000B6C4B"/>
    <w:rsid w:val="000D4EEF"/>
    <w:rsid w:val="000F2D11"/>
    <w:rsid w:val="001109DE"/>
    <w:rsid w:val="00112674"/>
    <w:rsid w:val="00116C32"/>
    <w:rsid w:val="00140705"/>
    <w:rsid w:val="00144C53"/>
    <w:rsid w:val="00150384"/>
    <w:rsid w:val="00151651"/>
    <w:rsid w:val="00163431"/>
    <w:rsid w:val="001719D5"/>
    <w:rsid w:val="001805B7"/>
    <w:rsid w:val="00183285"/>
    <w:rsid w:val="00187D76"/>
    <w:rsid w:val="001A3F38"/>
    <w:rsid w:val="001B3ADE"/>
    <w:rsid w:val="001B660E"/>
    <w:rsid w:val="001D0B17"/>
    <w:rsid w:val="00220D9B"/>
    <w:rsid w:val="00236D65"/>
    <w:rsid w:val="002476C7"/>
    <w:rsid w:val="00256C97"/>
    <w:rsid w:val="00263F89"/>
    <w:rsid w:val="002906CF"/>
    <w:rsid w:val="002A28D2"/>
    <w:rsid w:val="002F5988"/>
    <w:rsid w:val="00306D5B"/>
    <w:rsid w:val="00316130"/>
    <w:rsid w:val="00325818"/>
    <w:rsid w:val="00340990"/>
    <w:rsid w:val="00346B14"/>
    <w:rsid w:val="003748BA"/>
    <w:rsid w:val="00374A1D"/>
    <w:rsid w:val="003B080F"/>
    <w:rsid w:val="003C1EDA"/>
    <w:rsid w:val="003C1EEF"/>
    <w:rsid w:val="003E1513"/>
    <w:rsid w:val="00401D3B"/>
    <w:rsid w:val="004103AC"/>
    <w:rsid w:val="0045074F"/>
    <w:rsid w:val="0045087E"/>
    <w:rsid w:val="00452C30"/>
    <w:rsid w:val="00453CD3"/>
    <w:rsid w:val="0046319C"/>
    <w:rsid w:val="00480087"/>
    <w:rsid w:val="00485FFC"/>
    <w:rsid w:val="004916B3"/>
    <w:rsid w:val="00491F83"/>
    <w:rsid w:val="00496097"/>
    <w:rsid w:val="00497E94"/>
    <w:rsid w:val="004A0D43"/>
    <w:rsid w:val="004A328D"/>
    <w:rsid w:val="004B2F54"/>
    <w:rsid w:val="004D1223"/>
    <w:rsid w:val="004E247E"/>
    <w:rsid w:val="00511E7D"/>
    <w:rsid w:val="00570AFF"/>
    <w:rsid w:val="00574E85"/>
    <w:rsid w:val="00582273"/>
    <w:rsid w:val="0059546E"/>
    <w:rsid w:val="00597C47"/>
    <w:rsid w:val="005D4D22"/>
    <w:rsid w:val="005D72E3"/>
    <w:rsid w:val="005F69E9"/>
    <w:rsid w:val="0060042B"/>
    <w:rsid w:val="00611CBE"/>
    <w:rsid w:val="00631E62"/>
    <w:rsid w:val="006446C7"/>
    <w:rsid w:val="00655194"/>
    <w:rsid w:val="00696EBB"/>
    <w:rsid w:val="006C6A34"/>
    <w:rsid w:val="006D0B9F"/>
    <w:rsid w:val="006E317D"/>
    <w:rsid w:val="006E4E11"/>
    <w:rsid w:val="006F5F24"/>
    <w:rsid w:val="006F711E"/>
    <w:rsid w:val="006F724D"/>
    <w:rsid w:val="0070791C"/>
    <w:rsid w:val="00714F2A"/>
    <w:rsid w:val="00721C5E"/>
    <w:rsid w:val="007242A3"/>
    <w:rsid w:val="00751FBA"/>
    <w:rsid w:val="0075533A"/>
    <w:rsid w:val="007556BD"/>
    <w:rsid w:val="00773795"/>
    <w:rsid w:val="00783472"/>
    <w:rsid w:val="00797095"/>
    <w:rsid w:val="007A678A"/>
    <w:rsid w:val="007B2960"/>
    <w:rsid w:val="007B62EA"/>
    <w:rsid w:val="007D2940"/>
    <w:rsid w:val="007F4E39"/>
    <w:rsid w:val="008047EB"/>
    <w:rsid w:val="00820538"/>
    <w:rsid w:val="00854C7B"/>
    <w:rsid w:val="008600B1"/>
    <w:rsid w:val="00870AE8"/>
    <w:rsid w:val="00880F62"/>
    <w:rsid w:val="0088633E"/>
    <w:rsid w:val="008B26A5"/>
    <w:rsid w:val="008B290B"/>
    <w:rsid w:val="008B2D02"/>
    <w:rsid w:val="008B4872"/>
    <w:rsid w:val="008C28C7"/>
    <w:rsid w:val="008D33EC"/>
    <w:rsid w:val="008D4DC7"/>
    <w:rsid w:val="008E44F6"/>
    <w:rsid w:val="009027FD"/>
    <w:rsid w:val="00907488"/>
    <w:rsid w:val="00952926"/>
    <w:rsid w:val="00992C0A"/>
    <w:rsid w:val="00993BCC"/>
    <w:rsid w:val="00994EC1"/>
    <w:rsid w:val="009A1476"/>
    <w:rsid w:val="009A79A4"/>
    <w:rsid w:val="009B0910"/>
    <w:rsid w:val="009D28F9"/>
    <w:rsid w:val="009D3808"/>
    <w:rsid w:val="009D43C2"/>
    <w:rsid w:val="00A03C91"/>
    <w:rsid w:val="00A239F6"/>
    <w:rsid w:val="00A24576"/>
    <w:rsid w:val="00A5614A"/>
    <w:rsid w:val="00A819EE"/>
    <w:rsid w:val="00A83CC6"/>
    <w:rsid w:val="00AC5F6D"/>
    <w:rsid w:val="00B17ED9"/>
    <w:rsid w:val="00B27503"/>
    <w:rsid w:val="00B36040"/>
    <w:rsid w:val="00B508B8"/>
    <w:rsid w:val="00B76AC0"/>
    <w:rsid w:val="00B77A5D"/>
    <w:rsid w:val="00B82A4C"/>
    <w:rsid w:val="00B85827"/>
    <w:rsid w:val="00B94582"/>
    <w:rsid w:val="00BB0854"/>
    <w:rsid w:val="00BB4705"/>
    <w:rsid w:val="00BD2BEB"/>
    <w:rsid w:val="00BD7879"/>
    <w:rsid w:val="00C01C4A"/>
    <w:rsid w:val="00C250D0"/>
    <w:rsid w:val="00C513E0"/>
    <w:rsid w:val="00C61349"/>
    <w:rsid w:val="00CD16EC"/>
    <w:rsid w:val="00CD796D"/>
    <w:rsid w:val="00CE12C8"/>
    <w:rsid w:val="00CE40FE"/>
    <w:rsid w:val="00CF1EFF"/>
    <w:rsid w:val="00D103B3"/>
    <w:rsid w:val="00D31606"/>
    <w:rsid w:val="00D33ED0"/>
    <w:rsid w:val="00D43F85"/>
    <w:rsid w:val="00D62D48"/>
    <w:rsid w:val="00D65112"/>
    <w:rsid w:val="00D7148C"/>
    <w:rsid w:val="00D96793"/>
    <w:rsid w:val="00D975D7"/>
    <w:rsid w:val="00DC3853"/>
    <w:rsid w:val="00DD564D"/>
    <w:rsid w:val="00DD6B1F"/>
    <w:rsid w:val="00DE39C2"/>
    <w:rsid w:val="00DF578F"/>
    <w:rsid w:val="00E05BE3"/>
    <w:rsid w:val="00E45C65"/>
    <w:rsid w:val="00E50B8D"/>
    <w:rsid w:val="00E51FE1"/>
    <w:rsid w:val="00E5201C"/>
    <w:rsid w:val="00E56AE7"/>
    <w:rsid w:val="00E57605"/>
    <w:rsid w:val="00E66C44"/>
    <w:rsid w:val="00E73BE4"/>
    <w:rsid w:val="00E926CB"/>
    <w:rsid w:val="00E97E78"/>
    <w:rsid w:val="00EA2ADD"/>
    <w:rsid w:val="00EB17C5"/>
    <w:rsid w:val="00EB5EF1"/>
    <w:rsid w:val="00EC25F9"/>
    <w:rsid w:val="00EC6338"/>
    <w:rsid w:val="00ED03E1"/>
    <w:rsid w:val="00ED6D14"/>
    <w:rsid w:val="00EE150A"/>
    <w:rsid w:val="00EF3E80"/>
    <w:rsid w:val="00F013D4"/>
    <w:rsid w:val="00F01ED7"/>
    <w:rsid w:val="00F13C78"/>
    <w:rsid w:val="00F2396D"/>
    <w:rsid w:val="00F3167B"/>
    <w:rsid w:val="00F31DC5"/>
    <w:rsid w:val="00F342A5"/>
    <w:rsid w:val="00F350C8"/>
    <w:rsid w:val="00F53DB3"/>
    <w:rsid w:val="00F55460"/>
    <w:rsid w:val="00F64879"/>
    <w:rsid w:val="00F73577"/>
    <w:rsid w:val="00F840C2"/>
    <w:rsid w:val="00F8458E"/>
    <w:rsid w:val="00F86B23"/>
    <w:rsid w:val="00FC3571"/>
    <w:rsid w:val="00FD4890"/>
    <w:rsid w:val="00FE7C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A4CA43-9038-41FB-BE17-F2A7862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C4B"/>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820538"/>
    <w:rPr>
      <w:rFonts w:ascii="OrigGarmnd BT" w:hAnsi="OrigGarmnd BT"/>
      <w:sz w:val="24"/>
      <w:lang w:val="sv-SE" w:eastAsia="en-US" w:bidi="ar-SA"/>
    </w:rPr>
  </w:style>
  <w:style w:type="character" w:customStyle="1" w:styleId="RKnormalChar1">
    <w:name w:val="RKnormal Char1"/>
    <w:rsid w:val="00491F83"/>
    <w:rPr>
      <w:rFonts w:ascii="OrigGarmnd BT" w:hAnsi="OrigGarmnd BT"/>
      <w:sz w:val="24"/>
      <w:lang w:val="sv-SE" w:eastAsia="en-US" w:bidi="ar-SA"/>
    </w:rPr>
  </w:style>
  <w:style w:type="paragraph" w:styleId="Normalwebb">
    <w:name w:val="Normal (Web)"/>
    <w:basedOn w:val="Normal"/>
    <w:rsid w:val="007D2940"/>
    <w:pPr>
      <w:overflowPunct/>
      <w:autoSpaceDE/>
      <w:autoSpaceDN/>
      <w:adjustRightInd/>
      <w:spacing w:line="240" w:lineRule="auto"/>
      <w:textAlignment w:val="auto"/>
    </w:pPr>
    <w:rPr>
      <w:rFonts w:ascii="Times New Roman" w:hAnsi="Times New Roman"/>
      <w:szCs w:val="24"/>
      <w:lang w:val="hu-HU" w:eastAsia="hu-HU"/>
    </w:rPr>
  </w:style>
  <w:style w:type="paragraph" w:styleId="Ballongtext">
    <w:name w:val="Balloon Text"/>
    <w:basedOn w:val="Normal"/>
    <w:link w:val="BallongtextChar"/>
    <w:rsid w:val="008B4872"/>
    <w:pPr>
      <w:spacing w:line="240" w:lineRule="auto"/>
    </w:pPr>
    <w:rPr>
      <w:rFonts w:ascii="Tahoma" w:hAnsi="Tahoma" w:cs="Tahoma"/>
      <w:sz w:val="16"/>
      <w:szCs w:val="16"/>
    </w:rPr>
  </w:style>
  <w:style w:type="character" w:customStyle="1" w:styleId="BallongtextChar">
    <w:name w:val="Ballongtext Char"/>
    <w:link w:val="Ballongtext"/>
    <w:rsid w:val="008B4872"/>
    <w:rPr>
      <w:rFonts w:ascii="Tahoma" w:hAnsi="Tahoma" w:cs="Tahoma"/>
      <w:sz w:val="16"/>
      <w:szCs w:val="16"/>
      <w:lang w:eastAsia="en-US"/>
    </w:rPr>
  </w:style>
  <w:style w:type="paragraph" w:customStyle="1" w:styleId="Znak">
    <w:name w:val=" Znak"/>
    <w:basedOn w:val="Normal"/>
    <w:rsid w:val="008B4872"/>
    <w:pPr>
      <w:overflowPunct/>
      <w:autoSpaceDE/>
      <w:autoSpaceDN/>
      <w:adjustRightInd/>
      <w:spacing w:line="240" w:lineRule="auto"/>
      <w:textAlignment w:val="auto"/>
    </w:pPr>
    <w:rPr>
      <w:rFonts w:ascii="Times New Roman" w:hAnsi="Times New Roman"/>
      <w:szCs w:val="24"/>
      <w:lang w:val="pl-PL" w:eastAsia="pl-PL"/>
    </w:rPr>
  </w:style>
  <w:style w:type="paragraph" w:customStyle="1" w:styleId="CarcterCarcterCharCarcterCarcterCharCarcterCarcterCharCharCarcterCarcter">
    <w:name w:val=" Carácter Carácter Char Carácter Carácter Char Carácter Carácter Char Char Carácter Carácter"/>
    <w:basedOn w:val="Normal"/>
    <w:rsid w:val="008B4872"/>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Emet">
    <w:name w:val="EntEmet"/>
    <w:basedOn w:val="Normal"/>
    <w:rsid w:val="00BB4705"/>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customStyle="1" w:styleId="dokumentbeteckning-titel">
    <w:name w:val="dokumentbeteckning - titel"/>
    <w:basedOn w:val="Normal"/>
    <w:rsid w:val="008D33EC"/>
    <w:pPr>
      <w:overflowPunct/>
      <w:autoSpaceDE/>
      <w:autoSpaceDN/>
      <w:adjustRightInd/>
      <w:spacing w:before="100" w:beforeAutospacing="1" w:after="192"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6150">
      <w:bodyDiv w:val="1"/>
      <w:marLeft w:val="0"/>
      <w:marRight w:val="0"/>
      <w:marTop w:val="0"/>
      <w:marBottom w:val="0"/>
      <w:divBdr>
        <w:top w:val="none" w:sz="0" w:space="0" w:color="auto"/>
        <w:left w:val="none" w:sz="0" w:space="0" w:color="auto"/>
        <w:bottom w:val="none" w:sz="0" w:space="0" w:color="auto"/>
        <w:right w:val="none" w:sz="0" w:space="0" w:color="auto"/>
      </w:divBdr>
    </w:div>
    <w:div w:id="801075979">
      <w:bodyDiv w:val="1"/>
      <w:marLeft w:val="0"/>
      <w:marRight w:val="0"/>
      <w:marTop w:val="0"/>
      <w:marBottom w:val="0"/>
      <w:divBdr>
        <w:top w:val="none" w:sz="0" w:space="0" w:color="auto"/>
        <w:left w:val="none" w:sz="0" w:space="0" w:color="auto"/>
        <w:bottom w:val="none" w:sz="0" w:space="0" w:color="auto"/>
        <w:right w:val="none" w:sz="0" w:space="0" w:color="auto"/>
      </w:divBdr>
    </w:div>
    <w:div w:id="1161042348">
      <w:bodyDiv w:val="1"/>
      <w:marLeft w:val="0"/>
      <w:marRight w:val="0"/>
      <w:marTop w:val="0"/>
      <w:marBottom w:val="0"/>
      <w:divBdr>
        <w:top w:val="none" w:sz="0" w:space="0" w:color="auto"/>
        <w:left w:val="none" w:sz="0" w:space="0" w:color="auto"/>
        <w:bottom w:val="none" w:sz="0" w:space="0" w:color="auto"/>
        <w:right w:val="none" w:sz="0" w:space="0" w:color="auto"/>
      </w:divBdr>
    </w:div>
    <w:div w:id="1339767291">
      <w:bodyDiv w:val="1"/>
      <w:marLeft w:val="0"/>
      <w:marRight w:val="0"/>
      <w:marTop w:val="0"/>
      <w:marBottom w:val="0"/>
      <w:divBdr>
        <w:top w:val="none" w:sz="0" w:space="0" w:color="auto"/>
        <w:left w:val="none" w:sz="0" w:space="0" w:color="auto"/>
        <w:bottom w:val="none" w:sz="0" w:space="0" w:color="auto"/>
        <w:right w:val="none" w:sz="0" w:space="0" w:color="auto"/>
      </w:divBdr>
    </w:div>
    <w:div w:id="1426850611">
      <w:bodyDiv w:val="1"/>
      <w:marLeft w:val="0"/>
      <w:marRight w:val="0"/>
      <w:marTop w:val="0"/>
      <w:marBottom w:val="0"/>
      <w:divBdr>
        <w:top w:val="none" w:sz="0" w:space="0" w:color="auto"/>
        <w:left w:val="none" w:sz="0" w:space="0" w:color="auto"/>
        <w:bottom w:val="none" w:sz="0" w:space="0" w:color="auto"/>
        <w:right w:val="none" w:sz="0" w:space="0" w:color="auto"/>
      </w:divBdr>
      <w:divsChild>
        <w:div w:id="1772044908">
          <w:marLeft w:val="0"/>
          <w:marRight w:val="0"/>
          <w:marTop w:val="0"/>
          <w:marBottom w:val="0"/>
          <w:divBdr>
            <w:top w:val="none" w:sz="0" w:space="0" w:color="auto"/>
            <w:left w:val="none" w:sz="0" w:space="0" w:color="auto"/>
            <w:bottom w:val="none" w:sz="0" w:space="0" w:color="auto"/>
            <w:right w:val="none" w:sz="0" w:space="0" w:color="auto"/>
          </w:divBdr>
          <w:divsChild>
            <w:div w:id="345864440">
              <w:marLeft w:val="195"/>
              <w:marRight w:val="180"/>
              <w:marTop w:val="0"/>
              <w:marBottom w:val="0"/>
              <w:divBdr>
                <w:top w:val="none" w:sz="0" w:space="0" w:color="auto"/>
                <w:left w:val="none" w:sz="0" w:space="0" w:color="auto"/>
                <w:bottom w:val="none" w:sz="0" w:space="0" w:color="auto"/>
                <w:right w:val="none" w:sz="0" w:space="0" w:color="auto"/>
              </w:divBdr>
              <w:divsChild>
                <w:div w:id="1909537386">
                  <w:marLeft w:val="195"/>
                  <w:marRight w:val="180"/>
                  <w:marTop w:val="0"/>
                  <w:marBottom w:val="0"/>
                  <w:divBdr>
                    <w:top w:val="none" w:sz="0" w:space="0" w:color="auto"/>
                    <w:left w:val="none" w:sz="0" w:space="0" w:color="auto"/>
                    <w:bottom w:val="none" w:sz="0" w:space="0" w:color="auto"/>
                    <w:right w:val="none" w:sz="0" w:space="0" w:color="auto"/>
                  </w:divBdr>
                  <w:divsChild>
                    <w:div w:id="1209951112">
                      <w:marLeft w:val="195"/>
                      <w:marRight w:val="180"/>
                      <w:marTop w:val="0"/>
                      <w:marBottom w:val="0"/>
                      <w:divBdr>
                        <w:top w:val="none" w:sz="0" w:space="0" w:color="auto"/>
                        <w:left w:val="none" w:sz="0" w:space="0" w:color="auto"/>
                        <w:bottom w:val="none" w:sz="0" w:space="0" w:color="auto"/>
                        <w:right w:val="none" w:sz="0" w:space="0" w:color="auto"/>
                      </w:divBdr>
                      <w:divsChild>
                        <w:div w:id="890507050">
                          <w:marLeft w:val="0"/>
                          <w:marRight w:val="0"/>
                          <w:marTop w:val="0"/>
                          <w:marBottom w:val="0"/>
                          <w:divBdr>
                            <w:top w:val="none" w:sz="0" w:space="0" w:color="auto"/>
                            <w:left w:val="none" w:sz="0" w:space="0" w:color="auto"/>
                            <w:bottom w:val="none" w:sz="0" w:space="0" w:color="auto"/>
                            <w:right w:val="none" w:sz="0" w:space="0" w:color="auto"/>
                          </w:divBdr>
                          <w:divsChild>
                            <w:div w:id="2014448929">
                              <w:marLeft w:val="195"/>
                              <w:marRight w:val="180"/>
                              <w:marTop w:val="0"/>
                              <w:marBottom w:val="0"/>
                              <w:divBdr>
                                <w:top w:val="none" w:sz="0" w:space="0" w:color="auto"/>
                                <w:left w:val="none" w:sz="0" w:space="0" w:color="auto"/>
                                <w:bottom w:val="none" w:sz="0" w:space="0" w:color="auto"/>
                                <w:right w:val="none" w:sz="0" w:space="0" w:color="auto"/>
                              </w:divBdr>
                              <w:divsChild>
                                <w:div w:id="572813486">
                                  <w:marLeft w:val="195"/>
                                  <w:marRight w:val="180"/>
                                  <w:marTop w:val="0"/>
                                  <w:marBottom w:val="0"/>
                                  <w:divBdr>
                                    <w:top w:val="none" w:sz="0" w:space="0" w:color="auto"/>
                                    <w:left w:val="none" w:sz="0" w:space="0" w:color="auto"/>
                                    <w:bottom w:val="none" w:sz="0" w:space="0" w:color="auto"/>
                                    <w:right w:val="none" w:sz="0" w:space="0" w:color="auto"/>
                                  </w:divBdr>
                                  <w:divsChild>
                                    <w:div w:id="771710176">
                                      <w:marLeft w:val="195"/>
                                      <w:marRight w:val="180"/>
                                      <w:marTop w:val="0"/>
                                      <w:marBottom w:val="0"/>
                                      <w:divBdr>
                                        <w:top w:val="none" w:sz="0" w:space="0" w:color="auto"/>
                                        <w:left w:val="none" w:sz="0" w:space="0" w:color="auto"/>
                                        <w:bottom w:val="none" w:sz="0" w:space="0" w:color="auto"/>
                                        <w:right w:val="none" w:sz="0" w:space="0" w:color="auto"/>
                                      </w:divBdr>
                                      <w:divsChild>
                                        <w:div w:id="1121605279">
                                          <w:marLeft w:val="195"/>
                                          <w:marRight w:val="180"/>
                                          <w:marTop w:val="0"/>
                                          <w:marBottom w:val="0"/>
                                          <w:divBdr>
                                            <w:top w:val="none" w:sz="0" w:space="0" w:color="auto"/>
                                            <w:left w:val="none" w:sz="0" w:space="0" w:color="auto"/>
                                            <w:bottom w:val="none" w:sz="0" w:space="0" w:color="auto"/>
                                            <w:right w:val="none" w:sz="0" w:space="0" w:color="auto"/>
                                          </w:divBdr>
                                          <w:divsChild>
                                            <w:div w:id="1861316054">
                                              <w:marLeft w:val="0"/>
                                              <w:marRight w:val="0"/>
                                              <w:marTop w:val="0"/>
                                              <w:marBottom w:val="0"/>
                                              <w:divBdr>
                                                <w:top w:val="none" w:sz="0" w:space="0" w:color="auto"/>
                                                <w:left w:val="none" w:sz="0" w:space="0" w:color="auto"/>
                                                <w:bottom w:val="none" w:sz="0" w:space="0" w:color="auto"/>
                                                <w:right w:val="none" w:sz="0" w:space="0" w:color="auto"/>
                                              </w:divBdr>
                                              <w:divsChild>
                                                <w:div w:id="985471060">
                                                  <w:marLeft w:val="195"/>
                                                  <w:marRight w:val="180"/>
                                                  <w:marTop w:val="0"/>
                                                  <w:marBottom w:val="0"/>
                                                  <w:divBdr>
                                                    <w:top w:val="none" w:sz="0" w:space="0" w:color="auto"/>
                                                    <w:left w:val="none" w:sz="0" w:space="0" w:color="auto"/>
                                                    <w:bottom w:val="none" w:sz="0" w:space="0" w:color="auto"/>
                                                    <w:right w:val="none" w:sz="0" w:space="0" w:color="auto"/>
                                                  </w:divBdr>
                                                  <w:divsChild>
                                                    <w:div w:id="14038943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223902">
      <w:bodyDiv w:val="1"/>
      <w:marLeft w:val="0"/>
      <w:marRight w:val="0"/>
      <w:marTop w:val="0"/>
      <w:marBottom w:val="0"/>
      <w:divBdr>
        <w:top w:val="none" w:sz="0" w:space="0" w:color="auto"/>
        <w:left w:val="none" w:sz="0" w:space="0" w:color="auto"/>
        <w:bottom w:val="none" w:sz="0" w:space="0" w:color="auto"/>
        <w:right w:val="none" w:sz="0" w:space="0" w:color="auto"/>
      </w:divBdr>
    </w:div>
    <w:div w:id="15939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1964</Words>
  <Characters>12596</Characters>
  <Application>Microsoft Office Word</Application>
  <DocSecurity>4</DocSecurity>
  <Lines>349</Lines>
  <Paragraphs>116</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cp:lastModifiedBy>Lars Brink</cp:lastModifiedBy>
  <cp:revision>2</cp:revision>
  <cp:lastPrinted>2012-06-04T07:27:00Z</cp:lastPrinted>
  <dcterms:created xsi:type="dcterms:W3CDTF">2025-12-17T21:43:00Z</dcterms:created>
  <dcterms:modified xsi:type="dcterms:W3CDTF">2025-12-17T21:43:00Z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y fmtid="{D5CDD505-2E9C-101B-9397-08002B2CF9AE}" pid="12" name="RKOrdnaDepartement2">
    <vt:lpwstr>Näringsdepartementet</vt:lpwstr>
  </property>
  <property fmtid="{D5CDD505-2E9C-101B-9397-08002B2CF9AE}" pid="13" name="RKOrdnaCheckInComment">
    <vt:lpwstr/>
  </property>
  <property fmtid="{D5CDD505-2E9C-101B-9397-08002B2CF9AE}" pid="14" name="RKOrdnaClass">
    <vt:lpwstr/>
  </property>
  <property fmtid="{D5CDD505-2E9C-101B-9397-08002B2CF9AE}" pid="15" name="RKOrdnaActivityCategory2">
    <vt:lpwstr>4.1.2. Rådsarbete</vt:lpwstr>
  </property>
</Properties>
</file>