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802" w:rsidRPr="004238D1" w:rsidRDefault="004A3802">
      <w:pPr>
        <w:pStyle w:val="Frslagsrubrik"/>
        <w:shd w:val="clear" w:color="000000" w:fill="auto"/>
      </w:pPr>
      <w:r w:rsidRPr="004238D1">
        <w:t>Förslag till riksdagsbeslut</w:t>
      </w:r>
    </w:p>
    <w:p w:rsidR="004A3802" w:rsidRPr="004238D1" w:rsidRDefault="004A3802">
      <w:pPr>
        <w:pStyle w:val="Hemstlatt"/>
        <w:shd w:val="clear" w:color="000000" w:fill="auto"/>
      </w:pPr>
      <w:r w:rsidRPr="004238D1">
        <w:t>Riksdagen anvisar till utgiftsområde 16 Utbildning och universitetsforskning 646 000 000 kr utöver vad regeringen föreslagit för budgetåret 2011 eller således 55 177 516 000 kr.</w:t>
      </w:r>
    </w:p>
    <w:p w:rsidR="004A3802" w:rsidRPr="004238D1" w:rsidRDefault="004A3802">
      <w:pPr>
        <w:pStyle w:val="Rubrik1"/>
        <w:shd w:val="clear" w:color="000000" w:fill="auto"/>
      </w:pPr>
      <w:r w:rsidRPr="004238D1">
        <w:t>Motivering</w:t>
      </w:r>
    </w:p>
    <w:p w:rsidR="004A3802" w:rsidRPr="004238D1" w:rsidRDefault="004A3802">
      <w:pPr>
        <w:shd w:val="clear" w:color="000000" w:fill="auto"/>
      </w:pPr>
      <w:r w:rsidRPr="004238D1">
        <w:t xml:space="preserve">Modersmålsundervisningen bidrar till att underminera den gemensamma identiteten i samhället och den pedagogiska nyttan med verksamheten står inte i rimligt proportion till dess kostnader och skall därför avskaffas. </w:t>
      </w:r>
    </w:p>
    <w:p w:rsidR="004A3802" w:rsidRPr="004238D1" w:rsidRDefault="004A3802">
      <w:pPr>
        <w:pStyle w:val="Normaltindrag"/>
        <w:shd w:val="clear" w:color="000000" w:fill="auto"/>
      </w:pPr>
      <w:r w:rsidRPr="004238D1">
        <w:t xml:space="preserve">För att bekämpa otrygghet och psykisk ohälsa bland eleverna och för att avlasta lärarkåren, som idag tvingas ägna alltför mycket tid åt andra saker än ren kunskapsförmedling, vill Sverigedemokraterna genomföra en satsning på fler vuxna i skolan i form av bland annat fler skolsköterskor och kuratorer och en utveckling av klassmorfarverksamheten. </w:t>
      </w:r>
    </w:p>
    <w:p w:rsidR="004A3802" w:rsidRPr="004238D1" w:rsidRDefault="004A3802">
      <w:pPr>
        <w:pStyle w:val="Normaltindrag"/>
        <w:shd w:val="clear" w:color="000000" w:fill="auto"/>
      </w:pPr>
      <w:r w:rsidRPr="004238D1">
        <w:t>Mobbning, sexuella trakasserier och utanförskap skall motverkas på sa</w:t>
      </w:r>
      <w:r w:rsidRPr="004238D1">
        <w:t>m</w:t>
      </w:r>
      <w:r w:rsidRPr="004238D1">
        <w:t>ma sätt som på alla andra arbetsplatser. Elever som inte fungerar i skolsitu</w:t>
      </w:r>
      <w:r w:rsidRPr="004238D1">
        <w:t>a</w:t>
      </w:r>
      <w:r w:rsidRPr="004238D1">
        <w:t xml:space="preserve">tionen skall kunna placeras i en jourskola – även mot den enskilda elevens och föräldrarnas vilja. Trygghet och studiero för skötsamma elever måste alltid vara överordnat de bråkiga elevernas behov. För det syftet bör också kvarsittning vara en disciplinär metod som skolan är tillåten att använda. </w:t>
      </w:r>
    </w:p>
    <w:p w:rsidR="004A3802" w:rsidRPr="004238D1" w:rsidRDefault="004A3802">
      <w:pPr>
        <w:pStyle w:val="Normaltindrag"/>
        <w:shd w:val="clear" w:color="000000" w:fill="auto"/>
      </w:pPr>
      <w:r w:rsidRPr="004238D1">
        <w:t>För att Sverige även i framtiden skall kunna hävda sig på den internati</w:t>
      </w:r>
      <w:r w:rsidRPr="004238D1">
        <w:t>o</w:t>
      </w:r>
      <w:r w:rsidRPr="004238D1">
        <w:t>nella marknaden och säkra den svenska sysselsättningen fordras ökade resu</w:t>
      </w:r>
      <w:r w:rsidRPr="004238D1">
        <w:t>r</w:t>
      </w:r>
      <w:r w:rsidRPr="004238D1">
        <w:t>ser till forskning. Sverigedemokraterna vill därför successivt höja forskning</w:t>
      </w:r>
      <w:r w:rsidRPr="004238D1">
        <w:t>s</w:t>
      </w:r>
      <w:r w:rsidRPr="004238D1">
        <w:t>anslagen för utbildningsområdet – i denna budgetmotion fördelar vi 200 Mkr till ändamålet. Ansvaret att fördela resurserna tilldelas Statens skolverk. Skolverket får även till uppgift att fördela 100 Mkr till utökat antal läkarpla</w:t>
      </w:r>
      <w:r w:rsidRPr="004238D1">
        <w:t>t</w:t>
      </w:r>
      <w:r w:rsidRPr="004238D1">
        <w:t xml:space="preserve">ser vid landets högskolor och universitet. </w:t>
      </w:r>
    </w:p>
    <w:p w:rsidR="004A3802" w:rsidRPr="004238D1" w:rsidRDefault="004A3802">
      <w:pPr>
        <w:pStyle w:val="Normaltindrag"/>
        <w:shd w:val="clear" w:color="000000" w:fill="auto"/>
      </w:pPr>
      <w:r w:rsidRPr="004238D1">
        <w:lastRenderedPageBreak/>
        <w:t>Som ett led i Sverigedemokraternas ambition att öka matchningen på a</w:t>
      </w:r>
      <w:r w:rsidRPr="004238D1">
        <w:t>r</w:t>
      </w:r>
      <w:r w:rsidRPr="004238D1">
        <w:t>betsmarknaden avsätter vi, samtidigt som vi ökar anslagen till komvux, även extra resurser till studievägledning. Se utgiftsområde 25.</w:t>
      </w:r>
    </w:p>
    <w:p w:rsidR="004A3802" w:rsidRPr="004238D1" w:rsidRDefault="004A3802">
      <w:pPr>
        <w:shd w:val="clear" w:color="000000" w:fill="auto"/>
        <w:rPr>
          <w:b/>
        </w:rPr>
      </w:pPr>
      <w:r w:rsidRPr="004238D1">
        <w:rPr>
          <w:b/>
        </w:rPr>
        <w:t>Anslagsförslag 2011 för utgiftsområde 16 Utbildning och universitet</w:t>
      </w:r>
      <w:r w:rsidRPr="004238D1">
        <w:rPr>
          <w:b/>
        </w:rPr>
        <w:t>s</w:t>
      </w:r>
      <w:r w:rsidRPr="004238D1">
        <w:rPr>
          <w:b/>
        </w:rPr>
        <w:t>forskning (SD)</w:t>
      </w:r>
    </w:p>
    <w:p w:rsidR="004A3802" w:rsidRPr="004238D1" w:rsidRDefault="004A3802">
      <w:pPr>
        <w:pStyle w:val="Normaltindrag"/>
        <w:shd w:val="clear" w:color="000000" w:fill="auto"/>
        <w:ind w:firstLine="57"/>
      </w:pPr>
      <w:r w:rsidRPr="004238D1">
        <w:rPr>
          <w:i/>
          <w:iCs/>
          <w:sz w:val="16"/>
          <w:szCs w:val="16"/>
        </w:rPr>
        <w:t>Tusental kronor</w:t>
      </w:r>
    </w:p>
    <w:tbl>
      <w:tblPr>
        <w:tblW w:w="5954" w:type="dxa"/>
        <w:tblInd w:w="70" w:type="dxa"/>
        <w:tblLayout w:type="fixed"/>
        <w:tblCellMar>
          <w:left w:w="70" w:type="dxa"/>
          <w:right w:w="70" w:type="dxa"/>
        </w:tblCellMar>
        <w:tblLook w:val="0000" w:firstRow="0" w:lastRow="0" w:firstColumn="0" w:lastColumn="0" w:noHBand="0" w:noVBand="0"/>
      </w:tblPr>
      <w:tblGrid>
        <w:gridCol w:w="595"/>
        <w:gridCol w:w="3445"/>
        <w:gridCol w:w="952"/>
        <w:gridCol w:w="962"/>
      </w:tblGrid>
      <w:tr w:rsidR="00000000" w:rsidRPr="004238D1">
        <w:trPr>
          <w:tblHeader/>
        </w:trPr>
        <w:tc>
          <w:tcPr>
            <w:tcW w:w="4040" w:type="dxa"/>
            <w:gridSpan w:val="2"/>
            <w:tcBorders>
              <w:top w:val="single" w:sz="4" w:space="0" w:color="auto"/>
              <w:left w:val="nil"/>
              <w:bottom w:val="single" w:sz="4" w:space="0" w:color="auto"/>
              <w:right w:val="nil"/>
            </w:tcBorders>
            <w:noWrap/>
          </w:tcPr>
          <w:p w:rsidR="004A3802" w:rsidRPr="004238D1" w:rsidRDefault="004A3802">
            <w:pPr>
              <w:shd w:val="clear" w:color="000000" w:fill="auto"/>
              <w:spacing w:before="60" w:line="200" w:lineRule="exact"/>
              <w:rPr>
                <w:b/>
                <w:bCs/>
                <w:sz w:val="16"/>
                <w:szCs w:val="16"/>
              </w:rPr>
            </w:pPr>
            <w:r w:rsidRPr="004238D1">
              <w:rPr>
                <w:b/>
                <w:bCs/>
                <w:sz w:val="16"/>
                <w:szCs w:val="16"/>
              </w:rPr>
              <w:t>Anslag (ramanslag)</w:t>
            </w:r>
          </w:p>
        </w:tc>
        <w:tc>
          <w:tcPr>
            <w:tcW w:w="952" w:type="dxa"/>
            <w:tcBorders>
              <w:top w:val="single" w:sz="4" w:space="0" w:color="auto"/>
              <w:left w:val="nil"/>
              <w:bottom w:val="single" w:sz="4" w:space="0" w:color="auto"/>
              <w:right w:val="nil"/>
            </w:tcBorders>
          </w:tcPr>
          <w:p w:rsidR="004A3802" w:rsidRPr="004238D1" w:rsidRDefault="004A3802">
            <w:pPr>
              <w:shd w:val="clear" w:color="000000" w:fill="auto"/>
              <w:spacing w:before="60" w:line="200" w:lineRule="exact"/>
              <w:jc w:val="right"/>
              <w:rPr>
                <w:b/>
                <w:bCs/>
                <w:sz w:val="16"/>
                <w:szCs w:val="16"/>
              </w:rPr>
            </w:pPr>
            <w:r w:rsidRPr="004238D1">
              <w:rPr>
                <w:b/>
                <w:bCs/>
                <w:sz w:val="16"/>
                <w:szCs w:val="16"/>
              </w:rPr>
              <w:t>Regerin</w:t>
            </w:r>
            <w:r w:rsidRPr="004238D1">
              <w:rPr>
                <w:b/>
                <w:bCs/>
                <w:sz w:val="16"/>
                <w:szCs w:val="16"/>
              </w:rPr>
              <w:t>g</w:t>
            </w:r>
            <w:r w:rsidRPr="004238D1">
              <w:rPr>
                <w:b/>
                <w:bCs/>
                <w:sz w:val="16"/>
                <w:szCs w:val="16"/>
              </w:rPr>
              <w:t>ens förslag</w:t>
            </w:r>
          </w:p>
        </w:tc>
        <w:tc>
          <w:tcPr>
            <w:tcW w:w="962" w:type="dxa"/>
            <w:tcBorders>
              <w:top w:val="single" w:sz="4" w:space="0" w:color="auto"/>
              <w:left w:val="nil"/>
              <w:bottom w:val="single" w:sz="4" w:space="0" w:color="auto"/>
              <w:right w:val="nil"/>
            </w:tcBorders>
          </w:tcPr>
          <w:p w:rsidR="004A3802" w:rsidRPr="004238D1" w:rsidRDefault="004A3802">
            <w:pPr>
              <w:shd w:val="clear" w:color="000000" w:fill="auto"/>
              <w:spacing w:before="60" w:line="200" w:lineRule="exact"/>
              <w:jc w:val="right"/>
              <w:rPr>
                <w:b/>
                <w:bCs/>
                <w:sz w:val="16"/>
                <w:szCs w:val="16"/>
              </w:rPr>
            </w:pPr>
            <w:r w:rsidRPr="004238D1">
              <w:rPr>
                <w:b/>
                <w:bCs/>
                <w:sz w:val="16"/>
                <w:szCs w:val="16"/>
              </w:rPr>
              <w:t>Avvikelse gentemot regeringens förslag</w:t>
            </w: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Statens skolverk</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315 768</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+500 000</w:t>
            </w: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Statens skolinspektion</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338 543</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Specialpedagogiska skolmyndigheten</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704 200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1:4</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Sameskolstyrelsen</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26 659</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1:5</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Utveckling av skolväsendet och annan pedagogisk verksamhet</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917 040</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1:6</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Särskilda insatser inom skolområdet</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419 761</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1:7</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Maxtaxa i förskola, fritidshem och annan pedag</w:t>
            </w:r>
            <w:r w:rsidRPr="004238D1">
              <w:rPr>
                <w:sz w:val="16"/>
                <w:szCs w:val="16"/>
              </w:rPr>
              <w:t>o</w:t>
            </w:r>
            <w:r w:rsidRPr="004238D1">
              <w:rPr>
                <w:sz w:val="16"/>
                <w:szCs w:val="16"/>
              </w:rPr>
              <w:t>gisk verksamhet m.m.</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3 660 000</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1:8</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Bidrag till viss verksamhet inom skolväsendet, m.m.</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151 603</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1:9</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Bidrag till svensk undervisning i utlandet</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101 565</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1:10</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Fortbildning av lärare och förskolepersonal</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1 046 100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1:11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Förstärkning av basfärdigheter</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400 000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1:12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Bidrag till vissa studier</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15 525</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1:13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Myndigheten för yrkeshögskolan</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104 830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1:14</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Utveckling av vuxenutbildning m.m.</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8 721</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1:15</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Statligt stöd till vuxenutbildning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3 350 142</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+146 000</w:t>
            </w: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1:16</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Bidrag till vissa handikappåtgärder inom utbil</w:t>
            </w:r>
            <w:r w:rsidRPr="004238D1">
              <w:rPr>
                <w:sz w:val="16"/>
                <w:szCs w:val="16"/>
              </w:rPr>
              <w:t>d</w:t>
            </w:r>
            <w:r w:rsidRPr="004238D1">
              <w:rPr>
                <w:sz w:val="16"/>
                <w:szCs w:val="16"/>
              </w:rPr>
              <w:t>ningsområdet m.m.</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145 618</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Högskoleverket</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177 031</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Verket för högskoleservice</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19 957</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Uppsala universitet: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1 393 036</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Uppsala universitet: Forskning och forskarutbil</w:t>
            </w:r>
            <w:r w:rsidRPr="004238D1">
              <w:rPr>
                <w:sz w:val="16"/>
                <w:szCs w:val="16"/>
              </w:rPr>
              <w:t>d</w:t>
            </w:r>
            <w:r w:rsidRPr="004238D1">
              <w:rPr>
                <w:sz w:val="16"/>
                <w:szCs w:val="16"/>
              </w:rPr>
              <w:t>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1 717 156</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2:5</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Lunds universitet: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1 756 694</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2:6</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Lunds universitet: Forskning och forskarutbildning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1 754 167</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2:7</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Göteborgs universitet: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1 770 474</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2:8</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Göteborgs universitet: Forskning och forskaru</w:t>
            </w:r>
            <w:r w:rsidRPr="004238D1">
              <w:rPr>
                <w:sz w:val="16"/>
                <w:szCs w:val="16"/>
              </w:rPr>
              <w:t>t</w:t>
            </w:r>
            <w:r w:rsidRPr="004238D1">
              <w:rPr>
                <w:sz w:val="16"/>
                <w:szCs w:val="16"/>
              </w:rPr>
              <w:t>bildning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1 319 593</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2:9</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Stockholms universitet: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1 601 402</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2:10</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Stockholms universitet: Forskning och forskaru</w:t>
            </w:r>
            <w:r w:rsidRPr="004238D1">
              <w:rPr>
                <w:sz w:val="16"/>
                <w:szCs w:val="16"/>
              </w:rPr>
              <w:t>t</w:t>
            </w:r>
            <w:r w:rsidRPr="004238D1">
              <w:rPr>
                <w:sz w:val="16"/>
                <w:szCs w:val="16"/>
              </w:rPr>
              <w:t>bildning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1 373 807</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Umeå universitet: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1 206 975</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Umeå universitet: Forskning och forskarutbildning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935 352</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Linköpings universitet: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1 295 829</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2:14</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Linköpings universitet: Forskning och forskaru</w:t>
            </w:r>
            <w:r w:rsidRPr="004238D1">
              <w:rPr>
                <w:sz w:val="16"/>
                <w:szCs w:val="16"/>
              </w:rPr>
              <w:t>t</w:t>
            </w:r>
            <w:r w:rsidRPr="004238D1">
              <w:rPr>
                <w:sz w:val="16"/>
                <w:szCs w:val="16"/>
              </w:rPr>
              <w:t>bildning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695 834</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2:15</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Karolinska institutet: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704 019</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2:16</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Karolinska institutet: Forskning och forskarutbil</w:t>
            </w:r>
            <w:r w:rsidRPr="004238D1">
              <w:rPr>
                <w:sz w:val="16"/>
                <w:szCs w:val="16"/>
              </w:rPr>
              <w:t>d</w:t>
            </w:r>
            <w:r w:rsidRPr="004238D1">
              <w:rPr>
                <w:sz w:val="16"/>
                <w:szCs w:val="16"/>
              </w:rPr>
              <w:t>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1 201 613</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2:17</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Kungl. Tekniska högskolan: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1 063 687</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2:18</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Kungl. Tekniska högskolan: Forskning och for</w:t>
            </w:r>
            <w:r w:rsidRPr="004238D1">
              <w:rPr>
                <w:sz w:val="16"/>
                <w:szCs w:val="16"/>
              </w:rPr>
              <w:t>s</w:t>
            </w:r>
            <w:r w:rsidRPr="004238D1">
              <w:rPr>
                <w:sz w:val="16"/>
                <w:szCs w:val="16"/>
              </w:rPr>
              <w:t>karutbildning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999 582</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2:19</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Luleå tekniska universitet: Grundutbildning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628 702</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2:20</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Luleå tekniska universitet: Forskning och forska</w:t>
            </w:r>
            <w:r w:rsidRPr="004238D1">
              <w:rPr>
                <w:sz w:val="16"/>
                <w:szCs w:val="16"/>
              </w:rPr>
              <w:t>r</w:t>
            </w:r>
            <w:r w:rsidRPr="004238D1">
              <w:rPr>
                <w:sz w:val="16"/>
                <w:szCs w:val="16"/>
              </w:rPr>
              <w:t>utbildning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322 059</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Karlstads universitet: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591 229</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Karlstads universitet: Forskning och forskarutbil</w:t>
            </w:r>
            <w:r w:rsidRPr="004238D1">
              <w:rPr>
                <w:sz w:val="16"/>
                <w:szCs w:val="16"/>
              </w:rPr>
              <w:t>d</w:t>
            </w:r>
            <w:r w:rsidRPr="004238D1">
              <w:rPr>
                <w:sz w:val="16"/>
                <w:szCs w:val="16"/>
              </w:rPr>
              <w:t>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189 142</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Linnéuniversitetet: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958 670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2:24</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Linnéuniversitetet: Forskning och forskarutbil</w:t>
            </w:r>
            <w:r w:rsidRPr="004238D1">
              <w:rPr>
                <w:sz w:val="16"/>
                <w:szCs w:val="16"/>
              </w:rPr>
              <w:t>d</w:t>
            </w:r>
            <w:r w:rsidRPr="004238D1">
              <w:rPr>
                <w:sz w:val="16"/>
                <w:szCs w:val="16"/>
              </w:rPr>
              <w:t>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266 652</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2:25</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Örebro universitet: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664 018</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2:26</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Örebro universitet: Forskning och forskarutbil</w:t>
            </w:r>
            <w:r w:rsidRPr="004238D1">
              <w:rPr>
                <w:sz w:val="16"/>
                <w:szCs w:val="16"/>
              </w:rPr>
              <w:t>d</w:t>
            </w:r>
            <w:r w:rsidRPr="004238D1">
              <w:rPr>
                <w:sz w:val="16"/>
                <w:szCs w:val="16"/>
              </w:rPr>
              <w:t>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207 485</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2:27</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Mittuniversitetet: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515 111</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2:28</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Mittuniversitetet: Forskning och forskarutbildning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190 623</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2:29</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Blekinge tekniska högskola: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297 326</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2:30</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Blekinge tekniska högskola: Forskning och for</w:t>
            </w:r>
            <w:r w:rsidRPr="004238D1">
              <w:rPr>
                <w:sz w:val="16"/>
                <w:szCs w:val="16"/>
              </w:rPr>
              <w:t>s</w:t>
            </w:r>
            <w:r w:rsidRPr="004238D1">
              <w:rPr>
                <w:sz w:val="16"/>
                <w:szCs w:val="16"/>
              </w:rPr>
              <w:t>karutbildning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80 617</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Malmö högskola: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874 647</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Malmö högskola: Forskning och forskarutbildning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101 332</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Mälardalens högskola: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589 894</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2:34</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Mälardalens högskola: Forskning och forskaru</w:t>
            </w:r>
            <w:r w:rsidRPr="004238D1">
              <w:rPr>
                <w:sz w:val="16"/>
                <w:szCs w:val="16"/>
              </w:rPr>
              <w:t>t</w:t>
            </w:r>
            <w:r w:rsidRPr="004238D1">
              <w:rPr>
                <w:sz w:val="16"/>
                <w:szCs w:val="16"/>
              </w:rPr>
              <w:t>bildning</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75 382</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2:35</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Dans- och cirkushögskolan: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49 438</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2:36</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Stockholms dramatiska högskola: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113 295</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2:37</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Gymnastik- och idrottshögskolan: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86 840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2:38</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Högskolan i Borås: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441 487</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2:39</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Högskolan Dalarna: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430 234</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2:40</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Högskolan på Gotland: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136 410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Högskolan i Gävle: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410 470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Högskolan i Halmstad: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365 602</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Högskolan Kristianstad: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344 199</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2:44</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Högskolan i Skövde: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321 473</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2:45</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Högskolan Väst: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343 014</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2:46</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Konstfack: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130 543</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2:47</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Kungl. Konsthögskolan: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59 694</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2:48</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Kungl. Musikhögskolan i Stockholm: Grundu</w:t>
            </w:r>
            <w:r w:rsidRPr="004238D1">
              <w:rPr>
                <w:sz w:val="16"/>
                <w:szCs w:val="16"/>
              </w:rPr>
              <w:t>t</w:t>
            </w:r>
            <w:r w:rsidRPr="004238D1">
              <w:rPr>
                <w:sz w:val="16"/>
                <w:szCs w:val="16"/>
              </w:rPr>
              <w: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136 440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2:49</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Operahögskolan i Stockholm: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18 358</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2:50</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Södertörns högskola: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371 806</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2:51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Försvarshögskolan: Grundutbildning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22 675</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2:52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Enskilda utbildningsanordnare på högskoleområdet m.m.</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2 692 546</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2:53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Särskilda utgifter inom universitet och högskolor m.m.</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479 520</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2:54</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Forskning och konstnärligt utvecklingsarbete vid vissa högskolor</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487 804</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2:55</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Ersättningar för klinisk utbildning och forskning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2 193 303</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Vetenskapsrådet: Forskning och forskningsinfo</w:t>
            </w:r>
            <w:r w:rsidRPr="004238D1">
              <w:rPr>
                <w:sz w:val="16"/>
                <w:szCs w:val="16"/>
              </w:rPr>
              <w:t>r</w:t>
            </w:r>
            <w:r w:rsidRPr="004238D1">
              <w:rPr>
                <w:sz w:val="16"/>
                <w:szCs w:val="16"/>
              </w:rPr>
              <w:t>mation</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4 348 279</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Vetenskapsrådet: Avgifter till internationella org</w:t>
            </w:r>
            <w:r w:rsidRPr="004238D1">
              <w:rPr>
                <w:sz w:val="16"/>
                <w:szCs w:val="16"/>
              </w:rPr>
              <w:t>a</w:t>
            </w:r>
            <w:r w:rsidRPr="004238D1">
              <w:rPr>
                <w:sz w:val="16"/>
                <w:szCs w:val="16"/>
              </w:rPr>
              <w:t>nisationer</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260 061</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Vetenskapsrådet: Förvaltning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115 730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3:4</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Rymdforskning</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94 759</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3:5</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Rymdstyrelsen: Avgifter till internationella organ</w:t>
            </w:r>
            <w:r w:rsidRPr="004238D1">
              <w:rPr>
                <w:sz w:val="16"/>
                <w:szCs w:val="16"/>
              </w:rPr>
              <w:t>i</w:t>
            </w:r>
            <w:r w:rsidRPr="004238D1">
              <w:rPr>
                <w:sz w:val="16"/>
                <w:szCs w:val="16"/>
              </w:rPr>
              <w:t>sationer</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108 791</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3:6</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Institutet för rymdfysik</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47 793</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3:7</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Kungl. biblioteket</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328 330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3:8</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Polarforskningssekretariatet</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36 861</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3:9</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Sunet</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42 740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3:10</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Centrala etikprövningsnämnden</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9 018</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3:11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Regionala etikprövningsnämnder</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39 380</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3:12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Särskilda utgifter för forskningsändamål</w:t>
            </w:r>
          </w:p>
        </w:tc>
        <w:tc>
          <w:tcPr>
            <w:tcW w:w="95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114 459</w:t>
            </w:r>
          </w:p>
        </w:tc>
        <w:tc>
          <w:tcPr>
            <w:tcW w:w="962" w:type="dxa"/>
            <w:tcBorders>
              <w:top w:val="nil"/>
              <w:left w:val="nil"/>
              <w:bottom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4:1</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Internationella programkontoret för utbildningso</w:t>
            </w:r>
            <w:r w:rsidRPr="004238D1">
              <w:rPr>
                <w:sz w:val="16"/>
                <w:szCs w:val="16"/>
              </w:rPr>
              <w:t>m</w:t>
            </w:r>
            <w:r w:rsidRPr="004238D1">
              <w:rPr>
                <w:sz w:val="16"/>
                <w:szCs w:val="16"/>
              </w:rPr>
              <w:t>rådet</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57 559</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4:2</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Unesco m.m.: Avgifter till internationella organis</w:t>
            </w:r>
            <w:r w:rsidRPr="004238D1">
              <w:rPr>
                <w:sz w:val="16"/>
                <w:szCs w:val="16"/>
              </w:rPr>
              <w:t>a</w:t>
            </w:r>
            <w:r w:rsidRPr="004238D1">
              <w:rPr>
                <w:sz w:val="16"/>
                <w:szCs w:val="16"/>
              </w:rPr>
              <w:t>tioner</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30 886</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4:3</w:t>
            </w:r>
          </w:p>
        </w:tc>
        <w:tc>
          <w:tcPr>
            <w:tcW w:w="3445" w:type="dxa"/>
            <w:tcBorders>
              <w:top w:val="nil"/>
              <w:left w:val="nil"/>
              <w:bottom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Kostnader för Svenska Unescorådet</w:t>
            </w:r>
          </w:p>
        </w:tc>
        <w:tc>
          <w:tcPr>
            <w:tcW w:w="95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4 493</w:t>
            </w:r>
          </w:p>
        </w:tc>
        <w:tc>
          <w:tcPr>
            <w:tcW w:w="962" w:type="dxa"/>
            <w:tcBorders>
              <w:top w:val="nil"/>
              <w:left w:val="nil"/>
              <w:bottom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right w:val="nil"/>
            </w:tcBorders>
          </w:tcPr>
          <w:p w:rsidR="004A3802" w:rsidRPr="004238D1" w:rsidRDefault="004A3802">
            <w:pPr>
              <w:shd w:val="clear" w:color="000000" w:fill="auto"/>
              <w:spacing w:before="60" w:line="200" w:lineRule="exact"/>
              <w:rPr>
                <w:sz w:val="16"/>
                <w:szCs w:val="16"/>
              </w:rPr>
            </w:pPr>
            <w:r w:rsidRPr="004238D1">
              <w:rPr>
                <w:sz w:val="16"/>
                <w:szCs w:val="16"/>
              </w:rPr>
              <w:t>4:4</w:t>
            </w:r>
          </w:p>
        </w:tc>
        <w:tc>
          <w:tcPr>
            <w:tcW w:w="3445" w:type="dxa"/>
            <w:tcBorders>
              <w:top w:val="nil"/>
              <w:left w:val="nil"/>
              <w:right w:val="nil"/>
            </w:tcBorders>
          </w:tcPr>
          <w:p w:rsidR="004A3802" w:rsidRPr="004238D1" w:rsidRDefault="004A3802">
            <w:pPr>
              <w:shd w:val="clear" w:color="000000" w:fill="auto"/>
              <w:spacing w:before="60" w:line="200" w:lineRule="exact"/>
              <w:jc w:val="left"/>
              <w:rPr>
                <w:sz w:val="16"/>
                <w:szCs w:val="16"/>
              </w:rPr>
            </w:pPr>
            <w:r w:rsidRPr="004238D1">
              <w:rPr>
                <w:sz w:val="16"/>
                <w:szCs w:val="16"/>
              </w:rPr>
              <w:t>Utvecklingsarbete m.m. inom områdena utbildning och forskning</w:t>
            </w:r>
          </w:p>
        </w:tc>
        <w:tc>
          <w:tcPr>
            <w:tcW w:w="952" w:type="dxa"/>
            <w:tcBorders>
              <w:top w:val="nil"/>
              <w:left w:val="nil"/>
              <w:right w:val="nil"/>
            </w:tcBorders>
            <w:vAlign w:val="bottom"/>
          </w:tcPr>
          <w:p w:rsidR="004A3802" w:rsidRPr="004238D1" w:rsidRDefault="004A3802">
            <w:pPr>
              <w:shd w:val="clear" w:color="000000" w:fill="auto"/>
              <w:spacing w:before="60" w:line="200" w:lineRule="exact"/>
              <w:jc w:val="right"/>
              <w:rPr>
                <w:sz w:val="16"/>
                <w:szCs w:val="16"/>
              </w:rPr>
            </w:pPr>
            <w:r w:rsidRPr="004238D1">
              <w:rPr>
                <w:sz w:val="16"/>
                <w:szCs w:val="16"/>
              </w:rPr>
              <w:t>12 054</w:t>
            </w:r>
          </w:p>
        </w:tc>
        <w:tc>
          <w:tcPr>
            <w:tcW w:w="962" w:type="dxa"/>
            <w:tcBorders>
              <w:top w:val="nil"/>
              <w:left w:val="nil"/>
              <w:right w:val="nil"/>
            </w:tcBorders>
            <w:vAlign w:val="bottom"/>
          </w:tcPr>
          <w:p w:rsidR="004A3802" w:rsidRPr="004238D1" w:rsidRDefault="004A3802">
            <w:pPr>
              <w:shd w:val="clear" w:color="000000" w:fill="auto"/>
              <w:spacing w:before="60" w:line="200" w:lineRule="exact"/>
              <w:jc w:val="right"/>
              <w:rPr>
                <w:sz w:val="16"/>
                <w:szCs w:val="16"/>
              </w:rPr>
            </w:pPr>
          </w:p>
        </w:tc>
      </w:tr>
      <w:tr w:rsidR="00000000" w:rsidRPr="004238D1">
        <w:tc>
          <w:tcPr>
            <w:tcW w:w="595" w:type="dxa"/>
            <w:tcBorders>
              <w:top w:val="nil"/>
              <w:left w:val="nil"/>
              <w:bottom w:val="single" w:sz="4" w:space="0" w:color="auto"/>
              <w:right w:val="nil"/>
            </w:tcBorders>
            <w:vAlign w:val="bottom"/>
          </w:tcPr>
          <w:p w:rsidR="004A3802" w:rsidRPr="004238D1" w:rsidRDefault="004A3802">
            <w:pPr>
              <w:shd w:val="clear" w:color="000000" w:fill="auto"/>
              <w:spacing w:before="60" w:line="200" w:lineRule="exact"/>
              <w:rPr>
                <w:sz w:val="16"/>
                <w:szCs w:val="16"/>
              </w:rPr>
            </w:pPr>
          </w:p>
        </w:tc>
        <w:tc>
          <w:tcPr>
            <w:tcW w:w="3445" w:type="dxa"/>
            <w:tcBorders>
              <w:top w:val="nil"/>
              <w:left w:val="nil"/>
              <w:bottom w:val="single" w:sz="4" w:space="0" w:color="auto"/>
              <w:right w:val="nil"/>
            </w:tcBorders>
            <w:vAlign w:val="bottom"/>
          </w:tcPr>
          <w:p w:rsidR="004A3802" w:rsidRPr="004238D1" w:rsidRDefault="004A3802">
            <w:pPr>
              <w:shd w:val="clear" w:color="000000" w:fill="auto"/>
              <w:spacing w:before="60" w:line="200" w:lineRule="exact"/>
              <w:jc w:val="left"/>
              <w:rPr>
                <w:sz w:val="16"/>
                <w:szCs w:val="16"/>
              </w:rPr>
            </w:pPr>
            <w:r w:rsidRPr="004238D1">
              <w:rPr>
                <w:b/>
                <w:bCs/>
                <w:sz w:val="16"/>
                <w:szCs w:val="16"/>
              </w:rPr>
              <w:t>Summa för utgiftsområdet</w:t>
            </w:r>
          </w:p>
        </w:tc>
        <w:tc>
          <w:tcPr>
            <w:tcW w:w="952" w:type="dxa"/>
            <w:tcBorders>
              <w:top w:val="nil"/>
              <w:left w:val="nil"/>
              <w:bottom w:val="single" w:sz="4" w:space="0" w:color="auto"/>
              <w:right w:val="nil"/>
            </w:tcBorders>
            <w:vAlign w:val="bottom"/>
          </w:tcPr>
          <w:p w:rsidR="004A3802" w:rsidRPr="004238D1" w:rsidRDefault="004A3802">
            <w:pPr>
              <w:shd w:val="clear" w:color="000000" w:fill="auto"/>
              <w:spacing w:before="60" w:line="200" w:lineRule="exact"/>
              <w:jc w:val="right"/>
              <w:rPr>
                <w:b/>
                <w:sz w:val="16"/>
                <w:szCs w:val="16"/>
              </w:rPr>
            </w:pPr>
            <w:r w:rsidRPr="004238D1">
              <w:rPr>
                <w:b/>
                <w:sz w:val="16"/>
                <w:szCs w:val="16"/>
              </w:rPr>
              <w:t>54 531 516</w:t>
            </w:r>
          </w:p>
        </w:tc>
        <w:tc>
          <w:tcPr>
            <w:tcW w:w="962" w:type="dxa"/>
            <w:tcBorders>
              <w:top w:val="nil"/>
              <w:left w:val="nil"/>
              <w:bottom w:val="single" w:sz="4" w:space="0" w:color="auto"/>
              <w:right w:val="nil"/>
            </w:tcBorders>
            <w:vAlign w:val="bottom"/>
          </w:tcPr>
          <w:p w:rsidR="004A3802" w:rsidRPr="004238D1" w:rsidRDefault="004A3802">
            <w:pPr>
              <w:shd w:val="clear" w:color="000000" w:fill="auto"/>
              <w:spacing w:before="60" w:line="200" w:lineRule="exact"/>
              <w:jc w:val="right"/>
              <w:rPr>
                <w:b/>
                <w:sz w:val="16"/>
                <w:szCs w:val="16"/>
              </w:rPr>
            </w:pPr>
            <w:r w:rsidRPr="004238D1">
              <w:rPr>
                <w:b/>
                <w:sz w:val="16"/>
                <w:szCs w:val="16"/>
              </w:rPr>
              <w:t>+646 000</w:t>
            </w:r>
          </w:p>
        </w:tc>
      </w:tr>
    </w:tbl>
    <w:p w:rsidR="004A3802" w:rsidRPr="004238D1" w:rsidRDefault="004A3802">
      <w:pPr>
        <w:pStyle w:val="Normaltindrag"/>
        <w:shd w:val="clear" w:color="000000" w:fill="auto"/>
      </w:pPr>
    </w:p>
    <w:tbl>
      <w:tblPr>
        <w:tblW w:w="6067" w:type="dxa"/>
        <w:tblInd w:w="70" w:type="dxa"/>
        <w:tblLayout w:type="fixed"/>
        <w:tblCellMar>
          <w:left w:w="70" w:type="dxa"/>
          <w:right w:w="70" w:type="dxa"/>
        </w:tblCellMar>
        <w:tblLook w:val="0000" w:firstRow="0" w:lastRow="0" w:firstColumn="0" w:lastColumn="0" w:noHBand="0" w:noVBand="0"/>
      </w:tblPr>
      <w:tblGrid>
        <w:gridCol w:w="502"/>
        <w:gridCol w:w="3578"/>
        <w:gridCol w:w="960"/>
        <w:gridCol w:w="1027"/>
      </w:tblGrid>
      <w:tr w:rsidR="00000000" w:rsidRPr="004238D1">
        <w:trPr>
          <w:trHeight w:val="255"/>
        </w:trPr>
        <w:tc>
          <w:tcPr>
            <w:tcW w:w="4080" w:type="dxa"/>
            <w:gridSpan w:val="2"/>
            <w:tcBorders>
              <w:left w:val="nil"/>
              <w:bottom w:val="single" w:sz="4" w:space="0" w:color="auto"/>
              <w:right w:val="nil"/>
            </w:tcBorders>
          </w:tcPr>
          <w:p w:rsidR="004A3802" w:rsidRPr="004238D1" w:rsidRDefault="004A3802">
            <w:pPr>
              <w:shd w:val="clear" w:color="000000" w:fill="auto"/>
              <w:spacing w:before="60" w:line="200" w:lineRule="exact"/>
              <w:rPr>
                <w:sz w:val="16"/>
                <w:szCs w:val="16"/>
              </w:rPr>
            </w:pPr>
            <w:r w:rsidRPr="004238D1">
              <w:rPr>
                <w:b/>
                <w:sz w:val="16"/>
                <w:szCs w:val="16"/>
              </w:rPr>
              <w:t>Specifikation av anslag 1.1</w:t>
            </w:r>
          </w:p>
        </w:tc>
        <w:tc>
          <w:tcPr>
            <w:tcW w:w="960" w:type="dxa"/>
            <w:tcBorders>
              <w:left w:val="nil"/>
              <w:bottom w:val="single" w:sz="4" w:space="0" w:color="auto"/>
              <w:right w:val="nil"/>
            </w:tcBorders>
          </w:tcPr>
          <w:p w:rsidR="004A3802" w:rsidRPr="004238D1" w:rsidRDefault="004A3802">
            <w:pPr>
              <w:shd w:val="clear" w:color="000000" w:fill="auto"/>
              <w:spacing w:before="60" w:line="200" w:lineRule="exact"/>
              <w:jc w:val="right"/>
              <w:rPr>
                <w:sz w:val="16"/>
                <w:szCs w:val="16"/>
              </w:rPr>
            </w:pPr>
          </w:p>
        </w:tc>
        <w:tc>
          <w:tcPr>
            <w:tcW w:w="1027" w:type="dxa"/>
            <w:tcBorders>
              <w:left w:val="nil"/>
              <w:bottom w:val="single" w:sz="4" w:space="0" w:color="auto"/>
              <w:right w:val="nil"/>
            </w:tcBorders>
          </w:tcPr>
          <w:p w:rsidR="004A3802" w:rsidRPr="004238D1" w:rsidRDefault="004A3802">
            <w:pPr>
              <w:shd w:val="clear" w:color="000000" w:fill="auto"/>
              <w:spacing w:before="60" w:line="200" w:lineRule="exact"/>
              <w:jc w:val="right"/>
              <w:rPr>
                <w:sz w:val="16"/>
                <w:szCs w:val="16"/>
              </w:rPr>
            </w:pPr>
          </w:p>
        </w:tc>
      </w:tr>
      <w:tr w:rsidR="00000000" w:rsidRPr="004238D1">
        <w:trPr>
          <w:trHeight w:val="255"/>
        </w:trPr>
        <w:tc>
          <w:tcPr>
            <w:tcW w:w="4080" w:type="dxa"/>
            <w:gridSpan w:val="2"/>
            <w:tcBorders>
              <w:top w:val="single" w:sz="4" w:space="0" w:color="auto"/>
              <w:left w:val="nil"/>
              <w:right w:val="nil"/>
            </w:tcBorders>
          </w:tcPr>
          <w:p w:rsidR="004A3802" w:rsidRPr="004238D1" w:rsidRDefault="004A3802">
            <w:pPr>
              <w:shd w:val="clear" w:color="000000" w:fill="auto"/>
              <w:spacing w:before="60" w:line="200" w:lineRule="exact"/>
              <w:rPr>
                <w:sz w:val="16"/>
                <w:szCs w:val="16"/>
              </w:rPr>
            </w:pPr>
            <w:r w:rsidRPr="004238D1">
              <w:rPr>
                <w:sz w:val="16"/>
                <w:szCs w:val="16"/>
              </w:rPr>
              <w:t>Forskningssatsning</w:t>
            </w:r>
          </w:p>
        </w:tc>
        <w:tc>
          <w:tcPr>
            <w:tcW w:w="960" w:type="dxa"/>
            <w:tcBorders>
              <w:top w:val="single" w:sz="4" w:space="0" w:color="auto"/>
              <w:left w:val="nil"/>
              <w:right w:val="nil"/>
            </w:tcBorders>
          </w:tcPr>
          <w:p w:rsidR="004A3802" w:rsidRPr="004238D1" w:rsidRDefault="004A3802">
            <w:pPr>
              <w:shd w:val="clear" w:color="000000" w:fill="auto"/>
              <w:spacing w:before="60" w:line="200" w:lineRule="exact"/>
              <w:jc w:val="right"/>
              <w:rPr>
                <w:sz w:val="16"/>
                <w:szCs w:val="16"/>
              </w:rPr>
            </w:pPr>
          </w:p>
        </w:tc>
        <w:tc>
          <w:tcPr>
            <w:tcW w:w="1027" w:type="dxa"/>
            <w:tcBorders>
              <w:top w:val="single" w:sz="4" w:space="0" w:color="auto"/>
              <w:left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+400 000</w:t>
            </w:r>
          </w:p>
        </w:tc>
      </w:tr>
      <w:tr w:rsidR="00000000" w:rsidRPr="004238D1">
        <w:trPr>
          <w:trHeight w:val="255"/>
        </w:trPr>
        <w:tc>
          <w:tcPr>
            <w:tcW w:w="4080" w:type="dxa"/>
            <w:gridSpan w:val="2"/>
            <w:tcBorders>
              <w:top w:val="nil"/>
              <w:left w:val="nil"/>
              <w:right w:val="nil"/>
            </w:tcBorders>
          </w:tcPr>
          <w:p w:rsidR="004A3802" w:rsidRPr="004238D1" w:rsidRDefault="004A3802">
            <w:pPr>
              <w:shd w:val="clear" w:color="000000" w:fill="auto"/>
              <w:spacing w:before="60" w:line="200" w:lineRule="exact"/>
              <w:rPr>
                <w:sz w:val="16"/>
                <w:szCs w:val="16"/>
              </w:rPr>
            </w:pPr>
            <w:r w:rsidRPr="004238D1">
              <w:rPr>
                <w:sz w:val="16"/>
                <w:szCs w:val="16"/>
              </w:rPr>
              <w:t>Utökat antal läkarplatser</w:t>
            </w:r>
          </w:p>
        </w:tc>
        <w:tc>
          <w:tcPr>
            <w:tcW w:w="960" w:type="dxa"/>
            <w:tcBorders>
              <w:top w:val="nil"/>
              <w:left w:val="nil"/>
              <w:right w:val="nil"/>
            </w:tcBorders>
          </w:tcPr>
          <w:p w:rsidR="004A3802" w:rsidRPr="004238D1" w:rsidRDefault="004A3802">
            <w:pPr>
              <w:shd w:val="clear" w:color="000000" w:fill="auto"/>
              <w:spacing w:before="60" w:line="200" w:lineRule="exact"/>
              <w:jc w:val="right"/>
              <w:rPr>
                <w:sz w:val="16"/>
                <w:szCs w:val="16"/>
              </w:rPr>
            </w:pPr>
          </w:p>
        </w:tc>
        <w:tc>
          <w:tcPr>
            <w:tcW w:w="1027" w:type="dxa"/>
            <w:tcBorders>
              <w:top w:val="nil"/>
              <w:left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+100 000</w:t>
            </w:r>
          </w:p>
        </w:tc>
      </w:tr>
      <w:tr w:rsidR="00000000" w:rsidRPr="004238D1">
        <w:trPr>
          <w:trHeight w:val="255"/>
        </w:trPr>
        <w:tc>
          <w:tcPr>
            <w:tcW w:w="4080" w:type="dxa"/>
            <w:gridSpan w:val="2"/>
            <w:tcBorders>
              <w:top w:val="nil"/>
              <w:left w:val="nil"/>
              <w:bottom w:val="single" w:sz="4" w:space="0" w:color="auto"/>
              <w:right w:val="nil"/>
            </w:tcBorders>
          </w:tcPr>
          <w:p w:rsidR="004A3802" w:rsidRPr="004238D1" w:rsidRDefault="004A3802">
            <w:pPr>
              <w:shd w:val="clear" w:color="000000" w:fill="auto"/>
              <w:spacing w:before="60" w:line="200" w:lineRule="exact"/>
              <w:rPr>
                <w:sz w:val="16"/>
                <w:szCs w:val="16"/>
              </w:rPr>
            </w:pPr>
            <w:r w:rsidRPr="004238D1">
              <w:rPr>
                <w:b/>
                <w:sz w:val="16"/>
                <w:szCs w:val="16"/>
              </w:rPr>
              <w:t>Summa</w:t>
            </w:r>
          </w:p>
        </w:tc>
        <w:tc>
          <w:tcPr>
            <w:tcW w:w="960" w:type="dxa"/>
            <w:tcBorders>
              <w:top w:val="nil"/>
              <w:left w:val="nil"/>
              <w:bottom w:val="single" w:sz="4" w:space="0" w:color="auto"/>
              <w:right w:val="nil"/>
            </w:tcBorders>
          </w:tcPr>
          <w:p w:rsidR="004A3802" w:rsidRPr="004238D1" w:rsidRDefault="004A3802">
            <w:pPr>
              <w:shd w:val="clear" w:color="000000" w:fill="auto"/>
              <w:spacing w:before="60" w:line="200" w:lineRule="exact"/>
              <w:jc w:val="right"/>
              <w:rPr>
                <w:sz w:val="16"/>
                <w:szCs w:val="16"/>
              </w:rPr>
            </w:pPr>
          </w:p>
        </w:tc>
        <w:tc>
          <w:tcPr>
            <w:tcW w:w="1027" w:type="dxa"/>
            <w:tcBorders>
              <w:top w:val="nil"/>
              <w:left w:val="nil"/>
              <w:bottom w:val="single" w:sz="4" w:space="0" w:color="auto"/>
              <w:right w:val="nil"/>
            </w:tcBorders>
          </w:tcPr>
          <w:p w:rsidR="004A3802" w:rsidRPr="004238D1" w:rsidRDefault="004A3802">
            <w:pPr>
              <w:shd w:val="clear" w:color="000000" w:fill="auto"/>
              <w:spacing w:before="60" w:line="200" w:lineRule="exact"/>
              <w:jc w:val="right"/>
              <w:rPr>
                <w:b/>
                <w:sz w:val="16"/>
                <w:szCs w:val="16"/>
              </w:rPr>
            </w:pPr>
            <w:r w:rsidRPr="004238D1">
              <w:rPr>
                <w:b/>
                <w:sz w:val="16"/>
                <w:szCs w:val="16"/>
              </w:rPr>
              <w:t>+500 000</w:t>
            </w:r>
          </w:p>
        </w:tc>
      </w:tr>
      <w:tr w:rsidR="00000000" w:rsidRPr="004238D1">
        <w:trPr>
          <w:trHeight w:val="255"/>
        </w:trPr>
        <w:tc>
          <w:tcPr>
            <w:tcW w:w="502" w:type="dxa"/>
            <w:tcBorders>
              <w:top w:val="single" w:sz="4" w:space="0" w:color="auto"/>
              <w:left w:val="nil"/>
              <w:right w:val="nil"/>
            </w:tcBorders>
          </w:tcPr>
          <w:p w:rsidR="004A3802" w:rsidRPr="004238D1" w:rsidRDefault="004A3802">
            <w:pPr>
              <w:shd w:val="clear" w:color="000000" w:fill="auto"/>
              <w:spacing w:before="60" w:line="200" w:lineRule="exact"/>
              <w:rPr>
                <w:sz w:val="16"/>
                <w:szCs w:val="16"/>
              </w:rPr>
            </w:pPr>
          </w:p>
        </w:tc>
        <w:tc>
          <w:tcPr>
            <w:tcW w:w="3578" w:type="dxa"/>
            <w:tcBorders>
              <w:top w:val="single" w:sz="4" w:space="0" w:color="auto"/>
              <w:left w:val="nil"/>
              <w:right w:val="nil"/>
            </w:tcBorders>
          </w:tcPr>
          <w:p w:rsidR="004A3802" w:rsidRPr="004238D1" w:rsidRDefault="004A3802">
            <w:pPr>
              <w:shd w:val="clear" w:color="000000" w:fill="auto"/>
              <w:spacing w:before="60" w:line="200" w:lineRule="exact"/>
              <w:rPr>
                <w:sz w:val="16"/>
                <w:szCs w:val="16"/>
              </w:rPr>
            </w:pPr>
          </w:p>
        </w:tc>
        <w:tc>
          <w:tcPr>
            <w:tcW w:w="960" w:type="dxa"/>
            <w:tcBorders>
              <w:top w:val="single" w:sz="4" w:space="0" w:color="auto"/>
              <w:left w:val="nil"/>
              <w:right w:val="nil"/>
            </w:tcBorders>
          </w:tcPr>
          <w:p w:rsidR="004A3802" w:rsidRPr="004238D1" w:rsidRDefault="004A3802">
            <w:pPr>
              <w:shd w:val="clear" w:color="000000" w:fill="auto"/>
              <w:spacing w:before="60" w:line="200" w:lineRule="exact"/>
              <w:jc w:val="right"/>
              <w:rPr>
                <w:sz w:val="16"/>
                <w:szCs w:val="16"/>
              </w:rPr>
            </w:pPr>
          </w:p>
        </w:tc>
        <w:tc>
          <w:tcPr>
            <w:tcW w:w="1027" w:type="dxa"/>
            <w:tcBorders>
              <w:top w:val="single" w:sz="4" w:space="0" w:color="auto"/>
              <w:left w:val="nil"/>
              <w:right w:val="nil"/>
            </w:tcBorders>
          </w:tcPr>
          <w:p w:rsidR="004A3802" w:rsidRPr="004238D1" w:rsidRDefault="004A3802">
            <w:pPr>
              <w:shd w:val="clear" w:color="000000" w:fill="auto"/>
              <w:spacing w:before="60" w:line="200" w:lineRule="exact"/>
              <w:jc w:val="right"/>
              <w:rPr>
                <w:sz w:val="16"/>
                <w:szCs w:val="16"/>
              </w:rPr>
            </w:pPr>
          </w:p>
        </w:tc>
      </w:tr>
      <w:tr w:rsidR="00000000" w:rsidRPr="004238D1">
        <w:trPr>
          <w:trHeight w:val="255"/>
        </w:trPr>
        <w:tc>
          <w:tcPr>
            <w:tcW w:w="4080" w:type="dxa"/>
            <w:gridSpan w:val="2"/>
            <w:tcBorders>
              <w:top w:val="nil"/>
              <w:left w:val="nil"/>
              <w:bottom w:val="single" w:sz="4" w:space="0" w:color="auto"/>
              <w:right w:val="nil"/>
            </w:tcBorders>
          </w:tcPr>
          <w:p w:rsidR="004A3802" w:rsidRPr="004238D1" w:rsidRDefault="004A3802">
            <w:pPr>
              <w:shd w:val="clear" w:color="000000" w:fill="auto"/>
              <w:spacing w:before="60" w:line="200" w:lineRule="exact"/>
              <w:rPr>
                <w:b/>
                <w:sz w:val="16"/>
                <w:szCs w:val="16"/>
              </w:rPr>
            </w:pPr>
            <w:r w:rsidRPr="004238D1">
              <w:rPr>
                <w:b/>
                <w:sz w:val="16"/>
                <w:szCs w:val="16"/>
              </w:rPr>
              <w:t>Specifikation av anslag 1.15</w:t>
            </w:r>
          </w:p>
        </w:tc>
        <w:tc>
          <w:tcPr>
            <w:tcW w:w="960" w:type="dxa"/>
            <w:tcBorders>
              <w:top w:val="nil"/>
              <w:left w:val="nil"/>
              <w:bottom w:val="single" w:sz="4" w:space="0" w:color="auto"/>
              <w:right w:val="nil"/>
            </w:tcBorders>
          </w:tcPr>
          <w:p w:rsidR="004A3802" w:rsidRPr="004238D1" w:rsidRDefault="004A3802">
            <w:pPr>
              <w:shd w:val="clear" w:color="000000" w:fill="auto"/>
              <w:spacing w:before="60" w:line="200" w:lineRule="exact"/>
              <w:jc w:val="right"/>
              <w:rPr>
                <w:sz w:val="16"/>
                <w:szCs w:val="16"/>
              </w:rPr>
            </w:pPr>
          </w:p>
        </w:tc>
        <w:tc>
          <w:tcPr>
            <w:tcW w:w="1027" w:type="dxa"/>
            <w:tcBorders>
              <w:top w:val="nil"/>
              <w:left w:val="nil"/>
              <w:bottom w:val="single" w:sz="4" w:space="0" w:color="auto"/>
              <w:right w:val="nil"/>
            </w:tcBorders>
          </w:tcPr>
          <w:p w:rsidR="004A3802" w:rsidRPr="004238D1" w:rsidRDefault="004A3802">
            <w:pPr>
              <w:shd w:val="clear" w:color="000000" w:fill="auto"/>
              <w:spacing w:before="60" w:line="200" w:lineRule="exact"/>
              <w:jc w:val="right"/>
              <w:rPr>
                <w:sz w:val="16"/>
                <w:szCs w:val="16"/>
              </w:rPr>
            </w:pPr>
          </w:p>
        </w:tc>
      </w:tr>
      <w:tr w:rsidR="00000000" w:rsidRPr="004238D1">
        <w:trPr>
          <w:trHeight w:val="255"/>
        </w:trPr>
        <w:tc>
          <w:tcPr>
            <w:tcW w:w="4080" w:type="dxa"/>
            <w:gridSpan w:val="2"/>
            <w:tcBorders>
              <w:top w:val="single" w:sz="4" w:space="0" w:color="auto"/>
              <w:left w:val="nil"/>
              <w:bottom w:val="nil"/>
              <w:right w:val="nil"/>
            </w:tcBorders>
          </w:tcPr>
          <w:p w:rsidR="004A3802" w:rsidRPr="004238D1" w:rsidRDefault="004A3802">
            <w:pPr>
              <w:shd w:val="clear" w:color="000000" w:fill="auto"/>
              <w:spacing w:before="60" w:line="200" w:lineRule="exact"/>
              <w:rPr>
                <w:sz w:val="16"/>
                <w:szCs w:val="16"/>
              </w:rPr>
            </w:pPr>
            <w:r w:rsidRPr="004238D1">
              <w:rPr>
                <w:sz w:val="16"/>
                <w:szCs w:val="16"/>
              </w:rPr>
              <w:t>9 000 extra platser till komvux (inkl. regeringens satsning)</w:t>
            </w:r>
          </w:p>
        </w:tc>
        <w:tc>
          <w:tcPr>
            <w:tcW w:w="960" w:type="dxa"/>
            <w:tcBorders>
              <w:top w:val="single" w:sz="4" w:space="0" w:color="auto"/>
              <w:left w:val="nil"/>
              <w:bottom w:val="nil"/>
              <w:right w:val="nil"/>
            </w:tcBorders>
          </w:tcPr>
          <w:p w:rsidR="004A3802" w:rsidRPr="004238D1" w:rsidRDefault="004A3802">
            <w:pPr>
              <w:shd w:val="clear" w:color="000000" w:fill="auto"/>
              <w:spacing w:before="60" w:line="200" w:lineRule="exact"/>
              <w:jc w:val="right"/>
              <w:rPr>
                <w:sz w:val="16"/>
                <w:szCs w:val="16"/>
              </w:rPr>
            </w:pPr>
          </w:p>
        </w:tc>
        <w:tc>
          <w:tcPr>
            <w:tcW w:w="1027" w:type="dxa"/>
            <w:tcBorders>
              <w:top w:val="single" w:sz="4" w:space="0" w:color="auto"/>
              <w:left w:val="nil"/>
              <w:bottom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+396 000</w:t>
            </w:r>
          </w:p>
        </w:tc>
      </w:tr>
      <w:tr w:rsidR="00000000" w:rsidRPr="004238D1">
        <w:trPr>
          <w:trHeight w:val="255"/>
        </w:trPr>
        <w:tc>
          <w:tcPr>
            <w:tcW w:w="4080" w:type="dxa"/>
            <w:gridSpan w:val="2"/>
            <w:tcBorders>
              <w:top w:val="nil"/>
              <w:left w:val="nil"/>
              <w:right w:val="nil"/>
            </w:tcBorders>
          </w:tcPr>
          <w:p w:rsidR="004A3802" w:rsidRPr="004238D1" w:rsidRDefault="004A3802">
            <w:pPr>
              <w:shd w:val="clear" w:color="000000" w:fill="auto"/>
              <w:spacing w:before="60" w:line="200" w:lineRule="exact"/>
              <w:rPr>
                <w:sz w:val="16"/>
                <w:szCs w:val="16"/>
              </w:rPr>
            </w:pPr>
            <w:r w:rsidRPr="004238D1">
              <w:rPr>
                <w:sz w:val="16"/>
                <w:szCs w:val="16"/>
              </w:rPr>
              <w:t>Avräkning regeringens komvuxsatsning</w:t>
            </w:r>
          </w:p>
        </w:tc>
        <w:tc>
          <w:tcPr>
            <w:tcW w:w="960" w:type="dxa"/>
            <w:tcBorders>
              <w:top w:val="nil"/>
              <w:left w:val="nil"/>
              <w:right w:val="nil"/>
            </w:tcBorders>
          </w:tcPr>
          <w:p w:rsidR="004A3802" w:rsidRPr="004238D1" w:rsidRDefault="004A3802">
            <w:pPr>
              <w:shd w:val="clear" w:color="000000" w:fill="auto"/>
              <w:spacing w:before="60" w:line="200" w:lineRule="exact"/>
              <w:jc w:val="right"/>
              <w:rPr>
                <w:sz w:val="16"/>
                <w:szCs w:val="16"/>
              </w:rPr>
            </w:pPr>
          </w:p>
        </w:tc>
        <w:tc>
          <w:tcPr>
            <w:tcW w:w="1027" w:type="dxa"/>
            <w:tcBorders>
              <w:top w:val="nil"/>
              <w:left w:val="nil"/>
              <w:right w:val="nil"/>
            </w:tcBorders>
          </w:tcPr>
          <w:p w:rsidR="004A3802" w:rsidRPr="004238D1" w:rsidRDefault="004A3802">
            <w:pPr>
              <w:shd w:val="clear" w:color="000000" w:fill="auto"/>
              <w:spacing w:before="60" w:line="200" w:lineRule="exact"/>
              <w:jc w:val="right"/>
              <w:rPr>
                <w:sz w:val="16"/>
                <w:szCs w:val="16"/>
              </w:rPr>
            </w:pPr>
            <w:r w:rsidRPr="004238D1">
              <w:rPr>
                <w:sz w:val="16"/>
                <w:szCs w:val="16"/>
              </w:rPr>
              <w:t>–250 000</w:t>
            </w:r>
          </w:p>
        </w:tc>
      </w:tr>
      <w:tr w:rsidR="00000000" w:rsidRPr="004238D1">
        <w:trPr>
          <w:trHeight w:val="255"/>
        </w:trPr>
        <w:tc>
          <w:tcPr>
            <w:tcW w:w="4080" w:type="dxa"/>
            <w:gridSpan w:val="2"/>
            <w:tcBorders>
              <w:top w:val="nil"/>
              <w:left w:val="nil"/>
              <w:bottom w:val="single" w:sz="4" w:space="0" w:color="auto"/>
              <w:right w:val="nil"/>
            </w:tcBorders>
            <w:vAlign w:val="bottom"/>
          </w:tcPr>
          <w:p w:rsidR="004A3802" w:rsidRPr="004238D1" w:rsidRDefault="004A3802">
            <w:pPr>
              <w:shd w:val="clear" w:color="000000" w:fill="auto"/>
              <w:spacing w:before="60" w:line="200" w:lineRule="exact"/>
              <w:rPr>
                <w:b/>
                <w:sz w:val="16"/>
                <w:szCs w:val="16"/>
              </w:rPr>
            </w:pPr>
            <w:r w:rsidRPr="004238D1">
              <w:rPr>
                <w:b/>
                <w:sz w:val="16"/>
                <w:szCs w:val="16"/>
              </w:rPr>
              <w:t>Summa</w:t>
            </w:r>
          </w:p>
        </w:tc>
        <w:tc>
          <w:tcPr>
            <w:tcW w:w="960" w:type="dxa"/>
            <w:tcBorders>
              <w:top w:val="nil"/>
              <w:left w:val="nil"/>
              <w:bottom w:val="single" w:sz="4" w:space="0" w:color="auto"/>
              <w:right w:val="nil"/>
            </w:tcBorders>
            <w:vAlign w:val="bottom"/>
          </w:tcPr>
          <w:p w:rsidR="004A3802" w:rsidRPr="004238D1" w:rsidRDefault="004A3802">
            <w:pPr>
              <w:shd w:val="clear" w:color="000000" w:fill="auto"/>
              <w:spacing w:before="60" w:line="200" w:lineRule="exact"/>
              <w:jc w:val="right"/>
              <w:rPr>
                <w:b/>
                <w:sz w:val="16"/>
                <w:szCs w:val="16"/>
              </w:rPr>
            </w:pPr>
          </w:p>
        </w:tc>
        <w:tc>
          <w:tcPr>
            <w:tcW w:w="1027" w:type="dxa"/>
            <w:tcBorders>
              <w:top w:val="nil"/>
              <w:left w:val="nil"/>
              <w:bottom w:val="single" w:sz="4" w:space="0" w:color="auto"/>
              <w:right w:val="nil"/>
            </w:tcBorders>
            <w:vAlign w:val="bottom"/>
          </w:tcPr>
          <w:p w:rsidR="004A3802" w:rsidRPr="004238D1" w:rsidRDefault="004A3802">
            <w:pPr>
              <w:shd w:val="clear" w:color="000000" w:fill="auto"/>
              <w:spacing w:before="60" w:line="200" w:lineRule="exact"/>
              <w:jc w:val="right"/>
              <w:rPr>
                <w:b/>
                <w:sz w:val="16"/>
                <w:szCs w:val="16"/>
              </w:rPr>
            </w:pPr>
            <w:r w:rsidRPr="004238D1">
              <w:rPr>
                <w:b/>
                <w:sz w:val="16"/>
                <w:szCs w:val="16"/>
              </w:rPr>
              <w:t>+146 000</w:t>
            </w:r>
          </w:p>
        </w:tc>
      </w:tr>
    </w:tbl>
    <w:p w:rsidR="004A3802" w:rsidRPr="004238D1" w:rsidRDefault="004A3802">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8D1">
        <w:trPr>
          <w:cantSplit/>
        </w:trPr>
        <w:tc>
          <w:tcPr>
            <w:tcW w:w="3046" w:type="dxa"/>
          </w:tcPr>
          <w:p w:rsidR="004A3802" w:rsidRPr="004238D1" w:rsidRDefault="004A3802">
            <w:pPr>
              <w:pStyle w:val="UnderskriftDatum"/>
              <w:shd w:val="clear" w:color="000000" w:fill="auto"/>
              <w:spacing w:before="240"/>
            </w:pPr>
            <w:r w:rsidRPr="004238D1">
              <w:t>Stockholm den 25 oktober 2010</w:t>
            </w:r>
          </w:p>
        </w:tc>
        <w:tc>
          <w:tcPr>
            <w:tcW w:w="3047" w:type="dxa"/>
          </w:tcPr>
          <w:p w:rsidR="004A3802" w:rsidRPr="004238D1" w:rsidRDefault="004A3802">
            <w:pPr>
              <w:pStyle w:val="Underskrifter"/>
              <w:shd w:val="clear" w:color="000000" w:fill="auto"/>
              <w:spacing w:before="240"/>
            </w:pPr>
          </w:p>
        </w:tc>
      </w:tr>
      <w:tr w:rsidR="00000000" w:rsidRPr="004238D1">
        <w:trPr>
          <w:cantSplit/>
        </w:trPr>
        <w:tc>
          <w:tcPr>
            <w:tcW w:w="3046" w:type="dxa"/>
          </w:tcPr>
          <w:p w:rsidR="004A3802" w:rsidRPr="004238D1" w:rsidRDefault="004A3802">
            <w:pPr>
              <w:pStyle w:val="Underskrifter"/>
              <w:shd w:val="clear" w:color="000000" w:fill="auto"/>
            </w:pPr>
            <w:r w:rsidRPr="004238D1">
              <w:t>Johnny Skalin (SD)</w:t>
            </w:r>
          </w:p>
        </w:tc>
        <w:tc>
          <w:tcPr>
            <w:tcW w:w="3046" w:type="dxa"/>
          </w:tcPr>
          <w:p w:rsidR="004A3802" w:rsidRPr="004238D1" w:rsidRDefault="004A3802">
            <w:pPr>
              <w:pStyle w:val="Underskrifter"/>
              <w:shd w:val="clear" w:color="000000" w:fill="auto"/>
            </w:pPr>
            <w:r w:rsidRPr="004238D1">
              <w:t>Björn Söder (SD)</w:t>
            </w:r>
          </w:p>
        </w:tc>
      </w:tr>
    </w:tbl>
    <w:p w:rsidR="004A3802" w:rsidRPr="004238D1" w:rsidRDefault="004A3802">
      <w:pPr>
        <w:pStyle w:val="Normaltindrag"/>
        <w:shd w:val="clear" w:color="000000" w:fill="auto"/>
      </w:pPr>
    </w:p>
    <w:sectPr w:rsidR="004A3802" w:rsidRPr="004238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802" w:rsidRPr="004238D1" w:rsidRDefault="004A3802">
      <w:r w:rsidRPr="004238D1">
        <w:separator/>
      </w:r>
    </w:p>
  </w:endnote>
  <w:endnote w:type="continuationSeparator" w:id="0">
    <w:p w:rsidR="004A3802" w:rsidRPr="004238D1" w:rsidRDefault="004A3802">
      <w:r w:rsidRPr="00423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02" w:rsidRPr="004238D1" w:rsidRDefault="004238D1">
    <w:pPr>
      <w:pStyle w:val="Sidfot"/>
    </w:pPr>
    <w:r w:rsidRPr="004238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908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802" w:rsidRDefault="004A380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802" w:rsidRDefault="004A380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02" w:rsidRPr="004238D1" w:rsidRDefault="004238D1">
    <w:pPr>
      <w:pStyle w:val="Sidfot"/>
    </w:pPr>
    <w:r w:rsidRPr="004238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155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802" w:rsidRDefault="004A380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802" w:rsidRDefault="004A380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02" w:rsidRPr="004238D1" w:rsidRDefault="004238D1">
    <w:pPr>
      <w:pStyle w:val="Sidfot"/>
    </w:pPr>
    <w:r w:rsidRPr="004238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268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802" w:rsidRDefault="004A38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802" w:rsidRDefault="004A38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802" w:rsidRPr="004238D1" w:rsidRDefault="004A3802">
      <w:r w:rsidRPr="004238D1">
        <w:separator/>
      </w:r>
    </w:p>
  </w:footnote>
  <w:footnote w:type="continuationSeparator" w:id="0">
    <w:p w:rsidR="004A3802" w:rsidRPr="004238D1" w:rsidRDefault="004A3802">
      <w:r w:rsidRPr="00423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02" w:rsidRPr="004238D1" w:rsidRDefault="004238D1">
    <w:pPr>
      <w:pStyle w:val="Sidhuvud"/>
    </w:pPr>
    <w:r w:rsidRPr="004238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218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802" w:rsidRDefault="004A38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802" w:rsidRDefault="004A38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02" w:rsidRPr="004238D1" w:rsidRDefault="004238D1">
    <w:pPr>
      <w:pStyle w:val="Sidhuvud"/>
    </w:pPr>
    <w:r w:rsidRPr="004238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019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802" w:rsidRDefault="004A38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802" w:rsidRDefault="004A38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802" w:rsidRPr="004238D1" w:rsidRDefault="004A3802">
    <w:pPr>
      <w:pStyle w:val="FSHNormal"/>
      <w:tabs>
        <w:tab w:val="right" w:pos="5840"/>
      </w:tabs>
    </w:pPr>
    <w:r w:rsidRPr="004238D1">
      <w:br/>
    </w:r>
    <w:r w:rsidRPr="004238D1">
      <w:fldChar w:fldCharType="begin" w:fldLock="1"/>
    </w:r>
    <w:r w:rsidRPr="004238D1">
      <w:instrText xml:space="preserve"> DOCPROPERTY</w:instrText>
    </w:r>
    <w:r w:rsidRPr="004238D1">
      <w:rPr>
        <w:sz w:val="18"/>
      </w:rPr>
      <w:instrText xml:space="preserve"> "YearUser" *\charformat </w:instrText>
    </w:r>
    <w:r w:rsidRPr="004238D1">
      <w:fldChar w:fldCharType="separate"/>
    </w:r>
    <w:r w:rsidRPr="004238D1">
      <w:t>2010/11</w:t>
    </w:r>
    <w:r w:rsidRPr="004238D1">
      <w:fldChar w:fldCharType="end"/>
    </w:r>
    <w:r w:rsidRPr="004238D1">
      <w:t xml:space="preserve"> </w:t>
    </w:r>
    <w:r w:rsidRPr="004238D1">
      <w:tab/>
      <w:t xml:space="preserve">mnr: </w:t>
    </w:r>
    <w:r w:rsidRPr="004238D1">
      <w:fldChar w:fldCharType="begin" w:fldLock="1"/>
    </w:r>
    <w:r w:rsidRPr="004238D1">
      <w:instrText xml:space="preserve"> DOCPROPERTY</w:instrText>
    </w:r>
    <w:r w:rsidRPr="004238D1">
      <w:rPr>
        <w:sz w:val="18"/>
      </w:rPr>
      <w:instrText xml:space="preserve"> "Motionsnummer" *\charformat </w:instrText>
    </w:r>
    <w:r w:rsidRPr="004238D1">
      <w:fldChar w:fldCharType="separate"/>
    </w:r>
    <w:r w:rsidRPr="004238D1">
      <w:t>Ub459</w:t>
    </w:r>
    <w:r w:rsidRPr="004238D1">
      <w:fldChar w:fldCharType="end"/>
    </w:r>
    <w:r w:rsidRPr="004238D1">
      <w:br/>
    </w:r>
    <w:r w:rsidRPr="004238D1">
      <w:fldChar w:fldCharType="begin" w:fldLock="1"/>
    </w:r>
    <w:r w:rsidRPr="004238D1">
      <w:instrText xml:space="preserve"> DOCPROPERTY</w:instrText>
    </w:r>
    <w:r w:rsidRPr="004238D1">
      <w:rPr>
        <w:sz w:val="18"/>
      </w:rPr>
      <w:instrText xml:space="preserve"> "Samling" *\charformat </w:instrText>
    </w:r>
    <w:r w:rsidRPr="004238D1">
      <w:fldChar w:fldCharType="end"/>
    </w:r>
    <w:r w:rsidRPr="004238D1">
      <w:tab/>
      <w:t xml:space="preserve">pnr: </w:t>
    </w:r>
    <w:r w:rsidRPr="004238D1">
      <w:fldChar w:fldCharType="begin" w:fldLock="1"/>
    </w:r>
    <w:r w:rsidRPr="004238D1">
      <w:instrText xml:space="preserve"> DOCPROPERTY</w:instrText>
    </w:r>
    <w:r w:rsidRPr="004238D1">
      <w:rPr>
        <w:sz w:val="18"/>
      </w:rPr>
      <w:instrText xml:space="preserve"> "Partinummer" *\charformat </w:instrText>
    </w:r>
    <w:r w:rsidRPr="004238D1">
      <w:fldChar w:fldCharType="separate"/>
    </w:r>
    <w:r w:rsidRPr="004238D1">
      <w:t>SD203</w:t>
    </w:r>
    <w:r w:rsidRPr="004238D1">
      <w:fldChar w:fldCharType="end"/>
    </w:r>
  </w:p>
  <w:p w:rsidR="004A3802" w:rsidRPr="004238D1" w:rsidRDefault="004A3802">
    <w:pPr>
      <w:pStyle w:val="FSHRub1"/>
    </w:pPr>
    <w:r w:rsidRPr="004238D1">
      <w:t>Motion till riksdagen</w:t>
    </w:r>
    <w:r w:rsidRPr="004238D1">
      <w:br/>
    </w:r>
    <w:r w:rsidRPr="004238D1">
      <w:fldChar w:fldCharType="begin" w:fldLock="1"/>
    </w:r>
    <w:r w:rsidRPr="004238D1">
      <w:instrText xml:space="preserve"> DOCPROPERTY "YearUser" *\charformat </w:instrText>
    </w:r>
    <w:r w:rsidRPr="004238D1">
      <w:fldChar w:fldCharType="separate"/>
    </w:r>
    <w:r w:rsidRPr="004238D1">
      <w:t>2010/11</w:t>
    </w:r>
    <w:r w:rsidRPr="004238D1">
      <w:fldChar w:fldCharType="end"/>
    </w:r>
    <w:r w:rsidRPr="004238D1">
      <w:t>:</w:t>
    </w:r>
    <w:r w:rsidRPr="004238D1">
      <w:fldChar w:fldCharType="begin" w:fldLock="1"/>
    </w:r>
    <w:r w:rsidRPr="004238D1">
      <w:instrText xml:space="preserve"> DOCPROPERTY "Motionsnummer" *\charformat </w:instrText>
    </w:r>
    <w:r w:rsidRPr="004238D1">
      <w:fldChar w:fldCharType="separate"/>
    </w:r>
    <w:r w:rsidRPr="004238D1">
      <w:t>Ub459</w:t>
    </w:r>
    <w:r w:rsidRPr="004238D1">
      <w:fldChar w:fldCharType="end"/>
    </w:r>
  </w:p>
  <w:p w:rsidR="004A3802" w:rsidRPr="004238D1" w:rsidRDefault="004A3802">
    <w:pPr>
      <w:pStyle w:val="FSHNormalS5"/>
    </w:pPr>
    <w:r w:rsidRPr="004238D1">
      <w:fldChar w:fldCharType="begin" w:fldLock="1"/>
    </w:r>
    <w:r w:rsidRPr="004238D1">
      <w:instrText xml:space="preserve"> DOCPROPERTY "MotionarText" *\charformat </w:instrText>
    </w:r>
    <w:r w:rsidRPr="004238D1">
      <w:fldChar w:fldCharType="separate"/>
    </w:r>
    <w:r w:rsidRPr="004238D1">
      <w:t>av Johnny Skalin och Björn Söder (SD)</w:t>
    </w:r>
    <w:r w:rsidRPr="004238D1">
      <w:fldChar w:fldCharType="end"/>
    </w:r>
    <w:r w:rsidRPr="004238D1">
      <w:br/>
    </w:r>
    <w:r w:rsidRPr="004238D1">
      <w:fldChar w:fldCharType="begin" w:fldLock="1"/>
    </w:r>
    <w:r w:rsidRPr="004238D1">
      <w:instrText xml:space="preserve"> DOCPROPERTY "SvarFrasKort" *\charformat </w:instrText>
    </w:r>
    <w:r w:rsidRPr="004238D1">
      <w:fldChar w:fldCharType="end"/>
    </w:r>
  </w:p>
  <w:p w:rsidR="004A3802" w:rsidRPr="004238D1" w:rsidRDefault="004A3802">
    <w:pPr>
      <w:pStyle w:val="FSHTitel"/>
    </w:pPr>
    <w:r w:rsidRPr="004238D1">
      <w:fldChar w:fldCharType="begin" w:fldLock="1"/>
    </w:r>
    <w:r w:rsidRPr="004238D1">
      <w:instrText xml:space="preserve"> DOCPROPERTY</w:instrText>
    </w:r>
    <w:r w:rsidRPr="004238D1">
      <w:rPr>
        <w:sz w:val="18"/>
      </w:rPr>
      <w:instrText xml:space="preserve"> "RubrikSvar" *\charformat </w:instrText>
    </w:r>
    <w:r w:rsidRPr="004238D1">
      <w:fldChar w:fldCharType="separate"/>
    </w:r>
    <w:r w:rsidRPr="004238D1">
      <w:t>Utgiftsområde 16 Utbildning och universitetsforskning</w:t>
    </w:r>
    <w:r w:rsidRPr="004238D1">
      <w:fldChar w:fldCharType="end"/>
    </w:r>
  </w:p>
  <w:p w:rsidR="004A3802" w:rsidRPr="004238D1" w:rsidRDefault="004A3802">
    <w:pPr>
      <w:pStyle w:val="Normal00"/>
    </w:pPr>
  </w:p>
  <w:p w:rsidR="004A3802" w:rsidRPr="004238D1" w:rsidRDefault="004A38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498361">
    <w:abstractNumId w:val="3"/>
  </w:num>
  <w:num w:numId="2" w16cid:durableId="417023800">
    <w:abstractNumId w:val="2"/>
  </w:num>
  <w:num w:numId="3" w16cid:durableId="1980187352">
    <w:abstractNumId w:val="1"/>
  </w:num>
  <w:num w:numId="4" w16cid:durableId="547885649">
    <w:abstractNumId w:val="0"/>
  </w:num>
  <w:num w:numId="5" w16cid:durableId="1754429235">
    <w:abstractNumId w:val="7"/>
  </w:num>
  <w:num w:numId="6" w16cid:durableId="736514575">
    <w:abstractNumId w:val="6"/>
  </w:num>
  <w:num w:numId="7" w16cid:durableId="1407874555">
    <w:abstractNumId w:val="5"/>
  </w:num>
  <w:num w:numId="8" w16cid:durableId="1948345210">
    <w:abstractNumId w:val="4"/>
  </w:num>
  <w:num w:numId="9" w16cid:durableId="2087070417">
    <w:abstractNumId w:val="8"/>
  </w:num>
  <w:num w:numId="10" w16cid:durableId="1319769375">
    <w:abstractNumId w:val="9"/>
  </w:num>
  <w:num w:numId="11" w16cid:durableId="86998168">
    <w:abstractNumId w:val="10"/>
  </w:num>
  <w:num w:numId="12" w16cid:durableId="862015762">
    <w:abstractNumId w:val="13"/>
  </w:num>
  <w:num w:numId="13" w16cid:durableId="2015259692">
    <w:abstractNumId w:val="15"/>
  </w:num>
  <w:num w:numId="14" w16cid:durableId="337117391">
    <w:abstractNumId w:val="16"/>
  </w:num>
  <w:num w:numId="15" w16cid:durableId="823474657">
    <w:abstractNumId w:val="11"/>
  </w:num>
  <w:num w:numId="16" w16cid:durableId="893543789">
    <w:abstractNumId w:val="18"/>
  </w:num>
  <w:num w:numId="17" w16cid:durableId="1389571520">
    <w:abstractNumId w:val="17"/>
  </w:num>
  <w:num w:numId="18" w16cid:durableId="1398357446">
    <w:abstractNumId w:val="14"/>
  </w:num>
  <w:num w:numId="19" w16cid:durableId="484971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5D897251-768B-4F79-A746-942424C0E48F},{C8E093A7-EDD6-43FF-8CD7-70C04D240193}"/>
  </w:docVars>
  <w:rsids>
    <w:rsidRoot w:val="003D41DE"/>
    <w:rsid w:val="003D41DE"/>
    <w:rsid w:val="004238D1"/>
    <w:rsid w:val="004A38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CD3782-1E1D-400A-8033-6F0E1B86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2764">
      <w:bodyDiv w:val="1"/>
      <w:marLeft w:val="0"/>
      <w:marRight w:val="0"/>
      <w:marTop w:val="0"/>
      <w:marBottom w:val="0"/>
      <w:divBdr>
        <w:top w:val="none" w:sz="0" w:space="0" w:color="auto"/>
        <w:left w:val="none" w:sz="0" w:space="0" w:color="auto"/>
        <w:bottom w:val="none" w:sz="0" w:space="0" w:color="auto"/>
        <w:right w:val="none" w:sz="0" w:space="0" w:color="auto"/>
      </w:divBdr>
    </w:div>
    <w:div w:id="19569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6454</Characters>
  <Application>Microsoft Office Word</Application>
  <DocSecurity>4</DocSecurity>
  <Lines>496</Lines>
  <Paragraphs>338</Paragraphs>
  <ScaleCrop>false</ScaleCrop>
  <HeadingPairs>
    <vt:vector size="2" baseType="variant">
      <vt:variant>
        <vt:lpstr>Rubrik</vt:lpstr>
      </vt:variant>
      <vt:variant>
        <vt:i4>1</vt:i4>
      </vt:variant>
    </vt:vector>
  </HeadingPairs>
  <TitlesOfParts>
    <vt:vector size="1" baseType="lpstr">
      <vt:lpstr>sd203</vt:lpstr>
    </vt:vector>
  </TitlesOfParts>
  <Company>Riksdagen</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sd203</dc:title>
  <dc:subject>sd203</dc:subject>
  <dc:creator>Riksdagen</dc:creator>
  <cp:keywords>Riksdagen</cp:keywords>
  <dc:description>Versal/gemen i partibeteckning. Gemen i tryck för 0910, versal för 1011 och nyare</dc:description>
  <cp:lastModifiedBy>Lars Brink</cp:lastModifiedBy>
  <cp:revision>2</cp:revision>
  <cp:lastPrinted>2010-11-12T09:07:00Z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SD203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20102011000001150100000002030080</vt:lpwstr>
  </property>
  <property fmtid="{D5CDD505-2E9C-101B-9397-08002B2CF9AE}" pid="47" name="datum">
    <vt:lpwstr>101025</vt:lpwstr>
  </property>
  <property fmtid="{D5CDD505-2E9C-101B-9397-08002B2CF9AE}" pid="48" name="avsändar-e-post">
    <vt:lpwstr>mikael.valtersson@riksdagen.se</vt:lpwstr>
  </property>
  <property fmtid="{D5CDD505-2E9C-101B-9397-08002B2CF9AE}" pid="49" name="id">
    <vt:lpwstr>20102011000001150100000002030080</vt:lpwstr>
  </property>
  <property fmtid="{D5CDD505-2E9C-101B-9397-08002B2CF9AE}" pid="50" name="nummer">
    <vt:lpwstr>459</vt:lpwstr>
  </property>
  <property fmtid="{D5CDD505-2E9C-101B-9397-08002B2CF9AE}" pid="51" name="utskottsbeteckning">
    <vt:lpwstr>Ub</vt:lpwstr>
  </property>
  <property fmtid="{D5CDD505-2E9C-101B-9397-08002B2CF9AE}" pid="52" name="GlobalUID">
    <vt:lpwstr>{D68D1B99-4DAD-439F-A794-9E940C19AE7A}</vt:lpwstr>
  </property>
  <property fmtid="{D5CDD505-2E9C-101B-9397-08002B2CF9AE}" pid="53" name="Överföringar">
    <vt:i4>0</vt:i4>
  </property>
  <property fmtid="{D5CDD505-2E9C-101B-9397-08002B2CF9AE}" pid="54" name="Checksum">
    <vt:lpwstr>*0015763316022*</vt:lpwstr>
  </property>
  <property fmtid="{D5CDD505-2E9C-101B-9397-08002B2CF9AE}" pid="55" name="skuggnummer">
    <vt:lpwstr>2805</vt:lpwstr>
  </property>
  <property fmtid="{D5CDD505-2E9C-101B-9397-08002B2CF9AE}" pid="56" name="urixVersion">
    <vt:lpwstr>4.3.0.0</vt:lpwstr>
  </property>
  <property fmtid="{D5CDD505-2E9C-101B-9397-08002B2CF9AE}" pid="57" name="urixOrigin">
    <vt:lpwstr>101112 10:09:18.641</vt:lpwstr>
  </property>
  <property fmtid="{D5CDD505-2E9C-101B-9397-08002B2CF9AE}" pid="58" name="urixGuid">
    <vt:lpwstr>{545FE4F1-B7B3-4396-B914-C2D58153A6EA}</vt:lpwstr>
  </property>
</Properties>
</file>