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9C46CC">
        <w:trPr>
          <w:cantSplit/>
          <w:trHeight w:val="1720"/>
        </w:trPr>
        <w:tc>
          <w:tcPr>
            <w:tcW w:w="6024" w:type="dxa"/>
            <w:gridSpan w:val="2"/>
          </w:tcPr>
          <w:p w:rsidR="000C6E9C" w:rsidRPr="009C46CC" w:rsidRDefault="00FF5DB9" w:rsidP="0020634B">
            <w:pPr>
              <w:pStyle w:val="HuvudRubrik"/>
            </w:pPr>
            <w:r w:rsidRPr="009C46CC">
              <w:t>Redogörelse till riksdagen</w:t>
            </w:r>
          </w:p>
          <w:p w:rsidR="000C6E9C" w:rsidRPr="009C46CC" w:rsidRDefault="003C7E42" w:rsidP="003C7E42">
            <w:pPr>
              <w:pStyle w:val="HuvudRubrikRad2"/>
            </w:pPr>
            <w:bookmarkStart w:id="0" w:name="BetänkandeNr"/>
            <w:bookmarkEnd w:id="0"/>
            <w:r w:rsidRPr="009C46CC">
              <w:t>2010/11</w:t>
            </w:r>
            <w:r w:rsidR="000C6E9C" w:rsidRPr="009C46CC">
              <w:t>:</w:t>
            </w:r>
            <w:r w:rsidRPr="009C46CC">
              <w:t>RR5</w:t>
            </w:r>
          </w:p>
        </w:tc>
        <w:tc>
          <w:tcPr>
            <w:tcW w:w="1418" w:type="dxa"/>
            <w:tcBorders>
              <w:bottom w:val="nil"/>
            </w:tcBorders>
          </w:tcPr>
          <w:p w:rsidR="000C6E9C" w:rsidRPr="009C46CC" w:rsidRDefault="009C46CC">
            <w:pPr>
              <w:spacing w:line="230" w:lineRule="auto"/>
              <w:jc w:val="center"/>
            </w:pPr>
            <w:r w:rsidRPr="009C46CC">
              <w:rPr>
                <w:noProof/>
              </w:rPr>
              <w:drawing>
                <wp:inline distT="0" distB="0" distL="0" distR="0">
                  <wp:extent cx="544195"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4195" cy="408305"/>
                          </a:xfrm>
                          <a:prstGeom prst="rect">
                            <a:avLst/>
                          </a:prstGeom>
                          <a:noFill/>
                          <a:ln>
                            <a:noFill/>
                          </a:ln>
                        </pic:spPr>
                      </pic:pic>
                    </a:graphicData>
                  </a:graphic>
                </wp:inline>
              </w:drawing>
            </w:r>
          </w:p>
          <w:p w:rsidR="000C6E9C" w:rsidRPr="009C46CC" w:rsidRDefault="000C6E9C">
            <w:pPr>
              <w:pStyle w:val="Normaltindrag"/>
              <w:jc w:val="center"/>
            </w:pPr>
          </w:p>
          <w:p w:rsidR="000C6E9C" w:rsidRPr="009C46CC" w:rsidRDefault="000C6E9C">
            <w:pPr>
              <w:pStyle w:val="StatusSida1"/>
            </w:pPr>
          </w:p>
          <w:p w:rsidR="000C6E9C" w:rsidRPr="009C46CC" w:rsidRDefault="000C6E9C">
            <w:pPr>
              <w:pStyle w:val="UtskriftsdatumSida1"/>
              <w:framePr w:wrap="around"/>
            </w:pPr>
          </w:p>
        </w:tc>
      </w:tr>
      <w:tr w:rsidR="000C6E9C" w:rsidRPr="009C46CC">
        <w:trPr>
          <w:cantSplit/>
        </w:trPr>
        <w:tc>
          <w:tcPr>
            <w:tcW w:w="6024" w:type="dxa"/>
            <w:gridSpan w:val="2"/>
            <w:tcBorders>
              <w:bottom w:val="single" w:sz="4" w:space="0" w:color="auto"/>
            </w:tcBorders>
          </w:tcPr>
          <w:p w:rsidR="000C6E9C" w:rsidRPr="009C46CC" w:rsidRDefault="00FF5DB9" w:rsidP="0049553C">
            <w:pPr>
              <w:pStyle w:val="DokumentRubrik"/>
              <w:rPr>
                <w:noProof w:val="0"/>
              </w:rPr>
            </w:pPr>
            <w:bookmarkStart w:id="1" w:name="Huvudrubrik"/>
            <w:bookmarkEnd w:id="1"/>
            <w:r w:rsidRPr="009C46CC">
              <w:rPr>
                <w:noProof w:val="0"/>
              </w:rPr>
              <w:t>Riksrevisionen</w:t>
            </w:r>
            <w:r w:rsidR="00F235A1" w:rsidRPr="009C46CC">
              <w:rPr>
                <w:noProof w:val="0"/>
              </w:rPr>
              <w:t>s</w:t>
            </w:r>
            <w:r w:rsidRPr="009C46CC">
              <w:rPr>
                <w:noProof w:val="0"/>
              </w:rPr>
              <w:t xml:space="preserve"> redogörelse </w:t>
            </w:r>
            <w:r w:rsidR="0049553C" w:rsidRPr="009C46CC">
              <w:rPr>
                <w:noProof w:val="0"/>
              </w:rPr>
              <w:t>om</w:t>
            </w:r>
            <w:r w:rsidRPr="009C46CC">
              <w:rPr>
                <w:noProof w:val="0"/>
              </w:rPr>
              <w:t xml:space="preserve"> </w:t>
            </w:r>
            <w:r w:rsidR="00102989" w:rsidRPr="009C46CC">
              <w:rPr>
                <w:noProof w:val="0"/>
              </w:rPr>
              <w:t>r</w:t>
            </w:r>
            <w:r w:rsidRPr="009C46CC">
              <w:rPr>
                <w:noProof w:val="0"/>
              </w:rPr>
              <w:t>iksrevisorernas årliga rapport 2011</w:t>
            </w:r>
          </w:p>
        </w:tc>
        <w:tc>
          <w:tcPr>
            <w:tcW w:w="1418" w:type="dxa"/>
            <w:tcBorders>
              <w:bottom w:val="nil"/>
            </w:tcBorders>
          </w:tcPr>
          <w:p w:rsidR="000C6E9C" w:rsidRPr="009C46CC" w:rsidRDefault="000C6E9C"/>
        </w:tc>
      </w:tr>
      <w:tr w:rsidR="000C6E9C" w:rsidRPr="009C46CC">
        <w:trPr>
          <w:cantSplit/>
          <w:trHeight w:hRule="exact" w:val="360"/>
        </w:trPr>
        <w:tc>
          <w:tcPr>
            <w:tcW w:w="3012" w:type="dxa"/>
          </w:tcPr>
          <w:p w:rsidR="000C6E9C" w:rsidRPr="009C46CC" w:rsidRDefault="000C6E9C"/>
        </w:tc>
        <w:tc>
          <w:tcPr>
            <w:tcW w:w="3012" w:type="dxa"/>
          </w:tcPr>
          <w:p w:rsidR="000C6E9C" w:rsidRPr="009C46CC" w:rsidRDefault="000C6E9C"/>
        </w:tc>
        <w:tc>
          <w:tcPr>
            <w:tcW w:w="1418" w:type="dxa"/>
          </w:tcPr>
          <w:p w:rsidR="000C6E9C" w:rsidRPr="009C46CC" w:rsidRDefault="000C6E9C"/>
        </w:tc>
      </w:tr>
    </w:tbl>
    <w:p w:rsidR="000C6E9C" w:rsidRPr="009C46CC" w:rsidRDefault="000C6E9C"/>
    <w:p w:rsidR="00FF5DB9" w:rsidRPr="009C46CC" w:rsidRDefault="00FF5DB9" w:rsidP="00FF5DB9">
      <w:bookmarkStart w:id="2" w:name="TextStart"/>
      <w:bookmarkEnd w:id="2"/>
    </w:p>
    <w:p w:rsidR="00FF5DB9" w:rsidRPr="009C46CC" w:rsidRDefault="00F235A1" w:rsidP="00F235A1">
      <w:r w:rsidRPr="009C46CC">
        <w:t xml:space="preserve">Riksrevisorernas årliga rapport ska enligt </w:t>
      </w:r>
      <w:r w:rsidRPr="009C46CC">
        <w:rPr>
          <w:color w:val="000000"/>
          <w:szCs w:val="19"/>
        </w:rPr>
        <w:t>til</w:t>
      </w:r>
      <w:r w:rsidR="00F55C9F" w:rsidRPr="009C46CC">
        <w:rPr>
          <w:color w:val="000000"/>
          <w:szCs w:val="19"/>
        </w:rPr>
        <w:t>läggsbestämmelsen 3.8a.2 till 3 </w:t>
      </w:r>
      <w:r w:rsidRPr="009C46CC">
        <w:rPr>
          <w:color w:val="000000"/>
          <w:szCs w:val="19"/>
        </w:rPr>
        <w:t xml:space="preserve">kap. 8 § riksdagsordningen </w:t>
      </w:r>
      <w:r w:rsidRPr="009C46CC">
        <w:t>lämnas som en redogörelse till riksdagen. Bilagt finns den av riksrevisorerna beslutade årliga rapporten 2011.</w:t>
      </w:r>
    </w:p>
    <w:p w:rsidR="00F235A1" w:rsidRPr="009C46CC" w:rsidRDefault="00F235A1" w:rsidP="006A16D0">
      <w:pPr>
        <w:spacing w:before="240"/>
      </w:pPr>
      <w:r w:rsidRPr="009C46CC">
        <w:t>Stockholm den 27 maj 2011</w:t>
      </w:r>
    </w:p>
    <w:p w:rsidR="00F235A1" w:rsidRPr="009C46CC" w:rsidRDefault="00F235A1" w:rsidP="006A16D0">
      <w:pPr>
        <w:spacing w:before="840"/>
      </w:pPr>
      <w:r w:rsidRPr="009C46CC">
        <w:t>Claes Norgren               Jan Landahl</w:t>
      </w:r>
      <w:r w:rsidRPr="009C46CC">
        <w:tab/>
        <w:t>Gudrun Antemar</w:t>
      </w:r>
    </w:p>
    <w:p w:rsidR="00F235A1" w:rsidRPr="009C46CC" w:rsidRDefault="00F235A1" w:rsidP="00F235A1"/>
    <w:p w:rsidR="00972D4E" w:rsidRPr="009C46CC" w:rsidRDefault="00972D4E" w:rsidP="00972D4E">
      <w:pPr>
        <w:pStyle w:val="Normaltindrag"/>
        <w:sectPr w:rsidR="00972D4E" w:rsidRPr="009C46CC" w:rsidSect="00B9317A">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F5DB9" w:rsidRPr="009C46CC" w:rsidRDefault="00FF5DB9" w:rsidP="00FF5DB9">
      <w:pPr>
        <w:pStyle w:val="Rubrik1"/>
        <w:rPr>
          <w:noProof w:val="0"/>
        </w:rPr>
      </w:pPr>
      <w:bookmarkStart w:id="3" w:name="_Toc293647890"/>
      <w:r w:rsidRPr="009C46CC">
        <w:rPr>
          <w:noProof w:val="0"/>
        </w:rPr>
        <w:lastRenderedPageBreak/>
        <w:t>Innehållsförteckning</w:t>
      </w:r>
      <w:bookmarkEnd w:id="3"/>
    </w:p>
    <w:p w:rsidR="004E6174" w:rsidRPr="009C46CC" w:rsidRDefault="004E6174">
      <w:pPr>
        <w:pStyle w:val="Innehll1"/>
        <w:rPr>
          <w:sz w:val="24"/>
          <w:szCs w:val="24"/>
        </w:rPr>
      </w:pPr>
      <w:r w:rsidRPr="009C46CC">
        <w:t>Innehållsförteckning</w:t>
      </w:r>
      <w:r w:rsidRPr="009C46CC">
        <w:tab/>
      </w:r>
      <w:r w:rsidR="00F97E3B" w:rsidRPr="009C46CC">
        <w:t>2</w:t>
      </w:r>
    </w:p>
    <w:p w:rsidR="004E6174" w:rsidRPr="009C46CC" w:rsidRDefault="004E6174">
      <w:pPr>
        <w:pStyle w:val="Innehll1"/>
        <w:rPr>
          <w:sz w:val="24"/>
          <w:szCs w:val="24"/>
        </w:rPr>
      </w:pPr>
      <w:r w:rsidRPr="009C46CC">
        <w:t>Riksrevisorernas årliga rapport 2011</w:t>
      </w:r>
      <w:r w:rsidRPr="009C46CC">
        <w:tab/>
      </w:r>
      <w:r w:rsidR="00F97E3B" w:rsidRPr="009C46CC">
        <w:t>3</w:t>
      </w:r>
    </w:p>
    <w:p w:rsidR="004E6174" w:rsidRPr="009C46CC" w:rsidRDefault="004E6174">
      <w:pPr>
        <w:pStyle w:val="Innehll1"/>
        <w:rPr>
          <w:sz w:val="24"/>
          <w:szCs w:val="24"/>
        </w:rPr>
      </w:pPr>
      <w:r w:rsidRPr="009C46CC">
        <w:t>Inledning</w:t>
      </w:r>
      <w:r w:rsidRPr="009C46CC">
        <w:tab/>
      </w:r>
      <w:r w:rsidR="00F97E3B" w:rsidRPr="009C46CC">
        <w:t>5</w:t>
      </w:r>
    </w:p>
    <w:p w:rsidR="004E6174" w:rsidRPr="009C46CC" w:rsidRDefault="004E6174">
      <w:pPr>
        <w:pStyle w:val="Innehll1"/>
        <w:rPr>
          <w:sz w:val="24"/>
          <w:szCs w:val="24"/>
        </w:rPr>
      </w:pPr>
      <w:r w:rsidRPr="009C46CC">
        <w:t>Utmaningar för transfereringssystemen</w:t>
      </w:r>
      <w:r w:rsidRPr="009C46CC">
        <w:tab/>
      </w:r>
      <w:r w:rsidR="00F97E3B" w:rsidRPr="009C46CC">
        <w:t>6</w:t>
      </w:r>
    </w:p>
    <w:p w:rsidR="004E6174" w:rsidRPr="009C46CC" w:rsidRDefault="004E6174">
      <w:pPr>
        <w:pStyle w:val="Innehll2"/>
        <w:rPr>
          <w:sz w:val="24"/>
          <w:szCs w:val="24"/>
        </w:rPr>
      </w:pPr>
      <w:r w:rsidRPr="009C46CC">
        <w:t>Vägen tillbaka till arbete – statens stöd</w:t>
      </w:r>
      <w:r w:rsidRPr="009C46CC">
        <w:tab/>
      </w:r>
      <w:r w:rsidR="00F97E3B" w:rsidRPr="009C46CC">
        <w:t>7</w:t>
      </w:r>
    </w:p>
    <w:p w:rsidR="004E6174" w:rsidRPr="009C46CC" w:rsidRDefault="004E6174">
      <w:pPr>
        <w:pStyle w:val="Innehll2"/>
        <w:rPr>
          <w:sz w:val="24"/>
          <w:szCs w:val="24"/>
        </w:rPr>
      </w:pPr>
      <w:r w:rsidRPr="009C46CC">
        <w:t>Försäkringsmässigheten i de allmänna försäkringarna</w:t>
      </w:r>
      <w:r w:rsidRPr="009C46CC">
        <w:tab/>
      </w:r>
      <w:r w:rsidR="00F97E3B" w:rsidRPr="009C46CC">
        <w:t>8</w:t>
      </w:r>
    </w:p>
    <w:p w:rsidR="004E6174" w:rsidRPr="009C46CC" w:rsidRDefault="004E6174">
      <w:pPr>
        <w:pStyle w:val="Innehll2"/>
        <w:rPr>
          <w:sz w:val="24"/>
          <w:szCs w:val="24"/>
        </w:rPr>
      </w:pPr>
      <w:r w:rsidRPr="009C46CC">
        <w:t>Rättssäkerhet – likabehandling</w:t>
      </w:r>
      <w:r w:rsidRPr="009C46CC">
        <w:tab/>
      </w:r>
      <w:r w:rsidR="00F97E3B" w:rsidRPr="009C46CC">
        <w:t>11</w:t>
      </w:r>
    </w:p>
    <w:p w:rsidR="004E6174" w:rsidRPr="009C46CC" w:rsidRDefault="004E6174">
      <w:pPr>
        <w:pStyle w:val="Innehll2"/>
        <w:rPr>
          <w:sz w:val="24"/>
          <w:szCs w:val="24"/>
        </w:rPr>
      </w:pPr>
      <w:r w:rsidRPr="009C46CC">
        <w:t>Förutsättningar för en effektivare ärendehantering</w:t>
      </w:r>
      <w:r w:rsidRPr="009C46CC">
        <w:tab/>
      </w:r>
      <w:r w:rsidR="00F97E3B" w:rsidRPr="009C46CC">
        <w:t>12</w:t>
      </w:r>
    </w:p>
    <w:p w:rsidR="004E6174" w:rsidRPr="009C46CC" w:rsidRDefault="004E6174">
      <w:pPr>
        <w:pStyle w:val="Innehll1"/>
        <w:rPr>
          <w:sz w:val="24"/>
          <w:szCs w:val="24"/>
        </w:rPr>
      </w:pPr>
      <w:r w:rsidRPr="009C46CC">
        <w:t>Långt kvar till en effektiv IT-förvaltning</w:t>
      </w:r>
      <w:r w:rsidRPr="009C46CC">
        <w:tab/>
      </w:r>
      <w:r w:rsidR="00F97E3B" w:rsidRPr="009C46CC">
        <w:t>15</w:t>
      </w:r>
    </w:p>
    <w:p w:rsidR="004E6174" w:rsidRPr="009C46CC" w:rsidRDefault="004E6174">
      <w:pPr>
        <w:pStyle w:val="Innehll2"/>
        <w:rPr>
          <w:sz w:val="24"/>
          <w:szCs w:val="24"/>
        </w:rPr>
      </w:pPr>
      <w:r w:rsidRPr="009C46CC">
        <w:t>Regeringen behöver skaffa ett helikopterperspektiv över e-förvaltningen</w:t>
      </w:r>
      <w:r w:rsidRPr="009C46CC">
        <w:tab/>
      </w:r>
      <w:r w:rsidR="00F97E3B" w:rsidRPr="009C46CC">
        <w:t>16</w:t>
      </w:r>
    </w:p>
    <w:p w:rsidR="004E6174" w:rsidRPr="009C46CC" w:rsidRDefault="004E6174">
      <w:pPr>
        <w:pStyle w:val="Innehll2"/>
        <w:rPr>
          <w:sz w:val="24"/>
          <w:szCs w:val="24"/>
        </w:rPr>
      </w:pPr>
      <w:r w:rsidRPr="009C46CC">
        <w:t>Staten behöver bli vassare som beställare</w:t>
      </w:r>
      <w:r w:rsidRPr="009C46CC">
        <w:tab/>
      </w:r>
      <w:r w:rsidR="00F97E3B" w:rsidRPr="009C46CC">
        <w:t>16</w:t>
      </w:r>
    </w:p>
    <w:p w:rsidR="004E6174" w:rsidRPr="009C46CC" w:rsidRDefault="004E6174">
      <w:pPr>
        <w:pStyle w:val="Innehll2"/>
        <w:rPr>
          <w:sz w:val="24"/>
          <w:szCs w:val="24"/>
        </w:rPr>
      </w:pPr>
      <w:r w:rsidRPr="009C46CC">
        <w:t>Personlig integritet och rättssäkerhet även viktigt vid omställning till e-förvaltning</w:t>
      </w:r>
      <w:r w:rsidRPr="009C46CC">
        <w:tab/>
      </w:r>
      <w:r w:rsidR="00F97E3B" w:rsidRPr="009C46CC">
        <w:t>17</w:t>
      </w:r>
    </w:p>
    <w:p w:rsidR="004E6174" w:rsidRPr="009C46CC" w:rsidRDefault="004E6174">
      <w:pPr>
        <w:pStyle w:val="Innehll1"/>
        <w:rPr>
          <w:sz w:val="24"/>
          <w:szCs w:val="24"/>
        </w:rPr>
      </w:pPr>
      <w:r w:rsidRPr="009C46CC">
        <w:t>Den årliga revisionen - våra viktigaste iakttagelser</w:t>
      </w:r>
      <w:r w:rsidRPr="009C46CC">
        <w:tab/>
      </w:r>
      <w:r w:rsidR="00F97E3B" w:rsidRPr="009C46CC">
        <w:t>19</w:t>
      </w:r>
    </w:p>
    <w:p w:rsidR="004E6174" w:rsidRPr="009C46CC" w:rsidRDefault="004E6174">
      <w:pPr>
        <w:pStyle w:val="Innehll2"/>
        <w:rPr>
          <w:sz w:val="24"/>
          <w:szCs w:val="24"/>
        </w:rPr>
      </w:pPr>
      <w:r w:rsidRPr="009C46CC">
        <w:t>Revisionen av 2010 års årsredovisningar</w:t>
      </w:r>
      <w:r w:rsidRPr="009C46CC">
        <w:tab/>
      </w:r>
      <w:r w:rsidR="00F97E3B" w:rsidRPr="009C46CC">
        <w:t>19</w:t>
      </w:r>
    </w:p>
    <w:p w:rsidR="004E6174" w:rsidRPr="009C46CC" w:rsidRDefault="004E6174">
      <w:pPr>
        <w:pStyle w:val="Innehll2"/>
        <w:rPr>
          <w:sz w:val="24"/>
          <w:szCs w:val="24"/>
        </w:rPr>
      </w:pPr>
      <w:r w:rsidRPr="009C46CC">
        <w:t>Myndigheter med modifierat uttalande</w:t>
      </w:r>
      <w:r w:rsidRPr="009C46CC">
        <w:tab/>
      </w:r>
      <w:r w:rsidR="00F97E3B" w:rsidRPr="009C46CC">
        <w:t>20</w:t>
      </w:r>
    </w:p>
    <w:p w:rsidR="004E6174" w:rsidRPr="009C46CC" w:rsidRDefault="004E6174">
      <w:pPr>
        <w:pStyle w:val="Innehll2"/>
        <w:rPr>
          <w:sz w:val="24"/>
          <w:szCs w:val="24"/>
        </w:rPr>
      </w:pPr>
      <w:r w:rsidRPr="009C46CC">
        <w:t>Myndigheter med upplysning i revisionsberättelsen</w:t>
      </w:r>
      <w:r w:rsidRPr="009C46CC">
        <w:tab/>
      </w:r>
      <w:r w:rsidR="00F97E3B" w:rsidRPr="009C46CC">
        <w:t>20</w:t>
      </w:r>
    </w:p>
    <w:p w:rsidR="004E6174" w:rsidRPr="009C46CC" w:rsidRDefault="004E6174">
      <w:pPr>
        <w:pStyle w:val="Innehll2"/>
        <w:rPr>
          <w:sz w:val="24"/>
          <w:szCs w:val="24"/>
        </w:rPr>
      </w:pPr>
      <w:r w:rsidRPr="009C46CC">
        <w:t>Resultatredovisning i årsredovisningarna</w:t>
      </w:r>
      <w:r w:rsidRPr="009C46CC">
        <w:tab/>
      </w:r>
      <w:r w:rsidR="00F97E3B" w:rsidRPr="009C46CC">
        <w:t>21</w:t>
      </w:r>
    </w:p>
    <w:p w:rsidR="004E6174" w:rsidRPr="009C46CC" w:rsidRDefault="004E6174">
      <w:pPr>
        <w:pStyle w:val="Innehll2"/>
        <w:rPr>
          <w:sz w:val="24"/>
          <w:szCs w:val="24"/>
        </w:rPr>
      </w:pPr>
      <w:r w:rsidRPr="009C46CC">
        <w:t>Förvaltningsutgifter på sakanslag</w:t>
      </w:r>
      <w:r w:rsidRPr="009C46CC">
        <w:tab/>
      </w:r>
      <w:r w:rsidR="00F97E3B" w:rsidRPr="009C46CC">
        <w:t>22</w:t>
      </w:r>
    </w:p>
    <w:p w:rsidR="004E6174" w:rsidRPr="009C46CC" w:rsidRDefault="004E6174">
      <w:pPr>
        <w:pStyle w:val="Innehll2"/>
        <w:rPr>
          <w:sz w:val="24"/>
          <w:szCs w:val="24"/>
        </w:rPr>
      </w:pPr>
      <w:r w:rsidRPr="009C46CC">
        <w:t>Informationssäkerhet vid myndigheterna</w:t>
      </w:r>
      <w:r w:rsidRPr="009C46CC">
        <w:tab/>
      </w:r>
      <w:r w:rsidR="00F97E3B" w:rsidRPr="009C46CC">
        <w:t>23</w:t>
      </w:r>
    </w:p>
    <w:p w:rsidR="004E6174" w:rsidRPr="009C46CC" w:rsidRDefault="004E6174">
      <w:pPr>
        <w:pStyle w:val="Innehll1"/>
        <w:rPr>
          <w:sz w:val="24"/>
          <w:szCs w:val="24"/>
        </w:rPr>
      </w:pPr>
      <w:r w:rsidRPr="009C46CC">
        <w:t>Effektivitetsrevisionens rapporter – våra viktigaste iakttagelser</w:t>
      </w:r>
      <w:r w:rsidRPr="009C46CC">
        <w:tab/>
      </w:r>
      <w:r w:rsidR="00F97E3B" w:rsidRPr="009C46CC">
        <w:t>24</w:t>
      </w:r>
    </w:p>
    <w:p w:rsidR="004E6174" w:rsidRPr="009C46CC" w:rsidRDefault="004E6174">
      <w:pPr>
        <w:pStyle w:val="Innehll2"/>
        <w:rPr>
          <w:sz w:val="24"/>
          <w:szCs w:val="24"/>
        </w:rPr>
      </w:pPr>
      <w:r w:rsidRPr="009C46CC">
        <w:t>Finansutskottet (FiU)</w:t>
      </w:r>
      <w:r w:rsidRPr="009C46CC">
        <w:tab/>
      </w:r>
      <w:r w:rsidR="00F97E3B" w:rsidRPr="009C46CC">
        <w:t>24</w:t>
      </w:r>
    </w:p>
    <w:p w:rsidR="004E6174" w:rsidRPr="009C46CC" w:rsidRDefault="004E6174">
      <w:pPr>
        <w:pStyle w:val="Innehll2"/>
        <w:rPr>
          <w:sz w:val="24"/>
          <w:szCs w:val="24"/>
        </w:rPr>
      </w:pPr>
      <w:r w:rsidRPr="009C46CC">
        <w:t>Skatteutskottet (SkU)</w:t>
      </w:r>
      <w:r w:rsidRPr="009C46CC">
        <w:tab/>
      </w:r>
      <w:r w:rsidR="00F97E3B" w:rsidRPr="009C46CC">
        <w:t>26</w:t>
      </w:r>
    </w:p>
    <w:p w:rsidR="004E6174" w:rsidRPr="009C46CC" w:rsidRDefault="004E6174">
      <w:pPr>
        <w:pStyle w:val="Innehll2"/>
        <w:rPr>
          <w:sz w:val="24"/>
          <w:szCs w:val="24"/>
        </w:rPr>
      </w:pPr>
      <w:r w:rsidRPr="009C46CC">
        <w:t>Justitieutskottet (JuU)</w:t>
      </w:r>
      <w:r w:rsidRPr="009C46CC">
        <w:tab/>
      </w:r>
      <w:r w:rsidR="00F97E3B" w:rsidRPr="009C46CC">
        <w:t>26</w:t>
      </w:r>
    </w:p>
    <w:p w:rsidR="004E6174" w:rsidRPr="009C46CC" w:rsidRDefault="004E6174">
      <w:pPr>
        <w:pStyle w:val="Innehll2"/>
        <w:rPr>
          <w:sz w:val="24"/>
          <w:szCs w:val="24"/>
        </w:rPr>
      </w:pPr>
      <w:r w:rsidRPr="009C46CC">
        <w:t>Civilutskottet (CU)</w:t>
      </w:r>
      <w:r w:rsidRPr="009C46CC">
        <w:tab/>
      </w:r>
      <w:r w:rsidR="00F97E3B" w:rsidRPr="009C46CC">
        <w:t>28</w:t>
      </w:r>
    </w:p>
    <w:p w:rsidR="004E6174" w:rsidRPr="009C46CC" w:rsidRDefault="004E6174">
      <w:pPr>
        <w:pStyle w:val="Innehll2"/>
        <w:rPr>
          <w:sz w:val="24"/>
          <w:szCs w:val="24"/>
        </w:rPr>
      </w:pPr>
      <w:r w:rsidRPr="009C46CC">
        <w:t>Försvarsutskottet (FöU)</w:t>
      </w:r>
      <w:r w:rsidRPr="009C46CC">
        <w:tab/>
      </w:r>
      <w:r w:rsidR="00F97E3B" w:rsidRPr="009C46CC">
        <w:t>29</w:t>
      </w:r>
    </w:p>
    <w:p w:rsidR="004E6174" w:rsidRPr="009C46CC" w:rsidRDefault="004E6174">
      <w:pPr>
        <w:pStyle w:val="Innehll2"/>
        <w:rPr>
          <w:sz w:val="24"/>
          <w:szCs w:val="24"/>
        </w:rPr>
      </w:pPr>
      <w:r w:rsidRPr="009C46CC">
        <w:t>Socialförsäkringsutskottet (SfU)</w:t>
      </w:r>
      <w:r w:rsidRPr="009C46CC">
        <w:tab/>
      </w:r>
      <w:r w:rsidR="00F97E3B" w:rsidRPr="009C46CC">
        <w:t>31</w:t>
      </w:r>
    </w:p>
    <w:p w:rsidR="004E6174" w:rsidRPr="009C46CC" w:rsidRDefault="004E6174">
      <w:pPr>
        <w:pStyle w:val="Innehll2"/>
        <w:rPr>
          <w:sz w:val="24"/>
          <w:szCs w:val="24"/>
        </w:rPr>
      </w:pPr>
      <w:r w:rsidRPr="009C46CC">
        <w:t>Socialutskottet (SoU)</w:t>
      </w:r>
      <w:r w:rsidRPr="009C46CC">
        <w:tab/>
      </w:r>
      <w:r w:rsidR="00F97E3B" w:rsidRPr="009C46CC">
        <w:t>33</w:t>
      </w:r>
    </w:p>
    <w:p w:rsidR="004E6174" w:rsidRPr="009C46CC" w:rsidRDefault="004E6174">
      <w:pPr>
        <w:pStyle w:val="Innehll2"/>
        <w:rPr>
          <w:sz w:val="24"/>
          <w:szCs w:val="24"/>
        </w:rPr>
      </w:pPr>
      <w:r w:rsidRPr="009C46CC">
        <w:t>Kulturutskottet (KrU)</w:t>
      </w:r>
      <w:r w:rsidRPr="009C46CC">
        <w:tab/>
      </w:r>
      <w:r w:rsidR="00F97E3B" w:rsidRPr="009C46CC">
        <w:t>34</w:t>
      </w:r>
    </w:p>
    <w:p w:rsidR="004E6174" w:rsidRPr="009C46CC" w:rsidRDefault="004E6174">
      <w:pPr>
        <w:pStyle w:val="Innehll2"/>
        <w:rPr>
          <w:sz w:val="24"/>
          <w:szCs w:val="24"/>
        </w:rPr>
      </w:pPr>
      <w:r w:rsidRPr="009C46CC">
        <w:t>Utbildningsutskottet (UbU)</w:t>
      </w:r>
      <w:r w:rsidRPr="009C46CC">
        <w:tab/>
      </w:r>
      <w:r w:rsidR="00F97E3B" w:rsidRPr="009C46CC">
        <w:t>34</w:t>
      </w:r>
    </w:p>
    <w:p w:rsidR="004E6174" w:rsidRPr="009C46CC" w:rsidRDefault="004E6174">
      <w:pPr>
        <w:pStyle w:val="Innehll2"/>
        <w:rPr>
          <w:sz w:val="24"/>
          <w:szCs w:val="24"/>
        </w:rPr>
      </w:pPr>
      <w:r w:rsidRPr="009C46CC">
        <w:t>Trafikutskottet (TU)</w:t>
      </w:r>
      <w:r w:rsidRPr="009C46CC">
        <w:tab/>
      </w:r>
      <w:r w:rsidR="00F97E3B" w:rsidRPr="009C46CC">
        <w:t>36</w:t>
      </w:r>
    </w:p>
    <w:p w:rsidR="004E6174" w:rsidRPr="009C46CC" w:rsidRDefault="004E6174">
      <w:pPr>
        <w:pStyle w:val="Innehll2"/>
        <w:rPr>
          <w:sz w:val="24"/>
          <w:szCs w:val="24"/>
        </w:rPr>
      </w:pPr>
      <w:r w:rsidRPr="009C46CC">
        <w:t>Miljö- och jordbruksutskottet (MJU)</w:t>
      </w:r>
      <w:r w:rsidRPr="009C46CC">
        <w:tab/>
      </w:r>
      <w:r w:rsidR="00F97E3B" w:rsidRPr="009C46CC">
        <w:t>39</w:t>
      </w:r>
    </w:p>
    <w:p w:rsidR="004E6174" w:rsidRPr="009C46CC" w:rsidRDefault="004E6174">
      <w:pPr>
        <w:pStyle w:val="Innehll2"/>
        <w:rPr>
          <w:sz w:val="24"/>
          <w:szCs w:val="24"/>
        </w:rPr>
      </w:pPr>
      <w:r w:rsidRPr="009C46CC">
        <w:t>Näringsutskottet (NU)</w:t>
      </w:r>
      <w:r w:rsidRPr="009C46CC">
        <w:tab/>
      </w:r>
      <w:r w:rsidR="00F97E3B" w:rsidRPr="009C46CC">
        <w:t>40</w:t>
      </w:r>
    </w:p>
    <w:p w:rsidR="004E6174" w:rsidRPr="009C46CC" w:rsidRDefault="004E6174">
      <w:pPr>
        <w:pStyle w:val="Innehll2"/>
        <w:rPr>
          <w:sz w:val="24"/>
          <w:szCs w:val="24"/>
        </w:rPr>
      </w:pPr>
      <w:r w:rsidRPr="009C46CC">
        <w:t>Arbetsmarknadsutskottet (AU)</w:t>
      </w:r>
      <w:r w:rsidRPr="009C46CC">
        <w:tab/>
      </w:r>
      <w:r w:rsidR="00F97E3B" w:rsidRPr="009C46CC">
        <w:t>40</w:t>
      </w:r>
    </w:p>
    <w:p w:rsidR="00FF5DB9" w:rsidRPr="009C46CC" w:rsidRDefault="00FF5DB9" w:rsidP="00FF5DB9"/>
    <w:p w:rsidR="00FF5DB9" w:rsidRPr="009C46CC" w:rsidRDefault="00FF5DB9" w:rsidP="00FF5DB9">
      <w:pPr>
        <w:pStyle w:val="Normaltindrag"/>
        <w:sectPr w:rsidR="00FF5DB9" w:rsidRPr="009C46CC" w:rsidSect="00B9317A">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47A4" w:rsidRPr="009C46CC" w:rsidRDefault="001547A4" w:rsidP="001547A4">
      <w:pPr>
        <w:rPr>
          <w:u w:val="single"/>
        </w:rPr>
      </w:pPr>
      <w:r w:rsidRPr="009C46CC">
        <w:rPr>
          <w:u w:val="single"/>
        </w:rPr>
        <w:t>BILAGA</w:t>
      </w:r>
    </w:p>
    <w:p w:rsidR="00F9107E" w:rsidRPr="009C46CC" w:rsidRDefault="00F9107E" w:rsidP="00F9107E"/>
    <w:p w:rsidR="00F9107E" w:rsidRPr="009C46CC" w:rsidRDefault="00F9107E" w:rsidP="00F9107E">
      <w:r w:rsidRPr="009C46CC">
        <w:t>Till riksdagen</w:t>
      </w:r>
      <w:r w:rsidRPr="009C46CC">
        <w:tab/>
      </w:r>
      <w:r w:rsidRPr="009C46CC">
        <w:tab/>
      </w:r>
      <w:r w:rsidRPr="009C46CC">
        <w:tab/>
        <w:t>Datum: 2011-05-20</w:t>
      </w:r>
    </w:p>
    <w:p w:rsidR="00F9107E" w:rsidRPr="009C46CC" w:rsidRDefault="00F9107E" w:rsidP="00F9107E">
      <w:pPr>
        <w:pStyle w:val="Normaltindrag"/>
      </w:pPr>
      <w:r w:rsidRPr="009C46CC">
        <w:tab/>
      </w:r>
      <w:r w:rsidRPr="009C46CC">
        <w:tab/>
      </w:r>
      <w:r w:rsidRPr="009C46CC">
        <w:tab/>
        <w:t>Dnr: 30-2011-0093</w:t>
      </w:r>
    </w:p>
    <w:p w:rsidR="00F9107E" w:rsidRPr="009C46CC" w:rsidRDefault="00F9107E" w:rsidP="00F9107E">
      <w:pPr>
        <w:pStyle w:val="Normaltindrag"/>
      </w:pPr>
    </w:p>
    <w:p w:rsidR="00F9107E" w:rsidRPr="009C46CC" w:rsidRDefault="00F9107E" w:rsidP="00F9107E"/>
    <w:p w:rsidR="001547A4" w:rsidRPr="009C46CC" w:rsidRDefault="001547A4" w:rsidP="001547A4">
      <w:pPr>
        <w:pStyle w:val="Rubrik1"/>
        <w:rPr>
          <w:noProof w:val="0"/>
        </w:rPr>
      </w:pPr>
      <w:bookmarkStart w:id="4" w:name="_Toc293647891"/>
      <w:r w:rsidRPr="009C46CC">
        <w:rPr>
          <w:noProof w:val="0"/>
        </w:rPr>
        <w:t>Riksrevisorernas årliga rapport 2011</w:t>
      </w:r>
      <w:bookmarkEnd w:id="4"/>
    </w:p>
    <w:p w:rsidR="00746479" w:rsidRPr="009C46CC" w:rsidRDefault="001547A4" w:rsidP="001547A4">
      <w:r w:rsidRPr="009C46CC">
        <w:t>Enligt 12 § lagen (2002:1022) om revision av statlig verksamhet m.m. ska de viktigaste iakttagelserna från effektivitetsrevisionen och den årliga revisionen samlas i en årlig rapport. Från och med i år överlämnas rapporten till riksd</w:t>
      </w:r>
      <w:r w:rsidRPr="009C46CC">
        <w:t>a</w:t>
      </w:r>
      <w:r w:rsidRPr="009C46CC">
        <w:t xml:space="preserve">gen.  </w:t>
      </w:r>
    </w:p>
    <w:p w:rsidR="00746479" w:rsidRPr="009C46CC" w:rsidRDefault="001547A4" w:rsidP="00746479">
      <w:pPr>
        <w:pStyle w:val="Normaltindrag"/>
      </w:pPr>
      <w:r w:rsidRPr="009C46CC">
        <w:t>Rapporten har tagits fram av Anders Berg (projektledare) och Thomas Daw</w:t>
      </w:r>
      <w:r w:rsidRPr="009C46CC">
        <w:t>i</w:t>
      </w:r>
      <w:r w:rsidRPr="009C46CC">
        <w:t xml:space="preserve">dowski.  </w:t>
      </w:r>
    </w:p>
    <w:p w:rsidR="001547A4" w:rsidRPr="009C46CC" w:rsidRDefault="001547A4" w:rsidP="00746479">
      <w:pPr>
        <w:pStyle w:val="Normaltindrag"/>
      </w:pPr>
      <w:r w:rsidRPr="009C46CC">
        <w:t>Den årliga rapporten ger, tillsammans med granskningsplanen som publ</w:t>
      </w:r>
      <w:r w:rsidRPr="009C46CC">
        <w:t>i</w:t>
      </w:r>
      <w:r w:rsidRPr="009C46CC">
        <w:t>ceras i september, en sammanhållen redovisning av Riksrevisionens grans</w:t>
      </w:r>
      <w:r w:rsidRPr="009C46CC">
        <w:t>k</w:t>
      </w:r>
      <w:r w:rsidRPr="009C46CC">
        <w:t xml:space="preserve">ning. </w:t>
      </w:r>
    </w:p>
    <w:p w:rsidR="001547A4" w:rsidRPr="009C46CC" w:rsidRDefault="001547A4" w:rsidP="00BB0BE6">
      <w:pPr>
        <w:spacing w:before="240"/>
      </w:pPr>
      <w:r w:rsidRPr="009C46CC">
        <w:t>Stockholm den 20 maj 2011.</w:t>
      </w:r>
    </w:p>
    <w:p w:rsidR="001547A4" w:rsidRPr="009C46CC" w:rsidRDefault="001547A4" w:rsidP="00BB0BE6">
      <w:pPr>
        <w:spacing w:before="840"/>
      </w:pPr>
      <w:r w:rsidRPr="009C46CC">
        <w:t>Claes Norgren               Jan Landahl</w:t>
      </w:r>
      <w:r w:rsidRPr="009C46CC">
        <w:tab/>
        <w:t>Gudrun Antemar</w:t>
      </w:r>
    </w:p>
    <w:p w:rsidR="001547A4" w:rsidRPr="009C46CC" w:rsidRDefault="001547A4" w:rsidP="001547A4">
      <w:pPr>
        <w:spacing w:before="0" w:line="240" w:lineRule="auto"/>
      </w:pPr>
    </w:p>
    <w:p w:rsidR="00CF1F3A" w:rsidRPr="009C46CC" w:rsidRDefault="001547A4" w:rsidP="003705D0">
      <w:pPr>
        <w:spacing w:before="0" w:line="240" w:lineRule="auto"/>
      </w:pPr>
      <w:r w:rsidRPr="009C46CC">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3"/>
      </w:tblGrid>
      <w:tr w:rsidR="00CF1F3A" w:rsidRPr="009C46CC" w:rsidTr="00BA347B">
        <w:tc>
          <w:tcPr>
            <w:tcW w:w="6093" w:type="dxa"/>
          </w:tcPr>
          <w:p w:rsidR="00CF1F3A" w:rsidRPr="009C46CC" w:rsidRDefault="00CF1F3A" w:rsidP="00CF1F3A">
            <w:r w:rsidRPr="009C46CC">
              <w:t>Riksrevisionen granskar statliga myndigheter och verksamheter. Genom vår oberoende ställning undersöker vi hur statliga medel används, rapporterar om eventuella brister och ger rekommendationer på lösningar för förbättrad effektivitet. Vi vill att resultatet av vår granskning ska vara ett underlag för debatt, beslut och förändring.</w:t>
            </w:r>
          </w:p>
          <w:p w:rsidR="00CF1F3A" w:rsidRPr="009C46CC" w:rsidRDefault="00CF1F3A" w:rsidP="00CF1F3A">
            <w:pPr>
              <w:pStyle w:val="Normaltindrag"/>
            </w:pPr>
            <w:r w:rsidRPr="009C46CC">
              <w:t>Riksrevisorernas årliga rapport lämnas till riksdagen och syftar till att ge en aktuell och samlad information om resultatet från Riks</w:t>
            </w:r>
            <w:r w:rsidRPr="009C46CC">
              <w:softHyphen/>
              <w:t xml:space="preserve">revisionens granskning under året. </w:t>
            </w:r>
          </w:p>
          <w:p w:rsidR="00CF1F3A" w:rsidRPr="009C46CC" w:rsidRDefault="00CF1F3A" w:rsidP="009A0A45">
            <w:pPr>
              <w:pStyle w:val="Normaltindrag"/>
            </w:pPr>
            <w:r w:rsidRPr="009C46CC">
              <w:t>Underlaget till rapporten bygger på granskningsresultat från både den å</w:t>
            </w:r>
            <w:r w:rsidRPr="009C46CC">
              <w:t>r</w:t>
            </w:r>
            <w:r w:rsidRPr="009C46CC">
              <w:t>liga revisionen och effektivitetsrevisionen. Inom den årliga revisionen granskar och bedömer vi om myndigheternas redovisning med underligga</w:t>
            </w:r>
            <w:r w:rsidRPr="009C46CC">
              <w:t>n</w:t>
            </w:r>
            <w:r w:rsidRPr="009C46CC">
              <w:t>de räkenskaper är rättvisande. Granskningen av årsredovisningen avrappo</w:t>
            </w:r>
            <w:r w:rsidRPr="009C46CC">
              <w:t>r</w:t>
            </w:r>
            <w:r w:rsidRPr="009C46CC">
              <w:t>teras i en revisionsberättelse. Identifierade fel och brister kan också avra</w:t>
            </w:r>
            <w:r w:rsidRPr="009C46CC">
              <w:t>p</w:t>
            </w:r>
            <w:r w:rsidRPr="009C46CC">
              <w:t>porteras i en revisionsrapport. Genom effektivitetsrevision granskar vi effe</w:t>
            </w:r>
            <w:r w:rsidRPr="009C46CC">
              <w:t>k</w:t>
            </w:r>
            <w:r w:rsidRPr="009C46CC">
              <w:t>tiviteten i den statliga verksamheten. Resultatet presenteras i granskning</w:t>
            </w:r>
            <w:r w:rsidRPr="009C46CC">
              <w:t>s</w:t>
            </w:r>
            <w:r w:rsidRPr="009C46CC">
              <w:t>rapporter.</w:t>
            </w:r>
          </w:p>
          <w:p w:rsidR="00CB4ABF" w:rsidRPr="009C46CC" w:rsidRDefault="00CB4ABF" w:rsidP="009A0A45">
            <w:pPr>
              <w:pStyle w:val="Normaltindrag"/>
            </w:pPr>
          </w:p>
        </w:tc>
      </w:tr>
    </w:tbl>
    <w:p w:rsidR="001547A4" w:rsidRPr="009C46CC" w:rsidRDefault="001547A4" w:rsidP="001547A4"/>
    <w:p w:rsidR="001547A4" w:rsidRPr="009C46CC" w:rsidRDefault="001547A4" w:rsidP="001547A4">
      <w:pPr>
        <w:pStyle w:val="Normaltindrag"/>
      </w:pPr>
    </w:p>
    <w:p w:rsidR="001547A4" w:rsidRPr="009C46CC" w:rsidRDefault="001547A4" w:rsidP="001547A4">
      <w:pPr>
        <w:pStyle w:val="Normaltindrag"/>
      </w:pPr>
    </w:p>
    <w:p w:rsidR="0035291D" w:rsidRPr="009C46CC" w:rsidRDefault="0035291D" w:rsidP="001547A4"/>
    <w:p w:rsidR="0035291D" w:rsidRPr="009C46CC" w:rsidRDefault="0035291D" w:rsidP="0035291D">
      <w:pPr>
        <w:pStyle w:val="Normaltindrag"/>
        <w:sectPr w:rsidR="0035291D" w:rsidRPr="009C46CC" w:rsidSect="00B9317A">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47A4" w:rsidRPr="009C46CC" w:rsidRDefault="001547A4" w:rsidP="0035291D">
      <w:pPr>
        <w:pStyle w:val="Rubrik1"/>
        <w:rPr>
          <w:noProof w:val="0"/>
        </w:rPr>
      </w:pPr>
      <w:bookmarkStart w:id="5" w:name="_Toc293393603"/>
      <w:bookmarkStart w:id="6" w:name="_Toc293647892"/>
      <w:r w:rsidRPr="009C46CC">
        <w:rPr>
          <w:noProof w:val="0"/>
        </w:rPr>
        <w:t>Inledning</w:t>
      </w:r>
      <w:bookmarkEnd w:id="5"/>
      <w:bookmarkEnd w:id="6"/>
      <w:r w:rsidRPr="009C46CC">
        <w:rPr>
          <w:noProof w:val="0"/>
        </w:rPr>
        <w:t xml:space="preserve">     </w:t>
      </w:r>
    </w:p>
    <w:p w:rsidR="001547A4" w:rsidRPr="009C46CC" w:rsidRDefault="001547A4" w:rsidP="001547A4">
      <w:r w:rsidRPr="009C46CC">
        <w:t xml:space="preserve">Riksrevisorernas årliga rapport ger en bild av våra viktigaste iakttagelser från det senaste årets granskningar inom effektivitetsrevisionen och den årliga revisionen. </w:t>
      </w:r>
    </w:p>
    <w:p w:rsidR="001547A4" w:rsidRPr="009C46CC" w:rsidRDefault="001547A4" w:rsidP="001547A4">
      <w:pPr>
        <w:pStyle w:val="Normaltindrag"/>
      </w:pPr>
      <w:r w:rsidRPr="009C46CC">
        <w:t>Rapporten inleds med en redovisning av våra granskningar inom strateg</w:t>
      </w:r>
      <w:r w:rsidRPr="009C46CC">
        <w:t>i</w:t>
      </w:r>
      <w:r w:rsidRPr="009C46CC">
        <w:t xml:space="preserve">erna </w:t>
      </w:r>
      <w:r w:rsidRPr="009C46CC">
        <w:rPr>
          <w:i/>
        </w:rPr>
        <w:t>Hållbara transfereringar</w:t>
      </w:r>
      <w:r w:rsidRPr="009C46CC">
        <w:t xml:space="preserve"> och </w:t>
      </w:r>
      <w:r w:rsidRPr="009C46CC">
        <w:rPr>
          <w:i/>
        </w:rPr>
        <w:t>Effektiv förvaltning</w:t>
      </w:r>
      <w:r w:rsidRPr="009C46CC">
        <w:t>. Här sammanställer vi de viktigaste slutsatserna efter att ha gjort ett antal granskningar inom respe</w:t>
      </w:r>
      <w:r w:rsidRPr="009C46CC">
        <w:t>k</w:t>
      </w:r>
      <w:r w:rsidRPr="009C46CC">
        <w:t>tive strategi. Detta är ett sätt att presentera de väsentligaste resultaten av arb</w:t>
      </w:r>
      <w:r w:rsidRPr="009C46CC">
        <w:t>e</w:t>
      </w:r>
      <w:r w:rsidRPr="009C46CC">
        <w:t xml:space="preserve">tet inom en strategi. I andra fall kommer vi att redovisa resultatet i en särskild slutrapport.  </w:t>
      </w:r>
    </w:p>
    <w:p w:rsidR="001547A4" w:rsidRPr="009C46CC" w:rsidRDefault="001547A4" w:rsidP="001547A4">
      <w:pPr>
        <w:pStyle w:val="Normaltindrag"/>
      </w:pPr>
      <w:r w:rsidRPr="009C46CC">
        <w:t>Vi presenterar också de viktigaste iakttagelserna från effektivitetsrevisi</w:t>
      </w:r>
      <w:r w:rsidRPr="009C46CC">
        <w:t>o</w:t>
      </w:r>
      <w:r w:rsidRPr="009C46CC">
        <w:t>nens rapporter ordnade per riksdagsutskott och några särskilda iakttagelser från vår granskning av myndigheternas årsredovisningar.</w:t>
      </w:r>
    </w:p>
    <w:p w:rsidR="0035291D" w:rsidRPr="009C46CC" w:rsidRDefault="0035291D" w:rsidP="001547A4">
      <w:pPr>
        <w:pStyle w:val="Normaltindrag"/>
      </w:pPr>
    </w:p>
    <w:p w:rsidR="0035291D" w:rsidRPr="009C46CC" w:rsidRDefault="0035291D" w:rsidP="001547A4">
      <w:pPr>
        <w:pStyle w:val="Normaltindrag"/>
        <w:sectPr w:rsidR="0035291D" w:rsidRPr="009C46CC" w:rsidSect="00B9317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47A4" w:rsidRPr="009C46CC" w:rsidRDefault="001547A4" w:rsidP="001547A4">
      <w:pPr>
        <w:pStyle w:val="Rubrik1"/>
        <w:rPr>
          <w:noProof w:val="0"/>
        </w:rPr>
      </w:pPr>
      <w:bookmarkStart w:id="7" w:name="_Toc293393604"/>
      <w:bookmarkStart w:id="8" w:name="_Toc293647893"/>
      <w:r w:rsidRPr="009C46CC">
        <w:rPr>
          <w:noProof w:val="0"/>
        </w:rPr>
        <w:t>Utmaningar för transfereringssystemen</w:t>
      </w:r>
      <w:bookmarkEnd w:id="7"/>
      <w:bookmarkEnd w:id="8"/>
    </w:p>
    <w:p w:rsidR="001547A4" w:rsidRPr="009C46CC" w:rsidRDefault="001547A4" w:rsidP="001547A4">
      <w:r w:rsidRPr="009C46CC">
        <w:t xml:space="preserve">När Riksrevisionens strategi </w:t>
      </w:r>
      <w:r w:rsidRPr="009C46CC">
        <w:rPr>
          <w:i/>
        </w:rPr>
        <w:t>Hållbara transfereringar</w:t>
      </w:r>
      <w:r w:rsidRPr="009C46CC">
        <w:t xml:space="preserve"> avslutas till midso</w:t>
      </w:r>
      <w:r w:rsidRPr="009C46CC">
        <w:t>m</w:t>
      </w:r>
      <w:r w:rsidRPr="009C46CC">
        <w:t>mar 2011, har vi genomfört tolv granskningar av de offentliga transferering</w:t>
      </w:r>
      <w:r w:rsidRPr="009C46CC">
        <w:t>s</w:t>
      </w:r>
      <w:r w:rsidRPr="009C46CC">
        <w:t xml:space="preserve">systemen samt i två promemorior diskuterat försäkringsmässigheten i de allmänna försäkringarna. Strategin har pågått sedan 2007. Det övergripande syftet har varit att besvara frågan om transfereringssystemen är hållbara. </w:t>
      </w:r>
    </w:p>
    <w:p w:rsidR="001547A4" w:rsidRPr="009C46CC" w:rsidRDefault="001547A4" w:rsidP="001547A4">
      <w:pPr>
        <w:pStyle w:val="Normaltindrag"/>
      </w:pPr>
      <w:r w:rsidRPr="009C46CC">
        <w:t>Med transfereringar avses de allmänna försäkringar och bidrag stat och kommun betalar ut till medborgare som ekonomiskt stöd i någon form. Med hållbara transfereringssystem menar vi system som lyckas förena hög effekt</w:t>
      </w:r>
      <w:r w:rsidRPr="009C46CC">
        <w:t>i</w:t>
      </w:r>
      <w:r w:rsidRPr="009C46CC">
        <w:t xml:space="preserve">vitet med transparens och finansiell robusthet. </w:t>
      </w:r>
    </w:p>
    <w:p w:rsidR="001547A4" w:rsidRPr="009C46CC" w:rsidRDefault="001547A4" w:rsidP="001547A4">
      <w:pPr>
        <w:pStyle w:val="Normaltindrag"/>
      </w:pPr>
      <w:r w:rsidRPr="009C46CC">
        <w:t>Med tanke på de stora belopp som slussas genom transfereringssystemen och den betydelse de har för många människors ekonomiska trygghet, ser vi det som angeläget att transfereringssystemen har en hög effektivitet. Riksrev</w:t>
      </w:r>
      <w:r w:rsidRPr="009C46CC">
        <w:t>i</w:t>
      </w:r>
      <w:r w:rsidRPr="009C46CC">
        <w:t xml:space="preserve">sionen har granskat systemen från flera olika perspektiv och också funnit en hel del brister. Många av bristerna har rättats till, andra kvarstår. </w:t>
      </w:r>
    </w:p>
    <w:p w:rsidR="001547A4" w:rsidRPr="009C46CC" w:rsidRDefault="001547A4" w:rsidP="00A97379">
      <w:pPr>
        <w:pStyle w:val="R3"/>
      </w:pPr>
      <w:r w:rsidRPr="009C46CC">
        <w:t>Våra viktigaste budskap</w:t>
      </w:r>
    </w:p>
    <w:p w:rsidR="001547A4" w:rsidRPr="009C46CC" w:rsidRDefault="001547A4" w:rsidP="001547A4">
      <w:r w:rsidRPr="009C46CC">
        <w:t>För att transfereringssystemen ska upprätthålla den kvalitet som krävs för en god legitimitet bland befolkningen, måste systemen utöver att vara effektiva och finansiellt robusta, även vara förutsägbara för den enskilde och besluten likformigt utformade. Riksrevisionen sammanfattar här sina viktigaste iaktt</w:t>
      </w:r>
      <w:r w:rsidRPr="009C46CC">
        <w:t>a</w:t>
      </w:r>
      <w:r w:rsidRPr="009C46CC">
        <w:t>gelser i fyra övergripande slutsatser:</w:t>
      </w:r>
    </w:p>
    <w:p w:rsidR="001547A4" w:rsidRPr="009C46CC" w:rsidRDefault="001547A4" w:rsidP="004E6174">
      <w:pPr>
        <w:numPr>
          <w:ilvl w:val="0"/>
          <w:numId w:val="10"/>
        </w:numPr>
        <w:spacing w:before="125"/>
        <w:ind w:left="357" w:hanging="357"/>
      </w:pPr>
      <w:r w:rsidRPr="009C46CC">
        <w:t>För det första behöver processerna inom såväl sjukförsäkringen som arbetslöshetsförsäkringen utvecklas för att kunna ge de försäkrade rätt typ av stöd vid rätt tillfälle för att öka deras möjligheter att komma til</w:t>
      </w:r>
      <w:r w:rsidRPr="009C46CC">
        <w:t>l</w:t>
      </w:r>
      <w:r w:rsidRPr="009C46CC">
        <w:t xml:space="preserve">baka till arbete. </w:t>
      </w:r>
    </w:p>
    <w:p w:rsidR="001547A4" w:rsidRPr="009C46CC" w:rsidRDefault="001547A4" w:rsidP="004E6174">
      <w:pPr>
        <w:numPr>
          <w:ilvl w:val="0"/>
          <w:numId w:val="10"/>
        </w:numPr>
        <w:spacing w:before="0"/>
        <w:ind w:left="357" w:hanging="357"/>
      </w:pPr>
      <w:r w:rsidRPr="009C46CC">
        <w:t xml:space="preserve">För det andra skulle en mer försäkringsmässig utformning av dessa båda försäkringar också skapa en större ekonomisk trygghet för de försäkrade, alternativt en lika stor ekonomisk trygghet men till en lägre kostnad. </w:t>
      </w:r>
    </w:p>
    <w:p w:rsidR="001547A4" w:rsidRPr="009C46CC" w:rsidRDefault="001547A4" w:rsidP="004E6174">
      <w:pPr>
        <w:numPr>
          <w:ilvl w:val="0"/>
          <w:numId w:val="10"/>
        </w:numPr>
        <w:spacing w:before="0"/>
        <w:ind w:left="357" w:hanging="357"/>
      </w:pPr>
      <w:r w:rsidRPr="009C46CC">
        <w:t>För det tredje har ansvariga myndigheter inte i tillräckligt hög utsträc</w:t>
      </w:r>
      <w:r w:rsidRPr="009C46CC">
        <w:t>k</w:t>
      </w:r>
      <w:r w:rsidRPr="009C46CC">
        <w:t>ning identifierat huruvida det förekommer osakliga skillnader mellan ol</w:t>
      </w:r>
      <w:r w:rsidRPr="009C46CC">
        <w:t>i</w:t>
      </w:r>
      <w:r w:rsidRPr="009C46CC">
        <w:t xml:space="preserve">ka grupper i befolkningen när det gäller beslut och i sannolikhet att få ta del av en viss åtgärd. </w:t>
      </w:r>
    </w:p>
    <w:p w:rsidR="001547A4" w:rsidRPr="009C46CC" w:rsidRDefault="001547A4" w:rsidP="004E6174">
      <w:pPr>
        <w:numPr>
          <w:ilvl w:val="0"/>
          <w:numId w:val="10"/>
        </w:numPr>
        <w:spacing w:before="0"/>
        <w:ind w:left="357" w:hanging="357"/>
      </w:pPr>
      <w:r w:rsidRPr="009C46CC">
        <w:t>För det fjärde behöver regeringen vidta åtgärder för att underlätta info</w:t>
      </w:r>
      <w:r w:rsidRPr="009C46CC">
        <w:t>r</w:t>
      </w:r>
      <w:r w:rsidRPr="009C46CC">
        <w:t>mationsutbytet mellan myndigheter. Vår bedömning är att myndighete</w:t>
      </w:r>
      <w:r w:rsidRPr="009C46CC">
        <w:t>r</w:t>
      </w:r>
      <w:r w:rsidRPr="009C46CC">
        <w:t>na inte har utnyttjat alla möjligheter som lag och teknik erbjuder. Det i</w:t>
      </w:r>
      <w:r w:rsidRPr="009C46CC">
        <w:t>n</w:t>
      </w:r>
      <w:r w:rsidRPr="009C46CC">
        <w:t>nebär bland annat en stor effektiviseringspotential.</w:t>
      </w:r>
    </w:p>
    <w:p w:rsidR="001547A4" w:rsidRPr="009C46CC" w:rsidRDefault="001547A4" w:rsidP="001547A4">
      <w:pPr>
        <w:pStyle w:val="Rubrik2"/>
      </w:pPr>
      <w:bookmarkStart w:id="9" w:name="_Toc293393605"/>
      <w:bookmarkStart w:id="10" w:name="_Toc293647894"/>
      <w:r w:rsidRPr="009C46CC">
        <w:t>Vägen tillbaka till arbete – statens stöd</w:t>
      </w:r>
      <w:bookmarkEnd w:id="9"/>
      <w:bookmarkEnd w:id="10"/>
    </w:p>
    <w:p w:rsidR="001547A4" w:rsidRPr="009C46CC" w:rsidRDefault="001547A4" w:rsidP="001547A4">
      <w:r w:rsidRPr="009C46CC">
        <w:t xml:space="preserve">Inom strategin </w:t>
      </w:r>
      <w:r w:rsidRPr="009C46CC">
        <w:rPr>
          <w:i/>
        </w:rPr>
        <w:t>Hållbara transfereringar</w:t>
      </w:r>
      <w:r w:rsidRPr="009C46CC">
        <w:t xml:space="preserve"> har bland annat arbetslöshetsförsä</w:t>
      </w:r>
      <w:r w:rsidRPr="009C46CC">
        <w:t>k</w:t>
      </w:r>
      <w:r w:rsidRPr="009C46CC">
        <w:t>ringen och sjukförsäkringen granskats. Båda är så kallade omställningsförsä</w:t>
      </w:r>
      <w:r w:rsidRPr="009C46CC">
        <w:t>k</w:t>
      </w:r>
      <w:r w:rsidRPr="009C46CC">
        <w:t>ringar, vilket betyder att den försäkrade ges ett ekonomiskt stöd under en viss period med ett tydligt mål om att den försäkrade ska kunna komma tillbaka på arbetsmarknaden och utnyttja sin arbetsförmåga så långt det går. I arbetslö</w:t>
      </w:r>
      <w:r w:rsidRPr="009C46CC">
        <w:t>s</w:t>
      </w:r>
      <w:r w:rsidRPr="009C46CC">
        <w:t>hetsförsäkringen har det sedan länge funnits ett krav att den sökande, efter en viss tidsperiod, ska vidga sitt sökfält till andra arbetsuppgifter än vad den sökande tidigare hade och att söka arbete på andra orter. I sjukförsäkringen har nya regler tillkommit om att den kvarvarande arbetsförmågan ska prövas mot hela arbetsmarknaden i ett tidigare skede än tidigare, och en bortre tid</w:t>
      </w:r>
      <w:r w:rsidRPr="009C46CC">
        <w:t>s</w:t>
      </w:r>
      <w:r w:rsidRPr="009C46CC">
        <w:t>gräns har införts i sjukförsäkringen, den så kallade ettårsgränsen. Kraven är avsedda att vara till stöd för den försäkrade att snabbt kunna återgå till arbete. Kraven innebär ett åtagande inte bara för den försäkrade, utan även för de myndigheter som är satta att ge stöd till den försäkrade att komma tillbaka till arbetsmarknaden.</w:t>
      </w:r>
    </w:p>
    <w:p w:rsidR="001547A4" w:rsidRPr="009C46CC" w:rsidRDefault="001547A4" w:rsidP="001547A4">
      <w:pPr>
        <w:pStyle w:val="Normaltindrag"/>
      </w:pPr>
      <w:r w:rsidRPr="009C46CC">
        <w:t>Riksrevisionens granskningar har pekat på ett antal brister i myndighete</w:t>
      </w:r>
      <w:r w:rsidRPr="009C46CC">
        <w:t>r</w:t>
      </w:r>
      <w:r w:rsidRPr="009C46CC">
        <w:t>nas stöd till återgång till arbete. Bland annat visar granskningarna av sjukfö</w:t>
      </w:r>
      <w:r w:rsidRPr="009C46CC">
        <w:t>r</w:t>
      </w:r>
      <w:r w:rsidRPr="009C46CC">
        <w:t xml:space="preserve">säkringen att de sjukskrivnas arbetsförmåga i vart fjärde fall inte bedöms mot annat arbete och att möjligheterna till rehabilitering sällan undersöks. Många gånger har det varit svårt att få in tillräckliga underlag från den försäkrade, arbetsgivaren och den behandlande läkaren. </w:t>
      </w:r>
    </w:p>
    <w:p w:rsidR="001547A4" w:rsidRPr="009C46CC" w:rsidRDefault="001547A4" w:rsidP="001547A4">
      <w:pPr>
        <w:pStyle w:val="Normaltindrag"/>
      </w:pPr>
      <w:r w:rsidRPr="009C46CC">
        <w:t>I arbetslöshetsförsäkringen uppfylls inte målsättningen om att arbetss</w:t>
      </w:r>
      <w:r w:rsidRPr="009C46CC">
        <w:t>ö</w:t>
      </w:r>
      <w:r w:rsidRPr="009C46CC">
        <w:t>kande i ett tidigt skede ska söka nya arbetsuppgifter inom andra yrken eller andra branscher än där den sökande tidigare arbetat, alternativt söka på andra orter. De arbetssökandes individuella handlingsplaner var bristfälliga och understödde inte omställning. Riksrevisionen bedömde också att det fanns risk för olika handläggning av likvärdiga fall.</w:t>
      </w:r>
    </w:p>
    <w:p w:rsidR="001547A4" w:rsidRPr="009C46CC" w:rsidRDefault="001547A4" w:rsidP="001547A4">
      <w:pPr>
        <w:pStyle w:val="Normaltindrag"/>
      </w:pPr>
      <w:r w:rsidRPr="009C46CC">
        <w:t xml:space="preserve">Vidare har ett problem varit att arbetsförmedlarna upplever att regelverket inom arbetslöshetsförsäkringen är otydligt och därför lämnar utrymme för individuella tolkningar. Endast en tredjedel av arbetsförmedlarna tycker att det är lätt att förstå vilka regler som gäller för att få ersättning.  Detta kan vara en förklaring till varför arbetsförmedlarna har svårt att vara konsekventa i sitt kravställande. </w:t>
      </w:r>
    </w:p>
    <w:p w:rsidR="001547A4" w:rsidRPr="009C46CC" w:rsidRDefault="001547A4" w:rsidP="001547A4">
      <w:pPr>
        <w:pStyle w:val="Normaltindrag"/>
      </w:pPr>
      <w:r w:rsidRPr="009C46CC">
        <w:t>Eftersom regelverket i arbetslöshetsförsäkringen upplevs som otydligt blir attityderna till arbetslöshetsförsäkringen desto viktigare. De styr i viss mån hur enskilda arbetsförmedlare väljer att tolka regelverket, både genom sina egna attityder och genom allmänhetens inställning till hur arbetslöshetsförsä</w:t>
      </w:r>
      <w:r w:rsidRPr="009C46CC">
        <w:t>k</w:t>
      </w:r>
      <w:r w:rsidRPr="009C46CC">
        <w:t>ringen bör fungera. En attitydundersökning som Riksrevisionen genomfört visade att föreskrifterna för arbetslöshetsförsäkringen stämmer dåligt överens med allmänhetens attityder. Allmänheten har mindre förståelse för krav på flytt och krav på byte av yrke än vad som följer av föreskrifterna. Detta kan också påverka arbetsförmedlarnas förmåga att ställa tydliga krav på omstäl</w:t>
      </w:r>
      <w:r w:rsidRPr="009C46CC">
        <w:t>l</w:t>
      </w:r>
      <w:r w:rsidRPr="009C46CC">
        <w:t>ning.</w:t>
      </w:r>
    </w:p>
    <w:p w:rsidR="001547A4" w:rsidRPr="009C46CC" w:rsidRDefault="001547A4" w:rsidP="00960CC1">
      <w:pPr>
        <w:pStyle w:val="Normaltindrag"/>
      </w:pPr>
      <w:r w:rsidRPr="009C46CC">
        <w:t>Hur kraven ställs inom arbetslöshetsförsäkringen och hur aktiva arbet</w:t>
      </w:r>
      <w:r w:rsidRPr="009C46CC">
        <w:t>s</w:t>
      </w:r>
      <w:r w:rsidRPr="009C46CC">
        <w:t>förme</w:t>
      </w:r>
      <w:r w:rsidRPr="009C46CC">
        <w:t>d</w:t>
      </w:r>
      <w:r w:rsidRPr="009C46CC">
        <w:t>lingskontoren är har betydelse för resultaten. Riksrevisionen har i tidigare grans</w:t>
      </w:r>
      <w:r w:rsidRPr="009C46CC">
        <w:t>k</w:t>
      </w:r>
      <w:r w:rsidRPr="009C46CC">
        <w:t>ningar kunnat se att arbetsförmedlingskontor som är aktiva och har en hög anvi</w:t>
      </w:r>
      <w:r w:rsidRPr="009C46CC">
        <w:t>s</w:t>
      </w:r>
      <w:r w:rsidRPr="009C46CC">
        <w:t>ningsgrad i ett tidigt skede är mer framgångsrika i att få arbetss</w:t>
      </w:r>
      <w:r w:rsidRPr="009C46CC">
        <w:t>ö</w:t>
      </w:r>
      <w:r w:rsidRPr="009C46CC">
        <w:t xml:space="preserve">kande i arbete. </w:t>
      </w:r>
    </w:p>
    <w:p w:rsidR="001547A4" w:rsidRPr="009C46CC" w:rsidRDefault="001547A4" w:rsidP="00A97379">
      <w:pPr>
        <w:pStyle w:val="R3"/>
      </w:pPr>
      <w:r w:rsidRPr="009C46CC">
        <w:t>Omställningsförsäkring eller yrkesförsäkring?</w:t>
      </w:r>
    </w:p>
    <w:p w:rsidR="001547A4" w:rsidRPr="009C46CC" w:rsidRDefault="001547A4" w:rsidP="001547A4">
      <w:r w:rsidRPr="009C46CC">
        <w:t>Både sjukförsäkringen och arbetslöshetsförsäkringen har inslag som mer liknar en yrkesförsäkring än en omställningsförsäkring. Sjukförsäkringen tenderar att bedöma arbetsförmåga gentemot tidigare yrken, och i arbetslö</w:t>
      </w:r>
      <w:r w:rsidRPr="009C46CC">
        <w:t>s</w:t>
      </w:r>
      <w:r w:rsidRPr="009C46CC">
        <w:t xml:space="preserve">hetsförsäkringen ställs inte tillräckligt höga krav på att söka arbete inom andra områden än där den försäkrade tidigare har arbetat. </w:t>
      </w:r>
    </w:p>
    <w:p w:rsidR="001547A4" w:rsidRPr="009C46CC" w:rsidRDefault="001547A4" w:rsidP="001547A4">
      <w:pPr>
        <w:pStyle w:val="Normaltindrag"/>
      </w:pPr>
      <w:r w:rsidRPr="009C46CC">
        <w:t>Sedan våra granskningar genomförts har regeringen och Arbetsförme</w:t>
      </w:r>
      <w:r w:rsidRPr="009C46CC">
        <w:t>d</w:t>
      </w:r>
      <w:r w:rsidRPr="009C46CC">
        <w:t>lingen vidtagit åtgärder för att säkerställa att arbetslöshetsförsäkringen fung</w:t>
      </w:r>
      <w:r w:rsidRPr="009C46CC">
        <w:t>e</w:t>
      </w:r>
      <w:r w:rsidRPr="009C46CC">
        <w:t xml:space="preserve">rar mer som en omställningsförsäkring. Arbetsförmedlingen anger bland annat att arbetet med kontrollfunktionen inom arbetslöshetsförsäkringen har satts i fokus och utvecklats på flera sätt. </w:t>
      </w:r>
    </w:p>
    <w:p w:rsidR="001547A4" w:rsidRPr="009C46CC" w:rsidRDefault="001547A4" w:rsidP="001547A4">
      <w:pPr>
        <w:pStyle w:val="Normaltindrag"/>
      </w:pPr>
      <w:r w:rsidRPr="009C46CC">
        <w:t>Vidare har regeringen gett Försäkringskassan, Socialstyrelsen respektive Inspektionen för socialförsäkringen uppdrag att arbeta med att höja kvaliteten i de medicinska underlagen som ligger till grund för beslut om sjukpenning samt föreslå förbättringar. Regeringen ser även över bedömningarna av a</w:t>
      </w:r>
      <w:r w:rsidRPr="009C46CC">
        <w:t>r</w:t>
      </w:r>
      <w:r w:rsidRPr="009C46CC">
        <w:t>betsförmåga inom ramen för den parlamentariska utredning som har till up</w:t>
      </w:r>
      <w:r w:rsidRPr="009C46CC">
        <w:t>p</w:t>
      </w:r>
      <w:r w:rsidRPr="009C46CC">
        <w:t>drag att se över hela socialförsäkringen.</w:t>
      </w:r>
    </w:p>
    <w:p w:rsidR="001547A4" w:rsidRPr="009C46CC" w:rsidRDefault="001547A4" w:rsidP="001547A4">
      <w:pPr>
        <w:pStyle w:val="Rubrik2"/>
      </w:pPr>
      <w:bookmarkStart w:id="11" w:name="_Toc293393606"/>
      <w:bookmarkStart w:id="12" w:name="_Toc293647895"/>
      <w:r w:rsidRPr="009C46CC">
        <w:t>Försäkringsmässigheten i de allmänna försäkringarna</w:t>
      </w:r>
      <w:bookmarkEnd w:id="11"/>
      <w:bookmarkEnd w:id="12"/>
    </w:p>
    <w:p w:rsidR="001547A4" w:rsidRPr="009C46CC" w:rsidRDefault="001547A4" w:rsidP="00960CC1">
      <w:r w:rsidRPr="009C46CC">
        <w:t>Riksrevisionen har även analyserat försäkringsmässigheten i arbetslöshetsfö</w:t>
      </w:r>
      <w:r w:rsidRPr="009C46CC">
        <w:t>r</w:t>
      </w:r>
      <w:r w:rsidRPr="009C46CC">
        <w:t>säkringen och sjukförsäkringen. Frågan är om det är möjligt att öka effektiv</w:t>
      </w:r>
      <w:r w:rsidRPr="009C46CC">
        <w:t>i</w:t>
      </w:r>
      <w:r w:rsidRPr="009C46CC">
        <w:t>teten i försäkringarna genom att ge dem en mer försäkringsmässig utfor</w:t>
      </w:r>
      <w:r w:rsidRPr="009C46CC">
        <w:t>m</w:t>
      </w:r>
      <w:r w:rsidRPr="009C46CC">
        <w:t xml:space="preserve">ning. </w:t>
      </w:r>
    </w:p>
    <w:p w:rsidR="001547A4" w:rsidRPr="009C46CC" w:rsidRDefault="001547A4" w:rsidP="001547A4">
      <w:pPr>
        <w:pStyle w:val="Normaltindrag"/>
      </w:pPr>
      <w:r w:rsidRPr="009C46CC">
        <w:t>Det faktum att trygghetssystemen består av både bidrag och allmänna fö</w:t>
      </w:r>
      <w:r w:rsidRPr="009C46CC">
        <w:t>r</w:t>
      </w:r>
      <w:r w:rsidRPr="009C46CC">
        <w:t>säkringar gör det intressant att fråga sig vari skillnaden ligger, och hur effe</w:t>
      </w:r>
      <w:r w:rsidRPr="009C46CC">
        <w:t>k</w:t>
      </w:r>
      <w:r w:rsidRPr="009C46CC">
        <w:t>tiviteten påverkas av om man väljer en renodlad försäkringslösning, en reno</w:t>
      </w:r>
      <w:r w:rsidRPr="009C46CC">
        <w:t>d</w:t>
      </w:r>
      <w:r w:rsidRPr="009C46CC">
        <w:t xml:space="preserve">lad bidragslösning eller en blandning. Riksdag och regering har i beslut och propositioner varit otydliga kring principerna bakom varför vissa delar av socialförsäkringen betecknas som försäkring, medan andra delar betecknas som bidrag. </w:t>
      </w:r>
    </w:p>
    <w:p w:rsidR="003213E9" w:rsidRPr="009C46CC" w:rsidRDefault="001547A4" w:rsidP="001547A4">
      <w:pPr>
        <w:pStyle w:val="Normaltindrag"/>
      </w:pPr>
      <w:r w:rsidRPr="009C46CC">
        <w:t>Vi har försökt att belysa om och hur effektiviteten i våra allmänna försä</w:t>
      </w:r>
      <w:r w:rsidRPr="009C46CC">
        <w:t>k</w:t>
      </w:r>
      <w:r w:rsidRPr="009C46CC">
        <w:t>ringar påverkas av graden av försäkringsmässighet. Vi har analyserat hur sjukförsäkringen och arbetslöshetsförsäkringen hade kunnat fungera om krit</w:t>
      </w:r>
      <w:r w:rsidRPr="009C46CC">
        <w:t>e</w:t>
      </w:r>
      <w:r w:rsidRPr="009C46CC">
        <w:t xml:space="preserve">rierna nedan hade tillämpats under perioden 1996–2010. </w:t>
      </w:r>
    </w:p>
    <w:p w:rsidR="001547A4" w:rsidRPr="009C46CC" w:rsidRDefault="001547A4" w:rsidP="001547A4">
      <w:pPr>
        <w:pStyle w:val="Normaltindrag"/>
      </w:pPr>
      <w:r w:rsidRPr="009C46CC">
        <w:t>Följande kriterier har Riksrevisionen använt för att känneteckna försä</w:t>
      </w:r>
      <w:r w:rsidRPr="009C46CC">
        <w:t>k</w:t>
      </w:r>
      <w:r w:rsidRPr="009C46CC">
        <w:t>ringsmässighet:</w:t>
      </w:r>
    </w:p>
    <w:p w:rsidR="001547A4" w:rsidRPr="009C46CC" w:rsidRDefault="001547A4" w:rsidP="004E6174">
      <w:pPr>
        <w:numPr>
          <w:ilvl w:val="0"/>
          <w:numId w:val="9"/>
        </w:numPr>
        <w:spacing w:before="125"/>
        <w:ind w:left="357" w:hanging="357"/>
        <w:jc w:val="left"/>
      </w:pPr>
      <w:r w:rsidRPr="009C46CC">
        <w:t>Avgifter från de försäkrade finansierar försäkringen. Försäkringens i</w:t>
      </w:r>
      <w:r w:rsidRPr="009C46CC">
        <w:t>n</w:t>
      </w:r>
      <w:r w:rsidRPr="009C46CC">
        <w:t>komster används enbart till försäkringens utgifter och inga andra inkom</w:t>
      </w:r>
      <w:r w:rsidRPr="009C46CC">
        <w:t>s</w:t>
      </w:r>
      <w:r w:rsidRPr="009C46CC">
        <w:t>ter finns att tillgå.</w:t>
      </w:r>
    </w:p>
    <w:p w:rsidR="001547A4" w:rsidRPr="009C46CC" w:rsidRDefault="001547A4" w:rsidP="004E6174">
      <w:pPr>
        <w:numPr>
          <w:ilvl w:val="0"/>
          <w:numId w:val="9"/>
        </w:numPr>
        <w:spacing w:before="0"/>
        <w:ind w:left="357" w:hanging="357"/>
        <w:jc w:val="left"/>
      </w:pPr>
      <w:r w:rsidRPr="009C46CC">
        <w:t>Alla avgifter ger rätt till försäkringsskydd och enbart de som betalar avgift är försäkrade.</w:t>
      </w:r>
    </w:p>
    <w:p w:rsidR="001547A4" w:rsidRPr="009C46CC" w:rsidRDefault="001547A4" w:rsidP="004E6174">
      <w:pPr>
        <w:numPr>
          <w:ilvl w:val="0"/>
          <w:numId w:val="9"/>
        </w:numPr>
        <w:spacing w:before="0"/>
        <w:ind w:left="357" w:hanging="357"/>
        <w:jc w:val="left"/>
      </w:pPr>
      <w:r w:rsidRPr="009C46CC">
        <w:t>Vid beslut som rör försäkringens finansiering och villkor beaktas utesl</w:t>
      </w:r>
      <w:r w:rsidRPr="009C46CC">
        <w:t>u</w:t>
      </w:r>
      <w:r w:rsidRPr="009C46CC">
        <w:t>tande de försäkrades intressen. Alla försäkrade får en tydlig redovisning av försäkringens inkomster, utgifter och verksamhet i övrigt.</w:t>
      </w:r>
    </w:p>
    <w:p w:rsidR="001547A4" w:rsidRPr="009C46CC" w:rsidRDefault="001547A4" w:rsidP="004E6174">
      <w:pPr>
        <w:spacing w:before="125"/>
      </w:pPr>
      <w:r w:rsidRPr="009C46CC">
        <w:t>Frågan är om sjuk- och arbetslöshetsförsäkringarnas potential att skapa ek</w:t>
      </w:r>
      <w:r w:rsidRPr="009C46CC">
        <w:t>o</w:t>
      </w:r>
      <w:r w:rsidRPr="009C46CC">
        <w:t xml:space="preserve">nomisk trygghet till låg kostnad har tagits till vara. </w:t>
      </w:r>
    </w:p>
    <w:p w:rsidR="001547A4" w:rsidRPr="009C46CC" w:rsidRDefault="001547A4" w:rsidP="00FD306C">
      <w:pPr>
        <w:pStyle w:val="R3"/>
      </w:pPr>
      <w:r w:rsidRPr="009C46CC">
        <w:t>Sjuk- och arbetslöshetsförsäkringen uppfyller inte kraven för försäkringsmässighet</w:t>
      </w:r>
    </w:p>
    <w:p w:rsidR="001547A4" w:rsidRPr="009C46CC" w:rsidRDefault="001547A4" w:rsidP="00960CC1">
      <w:r w:rsidRPr="009C46CC">
        <w:t>Resultaten av analysen visar att de allmänna försäkringarna kännetecknas av förhållanden och beteenden som i viktiga delar inte följer av de kriterier för försäkringsmässighet som vi i analysen utgår från. Många omfattas av de allmänna försäkringarna trots att de inte bidrar till finansieringen. Ännu fler är med och finansierar försäkringen trots att de inte omfattas av försäkringen, åtminstone inte i den omfattning som motsvarar de avgifter de bidrar med. Kopplingen mellan inkomsterna och utgifterna i de allmänna försäkringarna är svag såväl på aggregerad nivå som på individnivå. Därutöver är transpare</w:t>
      </w:r>
      <w:r w:rsidRPr="009C46CC">
        <w:t>n</w:t>
      </w:r>
      <w:r w:rsidRPr="009C46CC">
        <w:t>sen dålig, liksom drivkraften för aktörer att påverka effektiviteten i de al</w:t>
      </w:r>
      <w:r w:rsidRPr="009C46CC">
        <w:t>l</w:t>
      </w:r>
      <w:r w:rsidRPr="009C46CC">
        <w:t xml:space="preserve">männa försäkringarna. </w:t>
      </w:r>
    </w:p>
    <w:p w:rsidR="001547A4" w:rsidRPr="009C46CC" w:rsidRDefault="001547A4" w:rsidP="001547A4">
      <w:pPr>
        <w:pStyle w:val="Normaltindrag"/>
      </w:pPr>
      <w:r w:rsidRPr="009C46CC">
        <w:t>Att staten via statsbudgeten utjämnar obalanser mellan inkomster och u</w:t>
      </w:r>
      <w:r w:rsidRPr="009C46CC">
        <w:t>t</w:t>
      </w:r>
      <w:r w:rsidRPr="009C46CC">
        <w:t xml:space="preserve">gifter i de allmänna försäkringarna innebär att varken arbetsgivarna eller de försäkrade ser kopplingen mellan den ekonomiska trygghet som försäkringen ger och vad den kostar. Regeringen konstaterade redan 1997 att höga krav måste ställas på att systemet är överblickbart och begripligt för den enskilde. De regeländringar som har gjorts, utan att kopplingen till försäkringarnas ekonomi eller de försäkrades önskemål redovisats, skapar osäkerhet om hur tungt dessa utgångspunkter har vägt i sammanhanget. </w:t>
      </w:r>
    </w:p>
    <w:p w:rsidR="001547A4" w:rsidRPr="009C46CC" w:rsidRDefault="001547A4" w:rsidP="001547A4">
      <w:pPr>
        <w:pStyle w:val="Normaltindrag"/>
      </w:pPr>
      <w:r w:rsidRPr="009C46CC">
        <w:t>Vidare kan vi se ett tydligt drag vid regeländringar i de allmänna försä</w:t>
      </w:r>
      <w:r w:rsidRPr="009C46CC">
        <w:t>k</w:t>
      </w:r>
      <w:r w:rsidRPr="009C46CC">
        <w:t>ringarna: regeländringarna får inte äventyra den statsfinansiella balansen. När förmånsregler stramas åt respektive förändras i en mer generös riktning anges ofta det statsfinansiella läget som motiv för förändring.  Det innebär att gr</w:t>
      </w:r>
      <w:r w:rsidRPr="009C46CC">
        <w:t>a</w:t>
      </w:r>
      <w:r w:rsidRPr="009C46CC">
        <w:t xml:space="preserve">den av ekonomisk trygghet i våra allmänna försäkringar kan förändras trots att det inte finns någon obalans mellan försäkringens inkomster och utgifter eller någon förändrad efterfrågan från de försäkrade. </w:t>
      </w:r>
    </w:p>
    <w:p w:rsidR="001547A4" w:rsidRPr="009C46CC" w:rsidRDefault="001547A4" w:rsidP="001547A4">
      <w:pPr>
        <w:pStyle w:val="Normaltindrag"/>
      </w:pPr>
      <w:r w:rsidRPr="009C46CC">
        <w:t>Om de i analysen uppsatta kriterierna hade följts, hade vissa saker blivit annorlunda per definition. Till exempel hade sjukförsäkringsavgiften höjts när sjukfrånvaron ökade. Avgiftshöjningen hade slagit igenom på arbetsgivara</w:t>
      </w:r>
      <w:r w:rsidRPr="009C46CC">
        <w:t>v</w:t>
      </w:r>
      <w:r w:rsidRPr="009C46CC">
        <w:t>gift och egenavgift. Därmed hade utrymmet för exempelvis löneökningar minskat. Ett annat exempel är att personer med inkomster ovanför den nivå som försäkras hade fått mer pengar i plånboken, givet att försäkringspremien endast betalas för den del av inkomsten som täcks av försäkringen. Ett alte</w:t>
      </w:r>
      <w:r w:rsidRPr="009C46CC">
        <w:t>r</w:t>
      </w:r>
      <w:r w:rsidRPr="009C46CC">
        <w:t>nativ är att försäkringsskyddet hade utökats till att täcka hela inkomsten, då till en högre kostnad för den enskilde. Ett tredje exempel är att det inte hade varit möjligt att motivera en sänkt ersättningsnivå med att regeringen anser sig behöva sanera statsfinanserna. Vilka andra beteendeförändringar som hade uppstått är svårare att säga. Med stöd i den analys som genomförts och vår egen genomgång av den faktiska utvecklingen bedömer dock Riksrevisi</w:t>
      </w:r>
      <w:r w:rsidRPr="009C46CC">
        <w:t>o</w:t>
      </w:r>
      <w:r w:rsidRPr="009C46CC">
        <w:t>nen att det finns ett antal förändringar som en mer försäkringsmässigt utfo</w:t>
      </w:r>
      <w:r w:rsidRPr="009C46CC">
        <w:t>r</w:t>
      </w:r>
      <w:r w:rsidRPr="009C46CC">
        <w:t xml:space="preserve">mad försäkring troligen eller möjligen hade initierat. </w:t>
      </w:r>
    </w:p>
    <w:p w:rsidR="001547A4" w:rsidRPr="009C46CC" w:rsidRDefault="001547A4" w:rsidP="001547A4">
      <w:pPr>
        <w:pStyle w:val="Normaltindrag"/>
      </w:pPr>
      <w:r w:rsidRPr="009C46CC">
        <w:t>Exempel på förändringar som genomförts i syfte att nå en mer försä</w:t>
      </w:r>
      <w:r w:rsidRPr="009C46CC">
        <w:t>k</w:t>
      </w:r>
      <w:r w:rsidRPr="009C46CC">
        <w:t>ringsmässig utformning:</w:t>
      </w:r>
    </w:p>
    <w:p w:rsidR="001547A4" w:rsidRPr="009C46CC" w:rsidRDefault="001547A4" w:rsidP="004E6174">
      <w:pPr>
        <w:numPr>
          <w:ilvl w:val="0"/>
          <w:numId w:val="8"/>
        </w:numPr>
        <w:spacing w:before="125" w:line="245" w:lineRule="atLeast"/>
        <w:ind w:left="357" w:hanging="357"/>
      </w:pPr>
      <w:r w:rsidRPr="009C46CC">
        <w:t>Systemet med länsvisa försäkringskassor med egen styrelse avskaffas. (2005)</w:t>
      </w:r>
    </w:p>
    <w:p w:rsidR="001547A4" w:rsidRPr="009C46CC" w:rsidRDefault="001547A4" w:rsidP="004E6174">
      <w:pPr>
        <w:numPr>
          <w:ilvl w:val="0"/>
          <w:numId w:val="8"/>
        </w:numPr>
        <w:spacing w:before="0" w:line="245" w:lineRule="atLeast"/>
      </w:pPr>
      <w:r w:rsidRPr="009C46CC">
        <w:t>Riktlinjer för när sjukfrånvaro får beviljas och vad som är rimliga sju</w:t>
      </w:r>
      <w:r w:rsidRPr="009C46CC">
        <w:t>k</w:t>
      </w:r>
      <w:r w:rsidRPr="009C46CC">
        <w:t>skrivningstider. (2007)</w:t>
      </w:r>
    </w:p>
    <w:p w:rsidR="001547A4" w:rsidRPr="009C46CC" w:rsidRDefault="001547A4" w:rsidP="00960CC1">
      <w:pPr>
        <w:spacing w:before="125"/>
      </w:pPr>
      <w:r w:rsidRPr="009C46CC">
        <w:t>Exempel på förändringar som  borde ha diskuterats är:</w:t>
      </w:r>
      <w:r w:rsidRPr="009C46CC" w:rsidDel="00FA7C14">
        <w:t xml:space="preserve"> </w:t>
      </w:r>
    </w:p>
    <w:p w:rsidR="001547A4" w:rsidRPr="009C46CC" w:rsidRDefault="001547A4" w:rsidP="004E6174">
      <w:pPr>
        <w:numPr>
          <w:ilvl w:val="0"/>
          <w:numId w:val="7"/>
        </w:numPr>
        <w:spacing w:before="125" w:line="245" w:lineRule="atLeast"/>
        <w:ind w:left="357" w:hanging="357"/>
      </w:pPr>
      <w:r w:rsidRPr="009C46CC">
        <w:t>Riktlinjer för hur arbetsförmåga ska bedömas.</w:t>
      </w:r>
    </w:p>
    <w:p w:rsidR="001547A4" w:rsidRPr="009C46CC" w:rsidRDefault="001547A4" w:rsidP="004E6174">
      <w:pPr>
        <w:numPr>
          <w:ilvl w:val="0"/>
          <w:numId w:val="7"/>
        </w:numPr>
        <w:spacing w:before="0" w:line="245" w:lineRule="atLeast"/>
      </w:pPr>
      <w:r w:rsidRPr="009C46CC">
        <w:t>Vissa läkare utbildas och godkänns av sjukförsäkringen för att ansvara för sjukskrivningsärenden.</w:t>
      </w:r>
    </w:p>
    <w:p w:rsidR="001547A4" w:rsidRPr="009C46CC" w:rsidRDefault="001547A4" w:rsidP="004E6174">
      <w:pPr>
        <w:numPr>
          <w:ilvl w:val="0"/>
          <w:numId w:val="7"/>
        </w:numPr>
        <w:spacing w:before="0" w:line="245" w:lineRule="atLeast"/>
      </w:pPr>
      <w:r w:rsidRPr="009C46CC">
        <w:t>Snabb och kraftfull reaktion på föryngringen av personer som beviljas sjuk- och aktivitetsersättning och på ökningen av sjukfallens längd som började redan i början av 1980-talet.</w:t>
      </w:r>
    </w:p>
    <w:p w:rsidR="001547A4" w:rsidRPr="009C46CC" w:rsidRDefault="001547A4" w:rsidP="004E6174">
      <w:pPr>
        <w:numPr>
          <w:ilvl w:val="0"/>
          <w:numId w:val="7"/>
        </w:numPr>
        <w:spacing w:before="0" w:line="245" w:lineRule="atLeast"/>
      </w:pPr>
      <w:r w:rsidRPr="009C46CC">
        <w:t>Arbetsrätten anpassas för att passa ihop med de allmänna försäkringarnas regelverk.</w:t>
      </w:r>
    </w:p>
    <w:p w:rsidR="001547A4" w:rsidRPr="009C46CC" w:rsidRDefault="001547A4" w:rsidP="004E6174">
      <w:pPr>
        <w:numPr>
          <w:ilvl w:val="0"/>
          <w:numId w:val="7"/>
        </w:numPr>
        <w:spacing w:before="0" w:line="245" w:lineRule="atLeast"/>
      </w:pPr>
      <w:r w:rsidRPr="009C46CC">
        <w:t>Arbetsskadeförsäkringen förändras i grunden för att öka drivkrafterna för arbete.</w:t>
      </w:r>
    </w:p>
    <w:p w:rsidR="001547A4" w:rsidRPr="009C46CC" w:rsidRDefault="001547A4" w:rsidP="00FD306C">
      <w:pPr>
        <w:pStyle w:val="R3"/>
      </w:pPr>
      <w:r w:rsidRPr="009C46CC">
        <w:t>De allmänna försäkringarna kan effektiviseras</w:t>
      </w:r>
    </w:p>
    <w:p w:rsidR="001547A4" w:rsidRPr="009C46CC" w:rsidRDefault="001547A4" w:rsidP="001547A4">
      <w:r w:rsidRPr="009C46CC">
        <w:t>Utifrån de uppsatta kriterierna kan Riksrevisionen konstatera att de allmänna försäkringarna brottats med effektivitetsproblem. Det finns ett gap mellan den utveckling som ägt rum och den utveckling som hade varit möjlig om staten varit mer noga med att se till att allmänna försäkringar följer vissa försä</w:t>
      </w:r>
      <w:r w:rsidRPr="009C46CC">
        <w:t>k</w:t>
      </w:r>
      <w:r w:rsidRPr="009C46CC">
        <w:t>ringsmässiga principer. En mer försäkringsmässig utformning av de allmänna försäkringarna hade enligt Riksrevisionens bedömning kunnat skapa en större ekonomisk trygghet, alternativt en lika stor ekonomisk trygghet men till en lägre kostnad. Med andra ord är Riksrevisionens bedömning att det är möjligt att höja effektiviteten i de allmänna försäkringarna om de – i linje med krit</w:t>
      </w:r>
      <w:r w:rsidRPr="009C46CC">
        <w:t>e</w:t>
      </w:r>
      <w:r w:rsidRPr="009C46CC">
        <w:t xml:space="preserve">rierna ovan – görs mer försäkringslika. </w:t>
      </w:r>
    </w:p>
    <w:p w:rsidR="001547A4" w:rsidRPr="009C46CC" w:rsidRDefault="001547A4" w:rsidP="001547A4">
      <w:pPr>
        <w:pStyle w:val="Normaltindrag"/>
      </w:pPr>
      <w:r w:rsidRPr="009C46CC">
        <w:t>Inför det fortsatta reformarbetet med de allmänna försäkringarna bör det beaktas att förändringar som innebär en mer försäkringsmässig tillämpning kan påverka effektiviteten positivt. Oavsett hur stora eller små inslag av fö</w:t>
      </w:r>
      <w:r w:rsidRPr="009C46CC">
        <w:t>r</w:t>
      </w:r>
      <w:r w:rsidRPr="009C46CC">
        <w:t>säkringsmässighet man väljer att ha, bör staten tydligare slå fast vilka princ</w:t>
      </w:r>
      <w:r w:rsidRPr="009C46CC">
        <w:t>i</w:t>
      </w:r>
      <w:r w:rsidRPr="009C46CC">
        <w:t>per som ska vara styrande för våra allmänna försäkringar, det vill säga i hur hög grad de ska fungera som försäkringar och i hur hög grad ska de fungera som bidragssystem.</w:t>
      </w:r>
    </w:p>
    <w:p w:rsidR="001547A4" w:rsidRPr="009C46CC" w:rsidRDefault="001547A4" w:rsidP="001547A4">
      <w:pPr>
        <w:pStyle w:val="Rubrik2"/>
      </w:pPr>
      <w:bookmarkStart w:id="13" w:name="_Toc293393607"/>
      <w:bookmarkStart w:id="14" w:name="_Toc293647896"/>
      <w:r w:rsidRPr="009C46CC">
        <w:t>Rättssäkerhet – likabehandling</w:t>
      </w:r>
      <w:bookmarkEnd w:id="13"/>
      <w:bookmarkEnd w:id="14"/>
    </w:p>
    <w:p w:rsidR="001547A4" w:rsidRPr="009C46CC" w:rsidRDefault="001547A4" w:rsidP="001547A4">
      <w:r w:rsidRPr="009C46CC">
        <w:t>Ett viktigt tema i flera av Riksrevisionens granskningar inom transferering</w:t>
      </w:r>
      <w:r w:rsidRPr="009C46CC">
        <w:t>s</w:t>
      </w:r>
      <w:r w:rsidRPr="009C46CC">
        <w:t>området har varit kopplade till rättsäkerheten, det vill säga medborgarnas rätt till lika behandling. Regeringsformens krav på att myndigheter ska beakta allas likhet inför lagen samt iaktta saklighet och opartiskhet har varit en ce</w:t>
      </w:r>
      <w:r w:rsidRPr="009C46CC">
        <w:t>n</w:t>
      </w:r>
      <w:r w:rsidRPr="009C46CC">
        <w:t xml:space="preserve">tral utgångspunkt i granskningarna. </w:t>
      </w:r>
    </w:p>
    <w:p w:rsidR="001547A4" w:rsidRPr="009C46CC" w:rsidRDefault="001547A4" w:rsidP="001547A4">
      <w:pPr>
        <w:pStyle w:val="Normaltindrag"/>
      </w:pPr>
      <w:r w:rsidRPr="009C46CC">
        <w:t>Transfereringssystemets legitimitet bygger till stora delar på att försä</w:t>
      </w:r>
      <w:r w:rsidRPr="009C46CC">
        <w:t>k</w:t>
      </w:r>
      <w:r w:rsidRPr="009C46CC">
        <w:t>ringarna är förutsägbara och att alla behandlas lika inom respektive försä</w:t>
      </w:r>
      <w:r w:rsidRPr="009C46CC">
        <w:t>k</w:t>
      </w:r>
      <w:r w:rsidRPr="009C46CC">
        <w:t xml:space="preserve">ring. Det ska inte förekomma några oskäliga skillnader i beslut beroende på exempelvis kön, ålder, inkomstgrupp eller var i landet man bor. </w:t>
      </w:r>
    </w:p>
    <w:p w:rsidR="001547A4" w:rsidRPr="009C46CC" w:rsidRDefault="001547A4" w:rsidP="001547A4">
      <w:pPr>
        <w:pStyle w:val="Normaltindrag"/>
      </w:pPr>
      <w:r w:rsidRPr="009C46CC">
        <w:t>Bildandet av en gemensam försäkringskassa har varit en viktig reform för att säkerställa att myndigheten ges förutsättningar att öka enhetligheten och rättssäkerheten i sin verksamhet. Lika fall skulle i högre grad behandlas lika vad gällde såväl handläggningstider som beslut.  Sedan starten 2005 har Fö</w:t>
      </w:r>
      <w:r w:rsidRPr="009C46CC">
        <w:t>r</w:t>
      </w:r>
      <w:r w:rsidRPr="009C46CC">
        <w:t>säkringskassan vidtagit en rad åtgärder för att öka enhetligheten, som bland annat nationella riktlinjer, och koncentrerat stora delar av verksamheten. Detta har gett resultat, skillnader i handläggningstider mellan regioner har minskat och i de allra flesta fallen har även handläggningstiderna kortats.</w:t>
      </w:r>
    </w:p>
    <w:p w:rsidR="001547A4" w:rsidRPr="009C46CC" w:rsidRDefault="001547A4" w:rsidP="00FD306C">
      <w:pPr>
        <w:pStyle w:val="R3"/>
      </w:pPr>
      <w:r w:rsidRPr="009C46CC">
        <w:t xml:space="preserve">Brister i enhetlighet </w:t>
      </w:r>
    </w:p>
    <w:p w:rsidR="001547A4" w:rsidRPr="009C46CC" w:rsidRDefault="001547A4" w:rsidP="001547A4">
      <w:r w:rsidRPr="009C46CC">
        <w:t>Dock visar våra granskningar att det förekommer skillnader när det gäller handläggningstider, tid innan åtgärd vidtas, service, kontroll och sannolikh</w:t>
      </w:r>
      <w:r w:rsidRPr="009C46CC">
        <w:t>e</w:t>
      </w:r>
      <w:r w:rsidRPr="009C46CC">
        <w:t>ten att få del av en åtgärd samt i bedömning av arbetsförmåga mellan olika grupper i sjukförsäkringen. Dessa skillnader förekommer mellan kvinnor och män, unga och gamla samt mellan låg- och höginkomsttagare. Exempelvis saknade en stor del av sjukpenningärendena information som borde finnas inför beslut om rätt till sjukpenning. Detta är särskilt allvarligt när det handlar om underlag som ska säga något om hur sjukdomen påverkar arbetsförmågan. Vi har också i våra granskningar sett skillnader mellan unga och gamla samt mellan kvinnor och män vad gäller hur ofta Försäkringskassan bedömer sju</w:t>
      </w:r>
      <w:r w:rsidRPr="009C46CC">
        <w:t>k</w:t>
      </w:r>
      <w:r w:rsidRPr="009C46CC">
        <w:t>skrivnas arbetsförmåga i annat arbete. Ytterligare ett exempel är att lågi</w:t>
      </w:r>
      <w:r w:rsidRPr="009C46CC">
        <w:t>n</w:t>
      </w:r>
      <w:r w:rsidRPr="009C46CC">
        <w:t>komsttagare oftare får avslag på ansökan om sjukpenning än höginkomsttag</w:t>
      </w:r>
      <w:r w:rsidRPr="009C46CC">
        <w:t>a</w:t>
      </w:r>
      <w:r w:rsidRPr="009C46CC">
        <w:t>re. En av de förklaringar som framförts är att låginkomsttagare oftare har ett fysiskt tungt arbete, och de kan därför i vissa fall bedömas ha arbetsförmåga i ett mindre tungt arbete. Vidare är det vanligare att försäkringsläkare, numera försäkringsmedicinska rådgivare, uttalar sig om sjukskrivningen när den som söker har låg inkomst.</w:t>
      </w:r>
    </w:p>
    <w:p w:rsidR="001547A4" w:rsidRPr="009C46CC" w:rsidRDefault="001547A4" w:rsidP="00FD306C">
      <w:pPr>
        <w:pStyle w:val="R3"/>
      </w:pPr>
      <w:r w:rsidRPr="009C46CC">
        <w:t>Säkerställ att oskäliga skillnader inte förekommer</w:t>
      </w:r>
    </w:p>
    <w:p w:rsidR="001547A4" w:rsidRPr="009C46CC" w:rsidRDefault="001547A4" w:rsidP="001547A4">
      <w:r w:rsidRPr="009C46CC">
        <w:t>Riksrevisionen anser att ansvariga myndigheter inte i tillräckligt hög u</w:t>
      </w:r>
      <w:r w:rsidRPr="009C46CC">
        <w:t>t</w:t>
      </w:r>
      <w:r w:rsidRPr="009C46CC">
        <w:t>sträckning identifierat vilka skillnader som finns och vad skillnaderna beror på. Kunskapen om hur vanligt det är att personer med likartade hjälpbehov behandlas olika beroende på exempelvis bostadsort, kön, ålder eller utbil</w:t>
      </w:r>
      <w:r w:rsidRPr="009C46CC">
        <w:t>d</w:t>
      </w:r>
      <w:r w:rsidRPr="009C46CC">
        <w:t xml:space="preserve">ningsnivå är otillräcklig. De skillnader som våra granskningar visat på kan tyda på att vissa grupper riskerar att särbehandlas utan stöd i regelverket. Är det så kan personer nekas bidrag eller ersättning från allmän försäkring som de har rätt till, samtidigt som andra får förmåner de inte borde få. </w:t>
      </w:r>
    </w:p>
    <w:p w:rsidR="001547A4" w:rsidRPr="009C46CC" w:rsidRDefault="001547A4" w:rsidP="001547A4">
      <w:pPr>
        <w:pStyle w:val="Normaltindrag"/>
      </w:pPr>
      <w:r w:rsidRPr="009C46CC">
        <w:t>Regeringen har med anledning av Riksrevisionens granskningar uppdragit åt Inspektionen för socialförsäkringen att granska om Försäkringskassan gör bedömningarna av arbetsförmåga vid de fasta tidsgränserna på ett likformigt, rättssäkert och effektivt sätt. Vidare har regeringen gett Försäkringskassan i uppdrag att redovisa hur myndigheten arbetar med att säkerställa en likformig tillämpning och att utfallet av handläggningen hos Försäkringskassan inte är beroende av var den försäkrade bor eller var ärendet har handlagts.</w:t>
      </w:r>
    </w:p>
    <w:p w:rsidR="001547A4" w:rsidRPr="009C46CC" w:rsidRDefault="001547A4" w:rsidP="001547A4">
      <w:pPr>
        <w:pStyle w:val="Rubrik2"/>
      </w:pPr>
      <w:bookmarkStart w:id="15" w:name="_Toc293393608"/>
      <w:bookmarkStart w:id="16" w:name="_Toc293647897"/>
      <w:r w:rsidRPr="009C46CC">
        <w:t>Förutsättningar för en effektivare ärendehantering</w:t>
      </w:r>
      <w:bookmarkEnd w:id="15"/>
      <w:bookmarkEnd w:id="16"/>
    </w:p>
    <w:p w:rsidR="001547A4" w:rsidRPr="009C46CC" w:rsidRDefault="001547A4" w:rsidP="001547A4">
      <w:r w:rsidRPr="009C46CC">
        <w:t>En av de absolut viktigaste frågorna för legitimitet i transfereringssystemen är rättssäkerhet och likabehandling av medborgarna i myndigheternas handläg</w:t>
      </w:r>
      <w:r w:rsidRPr="009C46CC">
        <w:t>g</w:t>
      </w:r>
      <w:r w:rsidRPr="009C46CC">
        <w:t xml:space="preserve">ning och beslutsfattande. Frågan är då vilka förutsättningar myndigheterna har fått från lagstiftarens sida att arbeta med enhetlighet och likabehandlig för att säkra ett rättssäkert system. </w:t>
      </w:r>
    </w:p>
    <w:p w:rsidR="001547A4" w:rsidRPr="009C46CC" w:rsidRDefault="001547A4" w:rsidP="001547A4">
      <w:pPr>
        <w:pStyle w:val="Normaltindrag"/>
      </w:pPr>
      <w:r w:rsidRPr="009C46CC">
        <w:t>Försäkringskassan bildades 2005 genom en sammanslagning av de 21 allmänna försäkringskassorna och Riksförsäkringsverket. Detta gav Fö</w:t>
      </w:r>
      <w:r w:rsidRPr="009C46CC">
        <w:t>r</w:t>
      </w:r>
      <w:r w:rsidRPr="009C46CC">
        <w:t xml:space="preserve">säkringskassan större möjligheter att agera för en ökad likabehandling i beslut och i hanteringen av sina ärenden.  </w:t>
      </w:r>
    </w:p>
    <w:p w:rsidR="001547A4" w:rsidRPr="009C46CC" w:rsidRDefault="001547A4" w:rsidP="001547A4">
      <w:pPr>
        <w:pStyle w:val="Normaltindrag"/>
      </w:pPr>
      <w:r w:rsidRPr="009C46CC">
        <w:t>Samtidigt har variationerna ökat vad gäller i vilken utsträckning sociala förhållanden utreds och i vilken utsträckning handläggaren har kontakt med den försäkrade under utredningen av sjuk- och aktivitetsersättning. Det finns även skillnader i hur de försäkringsmedicinska rådgivarnas funktion används och dokumenteras i bedömningen av rätten till sjuk- och aktivitetsersättning.</w:t>
      </w:r>
    </w:p>
    <w:p w:rsidR="001547A4" w:rsidRPr="009C46CC" w:rsidRDefault="001547A4" w:rsidP="00FD306C">
      <w:pPr>
        <w:pStyle w:val="R3"/>
      </w:pPr>
      <w:r w:rsidRPr="009C46CC">
        <w:t>Bristfällig uppföljning av rättstillämpning och ärendehantering</w:t>
      </w:r>
    </w:p>
    <w:p w:rsidR="001547A4" w:rsidRPr="009C46CC" w:rsidRDefault="001547A4" w:rsidP="001547A4">
      <w:r w:rsidRPr="009C46CC">
        <w:t>I Försäkringskassans nya struktur, med färre handläggande enheter, finns en risk att de variationer som tidigare förekom mellan de länsvisa försäkring</w:t>
      </w:r>
      <w:r w:rsidRPr="009C46CC">
        <w:t>s</w:t>
      </w:r>
      <w:r w:rsidRPr="009C46CC">
        <w:t>kassekontoren nu döljs inom de nya större enheterna. Den statistik som a</w:t>
      </w:r>
      <w:r w:rsidRPr="009C46CC">
        <w:t>n</w:t>
      </w:r>
      <w:r w:rsidRPr="009C46CC">
        <w:t>vänds följer i de flesta fall produktionsenheterna, vilket gör att variationer som tidigare fanns mellan kontor nu kan döljas inom de större enheterna. Det kan därför upplevas som om variationerna försvunnit. Försäkringskassan har uttryckt att regionala variationer i handläggningen inte längre är ett problem i och med sammanslagningen och koncentreringen av ärenden.</w:t>
      </w:r>
    </w:p>
    <w:p w:rsidR="001547A4" w:rsidRPr="009C46CC" w:rsidRDefault="001547A4" w:rsidP="001547A4">
      <w:pPr>
        <w:pStyle w:val="Normaltindrag"/>
      </w:pPr>
      <w:r w:rsidRPr="009C46CC">
        <w:t>Försäkringskassans förhållningssätt har även avspeglat sig i hur uppföl</w:t>
      </w:r>
      <w:r w:rsidRPr="009C46CC">
        <w:t>j</w:t>
      </w:r>
      <w:r w:rsidRPr="009C46CC">
        <w:t>ningssystemen har utformats. Försäkringskassan kan inte med hjälp av sitt uppföljningssystem bedöma om de regionala skillnaderna i myndighetsutö</w:t>
      </w:r>
      <w:r w:rsidRPr="009C46CC">
        <w:t>v</w:t>
      </w:r>
      <w:r w:rsidRPr="009C46CC">
        <w:t>ningen på de lokala försäkringscentrumen har minskat sedan sammansla</w:t>
      </w:r>
      <w:r w:rsidRPr="009C46CC">
        <w:t>g</w:t>
      </w:r>
      <w:r w:rsidRPr="009C46CC">
        <w:t>ningen. Systemet är inte uppbyggt på ett sådant sätt att en sådan uppföljning är möjlig. Däremot har Försäkringskassan ett system för uppföljning av kval</w:t>
      </w:r>
      <w:r w:rsidRPr="009C46CC">
        <w:t>i</w:t>
      </w:r>
      <w:r w:rsidRPr="009C46CC">
        <w:t>teten i ärendehanteringen, men det syftar främst till att skapa underlag för att uttala sig om kvaliteten på nationell nivå. Systemet används även för att mäta skillnader mellan regioner och kontor, men utvärderingar av instrumentet har visat att tillförlitligheten inte är tillräckligt hög för att uttala sig om variationer mellan kontor. Resultaten från den befintliga uppföljningen går därmed inte att använda för att följa utvecklingen av kvalitet och enhetlighet över tid. Slutsatsen blir att varken myndigheten eller regeringen har tillräckliga ku</w:t>
      </w:r>
      <w:r w:rsidRPr="009C46CC">
        <w:t>n</w:t>
      </w:r>
      <w:r w:rsidRPr="009C46CC">
        <w:t>skaper om huruvida enhetligheten har ökat eller minskat vid myndighetsutö</w:t>
      </w:r>
      <w:r w:rsidRPr="009C46CC">
        <w:t>v</w:t>
      </w:r>
      <w:r w:rsidRPr="009C46CC">
        <w:t xml:space="preserve">ningen eller om vilka skillnader som är motiverade respektive omotiverade. </w:t>
      </w:r>
    </w:p>
    <w:p w:rsidR="001547A4" w:rsidRPr="009C46CC" w:rsidRDefault="001547A4" w:rsidP="001547A4">
      <w:pPr>
        <w:pStyle w:val="Normaltindrag"/>
      </w:pPr>
      <w:r w:rsidRPr="009C46CC">
        <w:t>Riksrevisionen anser därmed att det är fortsatt intressant att följa variati</w:t>
      </w:r>
      <w:r w:rsidRPr="009C46CC">
        <w:t>o</w:t>
      </w:r>
      <w:r w:rsidRPr="009C46CC">
        <w:t>ner mellan olika organisatoriska enheter. Även om handläggningen inte län</w:t>
      </w:r>
      <w:r w:rsidRPr="009C46CC">
        <w:t>g</w:t>
      </w:r>
      <w:r w:rsidRPr="009C46CC">
        <w:t>re är knuten till medborgarens bostadsort är det viktigt att följa upp och arbeta för att minska variationer i handläggningen. Utan uppföljning av eventuella variationer riskerar myndigheten att inte få kännedom om huruvida det finns omotiverade variationer i verksamheten eller om syftet med ökad enhetlighet har uppnåtts. En förutsättning för att kunna svara upp mot kravet i 3 § myndighetsförordningen (2007:15) om att verksamheten ska bedrivas effektivt och enligt gällande rätt är att myndigheterna följer upp variationerna i myndighetens handläggning och beslutsfattande. Sammantaget saknar my</w:t>
      </w:r>
      <w:r w:rsidRPr="009C46CC">
        <w:t>n</w:t>
      </w:r>
      <w:r w:rsidRPr="009C46CC">
        <w:t>digheterna beslutsunderlag för att styra och förändra verksamheten på ett ändamålsenligt sätt för att uppnå ökad enhetlighet.</w:t>
      </w:r>
    </w:p>
    <w:p w:rsidR="001547A4" w:rsidRPr="009C46CC" w:rsidRDefault="001547A4" w:rsidP="00FD306C">
      <w:pPr>
        <w:pStyle w:val="R3"/>
      </w:pPr>
      <w:r w:rsidRPr="009C46CC">
        <w:t>Ökat behov av informationsutbyte</w:t>
      </w:r>
    </w:p>
    <w:p w:rsidR="001547A4" w:rsidRPr="009C46CC" w:rsidRDefault="001547A4" w:rsidP="001547A4">
      <w:r w:rsidRPr="009C46CC">
        <w:t>Det stora antalet transfereringar och mängden handläggande myndigheter gör att myndigheterna i vissa fall är beroende av information från varandra för en bra handläggning av sina ärenden. Om inte information lämnas mellan my</w:t>
      </w:r>
      <w:r w:rsidRPr="009C46CC">
        <w:t>n</w:t>
      </w:r>
      <w:r w:rsidRPr="009C46CC">
        <w:t>digheterna ökar risken för att individer felaktigt får ersättning från flera s</w:t>
      </w:r>
      <w:r w:rsidRPr="009C46CC">
        <w:t>y</w:t>
      </w:r>
      <w:r w:rsidRPr="009C46CC">
        <w:t>stem samtidigt, att servicen till individen påverkas negativt samt att adminis</w:t>
      </w:r>
      <w:r w:rsidRPr="009C46CC">
        <w:t>t</w:t>
      </w:r>
      <w:r w:rsidRPr="009C46CC">
        <w:t>rationen blir onödigt dyr. Ett ineffektivt informationsutbyte är också kostsamt för skattebetalarna och kan i sin förlängning urholka förtroendet för tryg</w:t>
      </w:r>
      <w:r w:rsidRPr="009C46CC">
        <w:t>g</w:t>
      </w:r>
      <w:r w:rsidRPr="009C46CC">
        <w:t>hetssystemen. Vinsterna av ett effektivt informationsutbyte mellan myndigh</w:t>
      </w:r>
      <w:r w:rsidRPr="009C46CC">
        <w:t>e</w:t>
      </w:r>
      <w:r w:rsidRPr="009C46CC">
        <w:t>terna är stora.</w:t>
      </w:r>
    </w:p>
    <w:p w:rsidR="001547A4" w:rsidRPr="009C46CC" w:rsidRDefault="001547A4" w:rsidP="001547A4">
      <w:pPr>
        <w:pStyle w:val="Normaltindrag"/>
      </w:pPr>
      <w:r w:rsidRPr="009C46CC">
        <w:t>Riksrevisionen kan i sin granskning av informationsutbytet mellan my</w:t>
      </w:r>
      <w:r w:rsidRPr="009C46CC">
        <w:t>n</w:t>
      </w:r>
      <w:r w:rsidRPr="009C46CC">
        <w:t>digheter med ansvar för trygghetssystem visa att myndigheterna har dåliga förutsättningar för att bygga upp fungerande informationsutbyten. De pr</w:t>
      </w:r>
      <w:r w:rsidRPr="009C46CC">
        <w:t>o</w:t>
      </w:r>
      <w:r w:rsidRPr="009C46CC">
        <w:t>blem vi funnit är i hög grad tecken på strukturella tillkortakommanden. Den sammantagna bilden är att det elektroniska informationsutbytet inom transf</w:t>
      </w:r>
      <w:r w:rsidRPr="009C46CC">
        <w:t>e</w:t>
      </w:r>
      <w:r w:rsidRPr="009C46CC">
        <w:t>reringsområdet kan förbättras. Resultatet skulle bli en högre andel korrekta beslut, effektivare administration och bättre service till medborgarna.</w:t>
      </w:r>
    </w:p>
    <w:p w:rsidR="001547A4" w:rsidRPr="009C46CC" w:rsidRDefault="001547A4" w:rsidP="00FD306C">
      <w:pPr>
        <w:pStyle w:val="R3"/>
      </w:pPr>
      <w:r w:rsidRPr="009C46CC">
        <w:t>Svåröverskådligt regelverk</w:t>
      </w:r>
    </w:p>
    <w:p w:rsidR="001547A4" w:rsidRPr="009C46CC" w:rsidRDefault="001547A4" w:rsidP="001547A4">
      <w:r w:rsidRPr="009C46CC">
        <w:t>De regelverk som omgärdar elektroniskt informationsutbyte mellan olika transfereringssystem är omfattande. Regleringarna bakom varje enskilt info</w:t>
      </w:r>
      <w:r w:rsidRPr="009C46CC">
        <w:t>r</w:t>
      </w:r>
      <w:r w:rsidRPr="009C46CC">
        <w:t>mationsutbyte bygger på en kombination av regler som till exempel offentli</w:t>
      </w:r>
      <w:r w:rsidRPr="009C46CC">
        <w:t>g</w:t>
      </w:r>
      <w:r w:rsidRPr="009C46CC">
        <w:t>hets- och sekretesslagen, personuppgiftslagen och den materiella lagstiftnin</w:t>
      </w:r>
      <w:r w:rsidRPr="009C46CC">
        <w:t>g</w:t>
      </w:r>
      <w:r w:rsidRPr="009C46CC">
        <w:t>en. Den svåröverskådliga strukturen i lagstiftningen utgör ett hinder för my</w:t>
      </w:r>
      <w:r w:rsidRPr="009C46CC">
        <w:t>n</w:t>
      </w:r>
      <w:r w:rsidRPr="009C46CC">
        <w:t>digheternas informationsutbyte eftersom den skapar en osäkerhet hos my</w:t>
      </w:r>
      <w:r w:rsidRPr="009C46CC">
        <w:t>n</w:t>
      </w:r>
      <w:r w:rsidRPr="009C46CC">
        <w:t>digheterna om vilken information som får utbytas.</w:t>
      </w:r>
    </w:p>
    <w:p w:rsidR="001547A4" w:rsidRPr="009C46CC" w:rsidRDefault="001547A4" w:rsidP="001547A4">
      <w:pPr>
        <w:pStyle w:val="Normaltindrag"/>
      </w:pPr>
      <w:r w:rsidRPr="009C46CC">
        <w:t>Riksrevisionen bedömer att konstruktionen av lagstiftningen gör att my</w:t>
      </w:r>
      <w:r w:rsidRPr="009C46CC">
        <w:t>n</w:t>
      </w:r>
      <w:r w:rsidRPr="009C46CC">
        <w:t>digheterna får svårigheter att avgöra vilken information som får utlämnas och på vilket sätt. Regeringen bör därför se över lagstiftningen.</w:t>
      </w:r>
    </w:p>
    <w:p w:rsidR="001547A4" w:rsidRPr="009C46CC" w:rsidRDefault="001547A4" w:rsidP="00FD306C">
      <w:pPr>
        <w:pStyle w:val="R3"/>
      </w:pPr>
      <w:r w:rsidRPr="009C46CC">
        <w:t>Svaga incitament</w:t>
      </w:r>
    </w:p>
    <w:p w:rsidR="001547A4" w:rsidRPr="009C46CC" w:rsidRDefault="001547A4" w:rsidP="001547A4">
      <w:r w:rsidRPr="009C46CC">
        <w:t>Myndigheternas incitament att utveckla elektroniskt informationsutbyte är svagt eftersom utbytet får störst nytta någon annanstans än i den egna organ</w:t>
      </w:r>
      <w:r w:rsidRPr="009C46CC">
        <w:t>i</w:t>
      </w:r>
      <w:r w:rsidRPr="009C46CC">
        <w:t>sationen. Detta ökar risken för att samhällsekonomiskt lönsamma investerin</w:t>
      </w:r>
      <w:r w:rsidRPr="009C46CC">
        <w:t>g</w:t>
      </w:r>
      <w:r w:rsidRPr="009C46CC">
        <w:t xml:space="preserve">ar inte kommer till stånd. </w:t>
      </w:r>
    </w:p>
    <w:p w:rsidR="001547A4" w:rsidRPr="009C46CC" w:rsidRDefault="001547A4" w:rsidP="001547A4">
      <w:pPr>
        <w:pStyle w:val="Normaltindrag"/>
      </w:pPr>
      <w:r w:rsidRPr="009C46CC">
        <w:t>För att transfereringarna ska fungera väl tillsammans krävs ett fungerande informationsutbyte. Myndigheterna behöver därför förutsättningar att kunna skapa informationsutbytet. Riksrevisionen anser att modellen med förval</w:t>
      </w:r>
      <w:r w:rsidRPr="009C46CC">
        <w:t>t</w:t>
      </w:r>
      <w:r w:rsidRPr="009C46CC">
        <w:t>ningsmyndigheter under regeringen och kommunalt självstyre kräver en starkare styrning från regeringen i syfte att skapa bättre samordning av resu</w:t>
      </w:r>
      <w:r w:rsidRPr="009C46CC">
        <w:t>r</w:t>
      </w:r>
      <w:r w:rsidRPr="009C46CC">
        <w:t>ser och bättre ekonomiska incitament för myndigheterna.</w:t>
      </w:r>
    </w:p>
    <w:p w:rsidR="001547A4" w:rsidRPr="009C46CC" w:rsidRDefault="001547A4" w:rsidP="001547A4">
      <w:r w:rsidRPr="009C46CC">
        <w:t>Kapitlet bygger på iakttagelser i följande granskningar och underlag:</w:t>
      </w:r>
    </w:p>
    <w:p w:rsidR="001547A4" w:rsidRPr="009C46CC" w:rsidRDefault="001547A4" w:rsidP="00960CC1">
      <w:pPr>
        <w:pStyle w:val="Normaltindrag"/>
        <w:numPr>
          <w:ilvl w:val="0"/>
          <w:numId w:val="11"/>
        </w:numPr>
        <w:spacing w:before="125"/>
        <w:ind w:left="357" w:hanging="357"/>
      </w:pPr>
      <w:r w:rsidRPr="009C46CC">
        <w:t>Omställningskrav i sjukförsäkringen (RiR 2009:1)</w:t>
      </w:r>
    </w:p>
    <w:p w:rsidR="001547A4" w:rsidRPr="009C46CC" w:rsidRDefault="001547A4" w:rsidP="001547A4">
      <w:pPr>
        <w:pStyle w:val="Normaltindrag"/>
        <w:numPr>
          <w:ilvl w:val="0"/>
          <w:numId w:val="11"/>
        </w:numPr>
      </w:pPr>
      <w:r w:rsidRPr="009C46CC">
        <w:t>Beslut om sjukpenning – har F</w:t>
      </w:r>
      <w:r w:rsidR="00D64448" w:rsidRPr="009C46CC">
        <w:t>örsäkringskassan</w:t>
      </w:r>
      <w:r w:rsidRPr="009C46CC">
        <w:t xml:space="preserve"> tillräckliga underlag? (RiR 2009:07)</w:t>
      </w:r>
    </w:p>
    <w:p w:rsidR="001547A4" w:rsidRPr="009C46CC" w:rsidRDefault="001547A4" w:rsidP="001547A4">
      <w:pPr>
        <w:pStyle w:val="Normaltindrag"/>
        <w:numPr>
          <w:ilvl w:val="0"/>
          <w:numId w:val="11"/>
        </w:numPr>
      </w:pPr>
      <w:r w:rsidRPr="009C46CC">
        <w:t>Omställningskraven i arbetslöshetsförsäkringen (RiR 2009:13)</w:t>
      </w:r>
    </w:p>
    <w:p w:rsidR="001547A4" w:rsidRPr="009C46CC" w:rsidRDefault="001547A4" w:rsidP="001547A4">
      <w:pPr>
        <w:pStyle w:val="Normaltindrag"/>
        <w:numPr>
          <w:ilvl w:val="0"/>
          <w:numId w:val="11"/>
        </w:numPr>
      </w:pPr>
      <w:r w:rsidRPr="009C46CC">
        <w:t>Från många till en – sammanslagningar av myndigheter (RiR 2010:3)</w:t>
      </w:r>
    </w:p>
    <w:p w:rsidR="001547A4" w:rsidRPr="009C46CC" w:rsidRDefault="001547A4" w:rsidP="001547A4">
      <w:pPr>
        <w:pStyle w:val="Normaltindrag"/>
        <w:numPr>
          <w:ilvl w:val="0"/>
          <w:numId w:val="11"/>
        </w:numPr>
      </w:pPr>
      <w:r w:rsidRPr="009C46CC">
        <w:t>En förändrad sjukskrivningsprocess (RiR 2010:9)</w:t>
      </w:r>
    </w:p>
    <w:p w:rsidR="001547A4" w:rsidRPr="009C46CC" w:rsidRDefault="001547A4" w:rsidP="001547A4">
      <w:pPr>
        <w:pStyle w:val="Normaltindrag"/>
        <w:numPr>
          <w:ilvl w:val="0"/>
          <w:numId w:val="11"/>
        </w:numPr>
      </w:pPr>
      <w:r w:rsidRPr="009C46CC">
        <w:t>Informationsutbyte mellan myndigheter med ansvar för trygghetssystem (RiR 2010:18)</w:t>
      </w:r>
    </w:p>
    <w:p w:rsidR="001547A4" w:rsidRPr="009C46CC" w:rsidRDefault="001547A4" w:rsidP="001547A4">
      <w:pPr>
        <w:pStyle w:val="Normaltindrag"/>
        <w:numPr>
          <w:ilvl w:val="0"/>
          <w:numId w:val="11"/>
        </w:numPr>
      </w:pPr>
      <w:r w:rsidRPr="009C46CC">
        <w:t>Uppföljningsrapport 2011 (Riksrevisionen)</w:t>
      </w:r>
    </w:p>
    <w:p w:rsidR="001547A4" w:rsidRPr="009C46CC" w:rsidRDefault="001547A4" w:rsidP="001547A4">
      <w:pPr>
        <w:pStyle w:val="Normaltindrag"/>
        <w:numPr>
          <w:ilvl w:val="0"/>
          <w:numId w:val="11"/>
        </w:numPr>
      </w:pPr>
      <w:r w:rsidRPr="009C46CC">
        <w:t>Mer försäkringslik allmän försäkring (Riksrevisionen, Promemoria)</w:t>
      </w:r>
    </w:p>
    <w:p w:rsidR="001547A4" w:rsidRPr="009C46CC" w:rsidRDefault="001547A4" w:rsidP="001547A4">
      <w:pPr>
        <w:pStyle w:val="Normaltindrag"/>
        <w:numPr>
          <w:ilvl w:val="0"/>
          <w:numId w:val="11"/>
        </w:numPr>
      </w:pPr>
      <w:r w:rsidRPr="009C46CC">
        <w:t>En relativ försäkring (Promemoria, Jan Bröms på uppdrag av Riksrev</w:t>
      </w:r>
      <w:r w:rsidRPr="009C46CC">
        <w:t>i</w:t>
      </w:r>
      <w:r w:rsidRPr="009C46CC">
        <w:t>sionen)</w:t>
      </w:r>
    </w:p>
    <w:p w:rsidR="00E74B81" w:rsidRPr="009C46CC" w:rsidRDefault="00E74B81" w:rsidP="001547A4"/>
    <w:p w:rsidR="00E74B81" w:rsidRPr="009C46CC" w:rsidRDefault="00E74B81" w:rsidP="00E74B81">
      <w:pPr>
        <w:pStyle w:val="Normaltindrag"/>
        <w:sectPr w:rsidR="00E74B81" w:rsidRPr="009C46CC" w:rsidSect="00B9317A">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47A4" w:rsidRPr="009C46CC" w:rsidRDefault="001547A4" w:rsidP="001547A4">
      <w:pPr>
        <w:pStyle w:val="Rubrik1"/>
        <w:rPr>
          <w:noProof w:val="0"/>
        </w:rPr>
      </w:pPr>
      <w:bookmarkStart w:id="17" w:name="_Toc293393609"/>
      <w:bookmarkStart w:id="18" w:name="_Toc293647898"/>
      <w:r w:rsidRPr="009C46CC">
        <w:rPr>
          <w:noProof w:val="0"/>
        </w:rPr>
        <w:t>Långt kvar till en effektiv IT-förvaltning</w:t>
      </w:r>
      <w:bookmarkEnd w:id="17"/>
      <w:bookmarkEnd w:id="18"/>
    </w:p>
    <w:p w:rsidR="001547A4" w:rsidRPr="009C46CC" w:rsidRDefault="001547A4" w:rsidP="00DA052C">
      <w:r w:rsidRPr="009C46CC">
        <w:t>Statlig IT-verksamhet är viktig för statsförvaltningens utveckling.  Sverige är en framstående IT-nation och svenskarnas IT-användning ligger också i topp i de flesta undersökningar som publiceras. Många studier visar att IT är en viktig förutsättning för högre produktivitet och därmed ökad välfärd. Rege</w:t>
      </w:r>
      <w:r w:rsidRPr="009C46CC">
        <w:t>r</w:t>
      </w:r>
      <w:r w:rsidRPr="009C46CC">
        <w:t>ingen har haft högt ställda ambitioner för den ”traditionella” förvaltningens successiva övergång till en elektronisk förvaltning. God service till medbo</w:t>
      </w:r>
      <w:r w:rsidRPr="009C46CC">
        <w:t>r</w:t>
      </w:r>
      <w:r w:rsidRPr="009C46CC">
        <w:t xml:space="preserve">gare och företag, bättre insyn, ökad öppenhet och högre effektivitet är några av hörnstenarna i regeringens e-förvaltningspolitik. </w:t>
      </w:r>
    </w:p>
    <w:p w:rsidR="001547A4" w:rsidRPr="009C46CC" w:rsidRDefault="001547A4" w:rsidP="001547A4">
      <w:pPr>
        <w:pStyle w:val="Normaltindrag"/>
      </w:pPr>
      <w:r w:rsidRPr="009C46CC">
        <w:t>Generellt sett gäller att utvecklingen av e-förvaltningen innebär en omfa</w:t>
      </w:r>
      <w:r w:rsidRPr="009C46CC">
        <w:t>t</w:t>
      </w:r>
      <w:r w:rsidRPr="009C46CC">
        <w:t xml:space="preserve">tande omstrukturering av den offentliga sektorn, som är förknippad med stora ekonomiska investeringar. Statlig IT-verksamhet utgör i dag den tredje största kostnadsposten i statsbudgeten. </w:t>
      </w:r>
      <w:r w:rsidRPr="009C46CC" w:rsidDel="00A84009">
        <w:t>IT-kostnaderna inom statsförvaltningen up</w:t>
      </w:r>
      <w:r w:rsidRPr="009C46CC" w:rsidDel="00A84009">
        <w:t>p</w:t>
      </w:r>
      <w:r w:rsidRPr="009C46CC" w:rsidDel="00A84009">
        <w:t xml:space="preserve">går </w:t>
      </w:r>
      <w:r w:rsidRPr="009C46CC">
        <w:t xml:space="preserve">årligen </w:t>
      </w:r>
      <w:r w:rsidRPr="009C46CC" w:rsidDel="00A84009">
        <w:t>till 20</w:t>
      </w:r>
      <w:r w:rsidRPr="009C46CC">
        <w:t>–</w:t>
      </w:r>
      <w:r w:rsidRPr="009C46CC" w:rsidDel="00A84009">
        <w:t>25 miljarder kronor</w:t>
      </w:r>
      <w:r w:rsidRPr="009C46CC">
        <w:t>. Därför måste myndigheternas IT-verksamhet vara effektiv och innebära en god hushållning med statens medel.</w:t>
      </w:r>
    </w:p>
    <w:p w:rsidR="001547A4" w:rsidRPr="009C46CC" w:rsidRDefault="001547A4" w:rsidP="001547A4">
      <w:pPr>
        <w:pStyle w:val="Normaltindrag"/>
      </w:pPr>
      <w:r w:rsidRPr="009C46CC">
        <w:t xml:space="preserve">Begreppet e-förvaltning eller e-government har ingen entydig definition. Vissa definierar e-förvaltning endast i termer av möjligheten att leverera förvaltningstjänster och information via Internet. Denna typ av definition är relativt begränsad. I Sverige definieras i allmänhet e-fövaltning eller </w:t>
      </w:r>
      <w:r w:rsidRPr="009C46CC">
        <w:br/>
        <w:t>e-government i termer av e-tjänster, e-förvaltning och e-demokrati</w:t>
      </w:r>
      <w:r w:rsidRPr="009C46CC">
        <w:rPr>
          <w:iCs/>
        </w:rPr>
        <w:t xml:space="preserve">. </w:t>
      </w:r>
      <w:r w:rsidRPr="009C46CC">
        <w:t>Utvec</w:t>
      </w:r>
      <w:r w:rsidRPr="009C46CC">
        <w:t>k</w:t>
      </w:r>
      <w:r w:rsidRPr="009C46CC">
        <w:t>lingen av e-förvaltningen får då en vidare betydelse med effekter inte bara för förvaltningen utan även för medborgare och företag.</w:t>
      </w:r>
    </w:p>
    <w:p w:rsidR="001547A4" w:rsidRPr="009C46CC" w:rsidRDefault="001547A4" w:rsidP="001547A4">
      <w:pPr>
        <w:pStyle w:val="Normaltindrag"/>
      </w:pPr>
      <w:r w:rsidRPr="009C46CC">
        <w:t xml:space="preserve">Riksrevisionen har under de senaste åren som ett led i strategin </w:t>
      </w:r>
      <w:r w:rsidRPr="009C46CC">
        <w:rPr>
          <w:i/>
        </w:rPr>
        <w:t xml:space="preserve">Effektiv förvaltning </w:t>
      </w:r>
      <w:r w:rsidRPr="009C46CC">
        <w:t>genomfört ett antal granskningar som rör regeringens åtgärder för att utveckla den elektroniska förvaltningen så att den leder till högre effektiv</w:t>
      </w:r>
      <w:r w:rsidRPr="009C46CC">
        <w:t>i</w:t>
      </w:r>
      <w:r w:rsidRPr="009C46CC">
        <w:t xml:space="preserve">tet och bättre service. I detta avsnitt presenteras de viktigaste iakttagelserna och slutsatserna från dessa granskningar. </w:t>
      </w:r>
    </w:p>
    <w:p w:rsidR="001547A4" w:rsidRPr="009C46CC" w:rsidRDefault="001547A4" w:rsidP="00FD306C">
      <w:pPr>
        <w:pStyle w:val="R3"/>
      </w:pPr>
      <w:r w:rsidRPr="009C46CC">
        <w:t>Våra viktigaste budskap</w:t>
      </w:r>
    </w:p>
    <w:p w:rsidR="001547A4" w:rsidRPr="009C46CC" w:rsidRDefault="001547A4" w:rsidP="001547A4">
      <w:r w:rsidRPr="009C46CC">
        <w:t>Riksrevisionen har gjort vissa iakttagelser rörande regeringen och myndigh</w:t>
      </w:r>
      <w:r w:rsidRPr="009C46CC">
        <w:t>e</w:t>
      </w:r>
      <w:r w:rsidRPr="009C46CC">
        <w:t>ternas arbete med e-förvaltning som återkommer i samtliga granskningar. Riksrevisionen sammanfattar sina viktigaste iakttagelser i tre övergripande slutsatser:</w:t>
      </w:r>
    </w:p>
    <w:p w:rsidR="001547A4" w:rsidRPr="009C46CC" w:rsidRDefault="001547A4" w:rsidP="00DA052C">
      <w:pPr>
        <w:numPr>
          <w:ilvl w:val="0"/>
          <w:numId w:val="5"/>
        </w:numPr>
        <w:spacing w:before="125"/>
        <w:ind w:left="357" w:hanging="357"/>
        <w:jc w:val="left"/>
      </w:pPr>
      <w:r w:rsidRPr="009C46CC">
        <w:t>För det första behöver regeringen ta på sig ledartröjan för att utvec</w:t>
      </w:r>
      <w:r w:rsidRPr="009C46CC">
        <w:t>k</w:t>
      </w:r>
      <w:r w:rsidRPr="009C46CC">
        <w:t>la e-förvaltningen ytterligare. Regeringens styrning av e-förvaltningen har e</w:t>
      </w:r>
      <w:r w:rsidRPr="009C46CC">
        <w:t>n</w:t>
      </w:r>
      <w:r w:rsidRPr="009C46CC">
        <w:t>ligt vår bedömning kännetecknats av passivitet och otydlighet. Regerin</w:t>
      </w:r>
      <w:r w:rsidRPr="009C46CC">
        <w:t>g</w:t>
      </w:r>
      <w:r w:rsidRPr="009C46CC">
        <w:t>en har helt enkelt inte lyckats med att ta ett helhetsgrepp över e-förvaltningens utveckling.</w:t>
      </w:r>
    </w:p>
    <w:p w:rsidR="001547A4" w:rsidRPr="009C46CC" w:rsidRDefault="001547A4" w:rsidP="00DA052C">
      <w:pPr>
        <w:numPr>
          <w:ilvl w:val="0"/>
          <w:numId w:val="5"/>
        </w:numPr>
        <w:spacing w:before="0"/>
        <w:ind w:left="357" w:hanging="357"/>
        <w:jc w:val="left"/>
      </w:pPr>
      <w:r w:rsidRPr="009C46CC">
        <w:t>För det andra behöver staten utveckla och behålla sin beställarko</w:t>
      </w:r>
      <w:r w:rsidRPr="009C46CC">
        <w:t>m</w:t>
      </w:r>
      <w:r w:rsidRPr="009C46CC">
        <w:t>petens när det gäller myndigheternas behov av IT-stöd. Vi har sett att beställa</w:t>
      </w:r>
      <w:r w:rsidRPr="009C46CC">
        <w:t>r</w:t>
      </w:r>
      <w:r w:rsidRPr="009C46CC">
        <w:t xml:space="preserve">kompetensen blir viktigare när det en allt större del av IT-verksamheten överlåts till privata aktörer. </w:t>
      </w:r>
    </w:p>
    <w:p w:rsidR="001547A4" w:rsidRPr="009C46CC" w:rsidRDefault="001547A4" w:rsidP="00DA052C">
      <w:pPr>
        <w:numPr>
          <w:ilvl w:val="0"/>
          <w:numId w:val="5"/>
        </w:numPr>
        <w:spacing w:before="0"/>
        <w:ind w:left="357" w:hanging="357"/>
        <w:jc w:val="left"/>
      </w:pPr>
      <w:r w:rsidRPr="009C46CC">
        <w:t>För det tredje behöver regeringen skaffa sig en ökad kunskap om de risker som finns för informationssäkerheten och den personliga integrit</w:t>
      </w:r>
      <w:r w:rsidRPr="009C46CC">
        <w:t>e</w:t>
      </w:r>
      <w:r w:rsidRPr="009C46CC">
        <w:t>ten när myndigheter hanterar personuppgifter elektroniskt.</w:t>
      </w:r>
      <w:r w:rsidRPr="009C46CC" w:rsidDel="00213273">
        <w:t xml:space="preserve"> </w:t>
      </w:r>
      <w:r w:rsidRPr="009C46CC">
        <w:t>I gransknin</w:t>
      </w:r>
      <w:r w:rsidRPr="009C46CC">
        <w:t>g</w:t>
      </w:r>
      <w:r w:rsidRPr="009C46CC">
        <w:t>en av informationsutbytet mellan myndigheter med ansvar för trygghet</w:t>
      </w:r>
      <w:r w:rsidRPr="009C46CC">
        <w:t>s</w:t>
      </w:r>
      <w:r w:rsidRPr="009C46CC">
        <w:t>system konstaterar vi att ett förbättrat elektroniskt informationsutbyte skulle leda till en mer effektiv administration, minskad risk för felaktiga utbetalningar samt bättre service till me</w:t>
      </w:r>
      <w:r w:rsidRPr="009C46CC">
        <w:t>d</w:t>
      </w:r>
      <w:r w:rsidRPr="009C46CC">
        <w:t xml:space="preserve">borgarna. </w:t>
      </w:r>
    </w:p>
    <w:p w:rsidR="001547A4" w:rsidRPr="009C46CC" w:rsidRDefault="001547A4" w:rsidP="001547A4">
      <w:pPr>
        <w:pStyle w:val="Rubrik2"/>
      </w:pPr>
      <w:bookmarkStart w:id="19" w:name="_Toc293393610"/>
      <w:bookmarkStart w:id="20" w:name="_Toc293647899"/>
      <w:r w:rsidRPr="009C46CC">
        <w:t>Regeringen behöver skaffa ett helikopterperspektiv över e-förvaltningen</w:t>
      </w:r>
      <w:bookmarkEnd w:id="19"/>
      <w:bookmarkEnd w:id="20"/>
    </w:p>
    <w:p w:rsidR="001547A4" w:rsidRPr="009C46CC" w:rsidRDefault="001547A4" w:rsidP="001547A4">
      <w:r w:rsidRPr="009C46CC">
        <w:t xml:space="preserve">I rapporten </w:t>
      </w:r>
      <w:r w:rsidRPr="009C46CC">
        <w:rPr>
          <w:i/>
        </w:rPr>
        <w:t>IT-investeringar över gränserna (RiR 2009:18)</w:t>
      </w:r>
      <w:r w:rsidRPr="009C46CC">
        <w:t xml:space="preserve"> visar vi ett antal exempel på IT-investeringar inom vitt skilda samhällsområden som av olika anledningar uteblivit. IT-investeringarna har syftat till att öka servicen till medborgare och företag, att effektivisera förvaltningen eller att stärka viktiga samhällsfunktioner. Exempel är ett IT-system för de aktörer som hanterar företagskonkurser, ett gemensamt IT-stöd för brottsutredande myndigheter och en anmälningsportal för fartygsregistrering. Om myndigheterna haft rätt förutsättningar hade IT-investeringarna sannolikt inneburit att betydande effektiviseringar och besparingar kunnat tas till vara.</w:t>
      </w:r>
    </w:p>
    <w:p w:rsidR="001547A4" w:rsidRPr="009C46CC" w:rsidRDefault="001547A4" w:rsidP="001547A4">
      <w:pPr>
        <w:pStyle w:val="Normaltindrag"/>
      </w:pPr>
      <w:r w:rsidRPr="009C46CC">
        <w:t>Vår rapport visar att det centrala problemet består i att regeringen inte har gett myndigheterna rätt förutsättningar att genomföra de IT-investeringar som är nödvändiga för att e-förvaltningen ska kunna fortsätta att utvecklas. Att IT-investeringar kommer till stånd genom samverkan mellan berörda myndigh</w:t>
      </w:r>
      <w:r w:rsidRPr="009C46CC">
        <w:t>e</w:t>
      </w:r>
      <w:r w:rsidRPr="009C46CC">
        <w:t xml:space="preserve">ter är exempel på en sådan viktig förutsättning. </w:t>
      </w:r>
    </w:p>
    <w:p w:rsidR="001547A4" w:rsidRPr="009C46CC" w:rsidRDefault="001547A4" w:rsidP="001547A4">
      <w:pPr>
        <w:pStyle w:val="Normaltindrag"/>
      </w:pPr>
      <w:r w:rsidRPr="009C46CC">
        <w:t>Andra orsaker till att sådana IT-investeringar inte genomförts kan spåras till två övergripande hinder som myndigheterna ofta inte haft förutsättningar att själva hantera. Ett hinder utgörs av att en av samverkanspartnerna nedpri</w:t>
      </w:r>
      <w:r w:rsidRPr="009C46CC">
        <w:t>o</w:t>
      </w:r>
      <w:r w:rsidRPr="009C46CC">
        <w:t>riterar sin del i IT-investeringen.  En annan omständighet som hindrat IT-investeringarna är att myndigheterna uppgett att det saknas stöd i de registe</w:t>
      </w:r>
      <w:r w:rsidRPr="009C46CC">
        <w:t>r</w:t>
      </w:r>
      <w:r w:rsidRPr="009C46CC">
        <w:t xml:space="preserve">lagar som reglerar myndigheternas informationshantering. Regeringen har ett samlat ansvar för effektiviteten i staten, och Riksrevisionens bedömning är att regeringen i detta sammanhang inte fullt ut tagit detta ansvar. </w:t>
      </w:r>
    </w:p>
    <w:p w:rsidR="001547A4" w:rsidRPr="009C46CC" w:rsidRDefault="001547A4" w:rsidP="001547A4">
      <w:pPr>
        <w:pStyle w:val="Rubrik2"/>
      </w:pPr>
      <w:bookmarkStart w:id="21" w:name="_Toc293393611"/>
      <w:bookmarkStart w:id="22" w:name="_Toc293647900"/>
      <w:r w:rsidRPr="009C46CC">
        <w:t>Staten behöver bli vassare som beställare</w:t>
      </w:r>
      <w:bookmarkEnd w:id="21"/>
      <w:bookmarkEnd w:id="22"/>
      <w:r w:rsidRPr="009C46CC">
        <w:t xml:space="preserve"> </w:t>
      </w:r>
    </w:p>
    <w:p w:rsidR="001547A4" w:rsidRPr="009C46CC" w:rsidRDefault="001547A4" w:rsidP="001547A4">
      <w:r w:rsidRPr="009C46CC">
        <w:t xml:space="preserve">Riksrevisionen har i rapporten, </w:t>
      </w:r>
      <w:r w:rsidRPr="009C46CC">
        <w:rPr>
          <w:i/>
        </w:rPr>
        <w:t>IT inom statsförvaltningen – Har myndigh</w:t>
      </w:r>
      <w:r w:rsidRPr="009C46CC">
        <w:rPr>
          <w:i/>
        </w:rPr>
        <w:t>e</w:t>
      </w:r>
      <w:r w:rsidRPr="009C46CC">
        <w:rPr>
          <w:i/>
        </w:rPr>
        <w:t>terna på ett rimligt sätt prövat frågan om outsourcing bidrar till ökad effekt</w:t>
      </w:r>
      <w:r w:rsidRPr="009C46CC">
        <w:rPr>
          <w:i/>
        </w:rPr>
        <w:t>i</w:t>
      </w:r>
      <w:r w:rsidRPr="009C46CC">
        <w:rPr>
          <w:i/>
        </w:rPr>
        <w:t>vitet? (RiR 2011:4)</w:t>
      </w:r>
      <w:r w:rsidRPr="009C46CC">
        <w:t xml:space="preserve">, granskat om myndigheterna har strategier och intern kontroll som säkerställer att man kan göra kvalificerade bedömningar av vem som är bäst lämpad att producera den IT-verksamhet organisationen behöver. Granskningens viktigaste budskap är att myndigheterna inte prövar den så kallade sourcingfrågan tillräckligt. Risken är därför att myndigheterna inte bedriver sin IT-verksamhet på det mest effektiva sättet. </w:t>
      </w:r>
    </w:p>
    <w:p w:rsidR="001547A4" w:rsidRPr="009C46CC" w:rsidRDefault="001547A4" w:rsidP="001547A4">
      <w:pPr>
        <w:pStyle w:val="Normaltindrag"/>
      </w:pPr>
      <w:r w:rsidRPr="009C46CC">
        <w:t>Att myndigheterna inte prövar sourcingfrågan beror i huvudsak på brister i kunskapen om och kontrollen av den egna IT-verksamheten. Flera myndigh</w:t>
      </w:r>
      <w:r w:rsidRPr="009C46CC">
        <w:t>e</w:t>
      </w:r>
      <w:r w:rsidRPr="009C46CC">
        <w:t xml:space="preserve">ter har dessutom svårt att dela upp kostnaderna för IT-verksamheten på olika delområden. Om myndigheten inte känner till vad det kostar att producera olika IT-tjänster blir det också svårt att ta ställning i sourcingfrågan. Starka och självständiga IT-avdelningar med låga effektiviseringskrav på sig är en annan förklaring till att så få myndigheter prövat om outsourcing kan vara ett medel för att öka effektiviteten i verksamheten. </w:t>
      </w:r>
    </w:p>
    <w:p w:rsidR="001547A4" w:rsidRPr="009C46CC" w:rsidRDefault="001547A4" w:rsidP="001547A4">
      <w:pPr>
        <w:pStyle w:val="Normaltindrag"/>
      </w:pPr>
      <w:r w:rsidRPr="009C46CC">
        <w:t>Riksrevisionens granskning visar dock på att det finns enstaka myndigh</w:t>
      </w:r>
      <w:r w:rsidRPr="009C46CC">
        <w:t>e</w:t>
      </w:r>
      <w:r w:rsidRPr="009C46CC">
        <w:t>ter som har kommit långt i sina prövningar av sourcingfrågor. Denna kunskap är dock inte spridd i den statliga förvaltningen.  En av granskningens viktiga</w:t>
      </w:r>
      <w:r w:rsidRPr="009C46CC">
        <w:t>s</w:t>
      </w:r>
      <w:r w:rsidRPr="009C46CC">
        <w:t>te rekommendationer är att myndigheterna bör se till att de har tillräcklig beställarkompetens inom myndigheten för att kunna hantera sourcingfrågor och att de regelbundet genomför  prövningar om IT-verksamheten ska utföras inom den egna myndigheten eller av en extern leverantör.</w:t>
      </w:r>
    </w:p>
    <w:p w:rsidR="001547A4" w:rsidRPr="009C46CC" w:rsidRDefault="001547A4" w:rsidP="001547A4">
      <w:pPr>
        <w:pStyle w:val="Rubrik2"/>
      </w:pPr>
      <w:bookmarkStart w:id="23" w:name="_Toc293393612"/>
      <w:bookmarkStart w:id="24" w:name="_Toc293647901"/>
      <w:r w:rsidRPr="009C46CC">
        <w:t>Personlig integritet och rättssäkerhet även viktig</w:t>
      </w:r>
      <w:r w:rsidR="00DE4B51" w:rsidRPr="009C46CC">
        <w:t>t</w:t>
      </w:r>
      <w:r w:rsidRPr="009C46CC">
        <w:t xml:space="preserve"> vid omställning till e-förvaltning</w:t>
      </w:r>
      <w:bookmarkEnd w:id="23"/>
      <w:bookmarkEnd w:id="24"/>
    </w:p>
    <w:p w:rsidR="001547A4" w:rsidRPr="009C46CC" w:rsidRDefault="001547A4" w:rsidP="001547A4">
      <w:r w:rsidRPr="009C46CC">
        <w:t>En förutsättning för en väl fungerande e-förvaltning är att medborgare och företagare är trygga i kommunikationen med den offentliga sektorn. Ett väl fungerande e-legitimationssystem möjliggör en sådan rättssäker kommunik</w:t>
      </w:r>
      <w:r w:rsidRPr="009C46CC">
        <w:t>a</w:t>
      </w:r>
      <w:r w:rsidRPr="009C46CC">
        <w:t xml:space="preserve">tion. I rapporten, </w:t>
      </w:r>
      <w:r w:rsidRPr="009C46CC">
        <w:rPr>
          <w:i/>
        </w:rPr>
        <w:t>E-legitimationer – en underutnyttjad resurs (RiR 2009:19)</w:t>
      </w:r>
      <w:r w:rsidRPr="009C46CC">
        <w:t xml:space="preserve">, argumenterar vi för att systemet för e-legitimationer visserligen fungerar hyggligt men att systemet i vissa delar är behäftat med brister. </w:t>
      </w:r>
    </w:p>
    <w:p w:rsidR="00D64448" w:rsidRPr="009C46CC" w:rsidRDefault="001547A4" w:rsidP="00D64448">
      <w:pPr>
        <w:pStyle w:val="Normaltindrag"/>
      </w:pPr>
      <w:r w:rsidRPr="009C46CC">
        <w:t>Vi har i granskningen kunnat konstatera att systemet för e-legitimationer i vissa delar inte uppfyller riksdagens intentioner som syftat till att ta fram en svensk e-legitimation som är rättssäker, tillgänglig, teknikneutral och konku</w:t>
      </w:r>
      <w:r w:rsidRPr="009C46CC">
        <w:t>r</w:t>
      </w:r>
      <w:r w:rsidRPr="009C46CC">
        <w:t>rensfrämjande. Systemet saknar till exempel någon aktör som har tillsynsa</w:t>
      </w:r>
      <w:r w:rsidRPr="009C46CC">
        <w:t>n</w:t>
      </w:r>
      <w:r w:rsidRPr="009C46CC">
        <w:t>svar, vilket medför att brister riskerar att inte upptäckas i tid. Det är också relativt krångligt att skaffa sig och använda en e-legitimation i dag, vilket riskerar att leda till att medborgarna undviker att använda de e-tjänster som finns. Den teknik som används bygger därtill inte på så kallade öppna sta</w:t>
      </w:r>
      <w:r w:rsidRPr="009C46CC">
        <w:t>n</w:t>
      </w:r>
      <w:r w:rsidRPr="009C46CC">
        <w:t xml:space="preserve">darder, vilket bland annat riskerar att begränsa konkurrensen. </w:t>
      </w:r>
    </w:p>
    <w:p w:rsidR="001547A4" w:rsidRPr="009C46CC" w:rsidRDefault="001547A4" w:rsidP="00D64448">
      <w:pPr>
        <w:pStyle w:val="Normaltindrag"/>
      </w:pPr>
      <w:r w:rsidRPr="009C46CC">
        <w:t>Dessa brister har resulterat i att myndigheterna inte i tillräcklig utsträc</w:t>
      </w:r>
      <w:r w:rsidRPr="009C46CC">
        <w:t>k</w:t>
      </w:r>
      <w:r w:rsidRPr="009C46CC">
        <w:t>ning har tagit fram e-tjänster för att underlätta för medborgarna eller för att öka kostnadseffektiviteten i den offentliga förvaltningen. Det finns med andra ord ett stort utrymme för att öka IT-användningen och därmed öka effektivit</w:t>
      </w:r>
      <w:r w:rsidRPr="009C46CC">
        <w:t>e</w:t>
      </w:r>
      <w:r w:rsidRPr="009C46CC">
        <w:t xml:space="preserve">ten i den svenska statsförvaltningen. </w:t>
      </w:r>
    </w:p>
    <w:p w:rsidR="001547A4" w:rsidRPr="009C46CC" w:rsidRDefault="001547A4" w:rsidP="001547A4">
      <w:pPr>
        <w:pStyle w:val="Normaltindrag"/>
      </w:pPr>
      <w:r w:rsidRPr="009C46CC">
        <w:t>Registerlag</w:t>
      </w:r>
      <w:r w:rsidRPr="009C46CC">
        <w:softHyphen/>
        <w:t>stiftningen syftar till att skydda personers integritet . I grans</w:t>
      </w:r>
      <w:r w:rsidRPr="009C46CC">
        <w:t>k</w:t>
      </w:r>
      <w:r w:rsidRPr="009C46CC">
        <w:t xml:space="preserve">ningen av myndigheternas samverkan vid IT-investeringar, </w:t>
      </w:r>
      <w:r w:rsidRPr="009C46CC">
        <w:rPr>
          <w:i/>
        </w:rPr>
        <w:t>IT-investeringar över gränserna (RiR 2009:18),</w:t>
      </w:r>
      <w:r w:rsidRPr="009C46CC">
        <w:t xml:space="preserve"> kan vi dock notera att det finns brister i denna lagstiftning som beror på föråldrad regelstruktur, ofullständiga definitioner eller liknande. I den ovannämnda rapporten rörande uteblivna IT-investeringar uppgav myndigheterna att det saknas stöd i de registerlagar som reglerar myndigheternas informationshantering. </w:t>
      </w:r>
    </w:p>
    <w:p w:rsidR="001547A4" w:rsidRPr="009C46CC" w:rsidRDefault="001547A4" w:rsidP="001547A4">
      <w:pPr>
        <w:pStyle w:val="Normaltindrag"/>
      </w:pPr>
      <w:r w:rsidRPr="009C46CC">
        <w:t>Registerlagstiftningen behöver därför ses över för att under</w:t>
      </w:r>
      <w:r w:rsidRPr="009C46CC">
        <w:softHyphen/>
        <w:t xml:space="preserve">lätta </w:t>
      </w:r>
      <w:r w:rsidRPr="009C46CC">
        <w:br/>
        <w:t xml:space="preserve">e-förvaltningens utveckling. Liknande synpunkter har också förts fram av </w:t>
      </w:r>
      <w:r w:rsidRPr="009C46CC">
        <w:br/>
        <w:t>E-delegationen. Detta sammantaget visar enligt vår bedömning att en generell översyn av registerlagstiftningen är nödvändig.</w:t>
      </w:r>
    </w:p>
    <w:p w:rsidR="001547A4" w:rsidRPr="009C46CC" w:rsidRDefault="001547A4" w:rsidP="001547A4">
      <w:pPr>
        <w:pStyle w:val="Normaltindrag"/>
      </w:pPr>
      <w:r w:rsidRPr="009C46CC">
        <w:t xml:space="preserve">I rapporten, </w:t>
      </w:r>
      <w:r w:rsidRPr="009C46CC">
        <w:rPr>
          <w:bCs/>
          <w:i/>
        </w:rPr>
        <w:t>Statliga IT-projekt som överskrider budget (RiR 2011:5)</w:t>
      </w:r>
      <w:r w:rsidRPr="009C46CC">
        <w:rPr>
          <w:b/>
          <w:bCs/>
          <w:i/>
        </w:rPr>
        <w:t>,</w:t>
      </w:r>
      <w:r w:rsidRPr="009C46CC">
        <w:rPr>
          <w:b/>
          <w:bCs/>
        </w:rPr>
        <w:t xml:space="preserve"> </w:t>
      </w:r>
      <w:r w:rsidRPr="009C46CC">
        <w:t>har vi granskat om det är vanligt att statliga IT-utvecklingsprojekt överskrider sin budget. Granskningen visar att en tredjedel av IT-projekten som avslutades 2009 haft sådana problem. Risken för problem är större i de stora projekten som uppvisar ett betydligt större genomsnittligt procentuellt budgetöverskr</w:t>
      </w:r>
      <w:r w:rsidRPr="009C46CC">
        <w:t>i</w:t>
      </w:r>
      <w:r w:rsidRPr="009C46CC">
        <w:t>dande. Om budget, tidsplan och utlovade leveranser inte hålls kan förbättrin</w:t>
      </w:r>
      <w:r w:rsidRPr="009C46CC">
        <w:t>g</w:t>
      </w:r>
      <w:r w:rsidRPr="009C46CC">
        <w:t xml:space="preserve">ar av berörda verksamheter utebli eller försenas. Det kan också leda till att andra utvecklingsprojekt nedprioriteras. Orsakerna till problemen är sedan tidigare väl kända. Det handlar om brister i beställarkompetens och i styrning av projekten och att erfarenheter från andra IT-projekt inte utnyttjas. </w:t>
      </w:r>
    </w:p>
    <w:p w:rsidR="001547A4" w:rsidRPr="009C46CC" w:rsidRDefault="001547A4" w:rsidP="001547A4">
      <w:pPr>
        <w:pStyle w:val="Normaltindrag"/>
      </w:pPr>
      <w:r w:rsidRPr="009C46CC">
        <w:t>Vi gör dessutom bedömningen att myndigheterna kommer att driva fler och mer komplexa och kunskapskrävande IT-projekt framöver. Det ökar kraven på myndigheternas förmåga att driva IT-projekt. Det ska dock fra</w:t>
      </w:r>
      <w:r w:rsidRPr="009C46CC">
        <w:t>m</w:t>
      </w:r>
      <w:r w:rsidRPr="009C46CC">
        <w:t>hållas att det på många håll pågår ett utvecklingsarbete i denna riktning.</w:t>
      </w:r>
    </w:p>
    <w:p w:rsidR="001547A4" w:rsidRPr="009C46CC" w:rsidRDefault="001547A4" w:rsidP="001547A4">
      <w:pPr>
        <w:pStyle w:val="Normaltindrag"/>
      </w:pPr>
      <w:r w:rsidRPr="009C46CC">
        <w:t xml:space="preserve">Den gemensamma slutsatsen i våra rapporter är att regeringens styrning av </w:t>
      </w:r>
      <w:r w:rsidRPr="009C46CC">
        <w:br/>
        <w:t>e-förvaltningen kännetecknats av passivitet och otydlighet. Regeringen har därmed inte tagit ett samlat grepp i frågan om e-förvaltningens utveckling. Riksrevisionen noterar dock att E-delegationen, på uppdrag av regeringen, har lämnat flera förslag på hur arbetet med e-förvaltningen kan effektiviseras. Till exempel har E-delegationen redovisat nya former för hur viktiga samverkan</w:t>
      </w:r>
      <w:r w:rsidRPr="009C46CC">
        <w:t>s</w:t>
      </w:r>
      <w:r w:rsidRPr="009C46CC">
        <w:t xml:space="preserve">projekt mellan myndigheter kan rapportera hinder för IT-investeringar. E-delegationen berör också flera av de brister i </w:t>
      </w:r>
      <w:r w:rsidRPr="009C46CC">
        <w:br/>
        <w:t>e-legitimationssystemet som Riksrevisionen lyfter fram. E-delegationens förslag har tillsammans med våra granskningsrapporter på området gett rege</w:t>
      </w:r>
      <w:r w:rsidRPr="009C46CC">
        <w:t>r</w:t>
      </w:r>
      <w:r w:rsidRPr="009C46CC">
        <w:t xml:space="preserve">ingen bättre förutsättningar för att åstadkomma en effektiv </w:t>
      </w:r>
      <w:r w:rsidRPr="009C46CC">
        <w:br/>
        <w:t xml:space="preserve">e-förvaltning.  </w:t>
      </w:r>
    </w:p>
    <w:p w:rsidR="001547A4" w:rsidRPr="009C46CC" w:rsidRDefault="001547A4" w:rsidP="00DA052C">
      <w:pPr>
        <w:pStyle w:val="Normaltindrag"/>
      </w:pPr>
      <w:r w:rsidRPr="009C46CC">
        <w:t>Kapitlet bygger på iakttagelser i följande granskningar:</w:t>
      </w:r>
    </w:p>
    <w:p w:rsidR="001547A4" w:rsidRPr="009C46CC" w:rsidRDefault="001547A4" w:rsidP="00DA052C">
      <w:pPr>
        <w:pStyle w:val="Normaltindrag"/>
        <w:numPr>
          <w:ilvl w:val="0"/>
          <w:numId w:val="12"/>
        </w:numPr>
        <w:spacing w:before="125"/>
        <w:ind w:left="357" w:hanging="357"/>
      </w:pPr>
      <w:r w:rsidRPr="009C46CC">
        <w:t>IT-investeringar över gränserna (RiR 2009:18)</w:t>
      </w:r>
    </w:p>
    <w:p w:rsidR="001547A4" w:rsidRPr="009C46CC" w:rsidRDefault="001547A4" w:rsidP="001547A4">
      <w:pPr>
        <w:pStyle w:val="Normaltindrag"/>
        <w:numPr>
          <w:ilvl w:val="0"/>
          <w:numId w:val="12"/>
        </w:numPr>
      </w:pPr>
      <w:r w:rsidRPr="009C46CC">
        <w:t>E-legitimation – en underutnyttjad resurs (RiR 2009:19)</w:t>
      </w:r>
    </w:p>
    <w:p w:rsidR="001547A4" w:rsidRPr="009C46CC" w:rsidRDefault="001547A4" w:rsidP="001547A4">
      <w:pPr>
        <w:pStyle w:val="Normaltindrag"/>
        <w:numPr>
          <w:ilvl w:val="0"/>
          <w:numId w:val="12"/>
        </w:numPr>
      </w:pPr>
      <w:r w:rsidRPr="009C46CC">
        <w:t>Informationsutbyte mellan myndigheter med ansvar för trygghetssystem (RiR 2010:18)</w:t>
      </w:r>
    </w:p>
    <w:p w:rsidR="001547A4" w:rsidRPr="009C46CC" w:rsidRDefault="001547A4" w:rsidP="001547A4">
      <w:pPr>
        <w:pStyle w:val="Normaltindrag"/>
        <w:numPr>
          <w:ilvl w:val="0"/>
          <w:numId w:val="12"/>
        </w:numPr>
      </w:pPr>
      <w:r w:rsidRPr="009C46CC">
        <w:t>IT inom statsförvaltningen – Har myndigheterna på ett rimligt sätt prövat frågan om outsourcing bidrar till ökad effektivitet? (RiR 2011:4)</w:t>
      </w:r>
    </w:p>
    <w:p w:rsidR="00DA052C" w:rsidRPr="009C46CC" w:rsidRDefault="001547A4" w:rsidP="001547A4">
      <w:pPr>
        <w:pStyle w:val="Normaltindrag"/>
        <w:numPr>
          <w:ilvl w:val="0"/>
          <w:numId w:val="12"/>
        </w:numPr>
      </w:pPr>
      <w:r w:rsidRPr="009C46CC">
        <w:t>Statliga IT-projekt som överskrider budget (RiR 2011:5)</w:t>
      </w:r>
      <w:r w:rsidR="00DC71DA" w:rsidRPr="009C46CC">
        <w:t xml:space="preserve"> </w:t>
      </w:r>
    </w:p>
    <w:p w:rsidR="00DA052C" w:rsidRPr="009C46CC" w:rsidRDefault="00DA052C" w:rsidP="00DA052C">
      <w:pPr>
        <w:pStyle w:val="Normaltindrag"/>
      </w:pPr>
    </w:p>
    <w:p w:rsidR="00DA052C" w:rsidRPr="009C46CC" w:rsidRDefault="00DA052C" w:rsidP="00DA052C">
      <w:pPr>
        <w:pStyle w:val="Normaltindrag"/>
        <w:sectPr w:rsidR="00DA052C" w:rsidRPr="009C46CC" w:rsidSect="00B9317A">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547A4" w:rsidRPr="009C46CC" w:rsidRDefault="001547A4" w:rsidP="001547A4">
      <w:pPr>
        <w:pStyle w:val="Rubrik1"/>
        <w:rPr>
          <w:noProof w:val="0"/>
        </w:rPr>
      </w:pPr>
      <w:bookmarkStart w:id="25" w:name="_Toc293393613"/>
      <w:bookmarkStart w:id="26" w:name="_Toc293647902"/>
      <w:r w:rsidRPr="009C46CC">
        <w:rPr>
          <w:noProof w:val="0"/>
        </w:rPr>
        <w:t>Den årliga revisionen - våra viktigaste iakttagelser</w:t>
      </w:r>
      <w:bookmarkEnd w:id="25"/>
      <w:bookmarkEnd w:id="26"/>
      <w:r w:rsidRPr="009C46CC">
        <w:rPr>
          <w:noProof w:val="0"/>
        </w:rPr>
        <w:t xml:space="preserve"> </w:t>
      </w:r>
    </w:p>
    <w:p w:rsidR="001547A4" w:rsidRPr="009C46CC" w:rsidRDefault="001547A4" w:rsidP="00DA052C">
      <w:pPr>
        <w:pStyle w:val="Rubrik2"/>
        <w:spacing w:before="360"/>
      </w:pPr>
      <w:bookmarkStart w:id="27" w:name="_Toc293393614"/>
      <w:bookmarkStart w:id="28" w:name="_Toc293647903"/>
      <w:r w:rsidRPr="009C46CC">
        <w:t>Revisionen av 2010 års årsredovisningar</w:t>
      </w:r>
      <w:bookmarkEnd w:id="27"/>
      <w:bookmarkEnd w:id="28"/>
      <w:r w:rsidRPr="009C46CC">
        <w:t xml:space="preserve"> </w:t>
      </w:r>
    </w:p>
    <w:p w:rsidR="001547A4" w:rsidRPr="009C46CC" w:rsidRDefault="001547A4" w:rsidP="001547A4">
      <w:r w:rsidRPr="009C46CC">
        <w:t>I november 2010 togs beslut om nya internationella standarder för revision vid en kongress för nationella revisionsmyndigheter inom samarbetsorganis</w:t>
      </w:r>
      <w:r w:rsidRPr="009C46CC">
        <w:t>a</w:t>
      </w:r>
      <w:r w:rsidRPr="009C46CC">
        <w:t>tionen Intosai. Riksrevisionen har för den årliga revisionen under 2010 påbö</w:t>
      </w:r>
      <w:r w:rsidRPr="009C46CC">
        <w:t>r</w:t>
      </w:r>
      <w:r w:rsidRPr="009C46CC">
        <w:t>jat en anpassning till dessa nya standarder. Dessa utgår från internationella standarder för privat revision vilka har anpassats till revision inom offentlig sektor. Anpassningen till de internationella standarderna genomförs för närv</w:t>
      </w:r>
      <w:r w:rsidRPr="009C46CC">
        <w:t>a</w:t>
      </w:r>
      <w:r w:rsidRPr="009C46CC">
        <w:t xml:space="preserve">rande för både privat och statlig revision i Sverige liksom i många andra länder. </w:t>
      </w:r>
    </w:p>
    <w:p w:rsidR="001547A4" w:rsidRPr="009C46CC" w:rsidRDefault="001547A4" w:rsidP="001547A4">
      <w:pPr>
        <w:pStyle w:val="Normaltindrag"/>
        <w:rPr>
          <w:b/>
        </w:rPr>
      </w:pPr>
      <w:r w:rsidRPr="009C46CC">
        <w:t>Övergången till nya standarder innebär i viss mån nya krav på innehållet i revisionsarbetet men också att revisorn och myndighetsledningen har en tidigare och tydligare kommunikation om bland annat eventuella fel och brister. Detta har i vissa fall gett myndigheterna större möjligheter att rätta sina årsredovisningar så att de därmed blir rättvisande. För de granskade myndigheterna har anpassningen även inneburit en förändring genom att Riksrevisionen nu begär ett skriftligt uttalande från myndighetens ledning som bland annat omfattar att myndigheten lämnat ”all den information som behövs för revisionen”. Vi har förståelse för att denna nyordning väckt frågor hos myndigheterna.</w:t>
      </w:r>
      <w:r w:rsidRPr="009C46CC">
        <w:rPr>
          <w:b/>
        </w:rPr>
        <w:t xml:space="preserve"> </w:t>
      </w:r>
    </w:p>
    <w:p w:rsidR="00D64448" w:rsidRPr="009C46CC" w:rsidRDefault="001547A4" w:rsidP="001547A4">
      <w:pPr>
        <w:pStyle w:val="Normaltindrag"/>
      </w:pPr>
      <w:r w:rsidRPr="009C46CC">
        <w:t>Vissa begrepp i revisionsberättelsen har också ändrats. Begreppet rev</w:t>
      </w:r>
      <w:r w:rsidRPr="009C46CC">
        <w:t>i</w:t>
      </w:r>
      <w:r w:rsidRPr="009C46CC">
        <w:t xml:space="preserve">sionsberättelse med invändning har ersatts med </w:t>
      </w:r>
      <w:r w:rsidRPr="009C46CC">
        <w:rPr>
          <w:i/>
        </w:rPr>
        <w:t>revisionsberättelse med mod</w:t>
      </w:r>
      <w:r w:rsidRPr="009C46CC">
        <w:rPr>
          <w:i/>
        </w:rPr>
        <w:t>i</w:t>
      </w:r>
      <w:r w:rsidRPr="009C46CC">
        <w:rPr>
          <w:i/>
        </w:rPr>
        <w:t>fierat uttalande</w:t>
      </w:r>
      <w:r w:rsidRPr="009C46CC">
        <w:t xml:space="preserve"> i form av reservation respektive avvikande mening. Revisorn uttalar sig med </w:t>
      </w:r>
      <w:r w:rsidRPr="009C46CC">
        <w:rPr>
          <w:i/>
        </w:rPr>
        <w:t>reservation</w:t>
      </w:r>
      <w:r w:rsidRPr="009C46CC">
        <w:t xml:space="preserve"> när det finns väsentliga fel, men som inte är g</w:t>
      </w:r>
      <w:r w:rsidRPr="009C46CC">
        <w:t>e</w:t>
      </w:r>
      <w:r w:rsidRPr="009C46CC">
        <w:t>nomgripande för årsredovisningen. En reservation lämnas också när rev</w:t>
      </w:r>
      <w:r w:rsidRPr="009C46CC">
        <w:t>i</w:t>
      </w:r>
      <w:r w:rsidRPr="009C46CC">
        <w:t xml:space="preserve">sorn inte kunnat inhämta tillräckliga och ändamålsenliga revisionsbevis, men drar slutsatsen att möjliga fel inte är genomgripande. Revisorn uttalar sig med </w:t>
      </w:r>
      <w:r w:rsidRPr="009C46CC">
        <w:rPr>
          <w:i/>
        </w:rPr>
        <w:t xml:space="preserve">avvikande mening </w:t>
      </w:r>
      <w:r w:rsidRPr="009C46CC">
        <w:t>när det finns väsentliga och genomgripande fel som inn</w:t>
      </w:r>
      <w:r w:rsidRPr="009C46CC">
        <w:t>e</w:t>
      </w:r>
      <w:r w:rsidRPr="009C46CC">
        <w:t xml:space="preserve">bär att årsredovisningen som helhet inte ger en rättvisande bild. </w:t>
      </w:r>
    </w:p>
    <w:p w:rsidR="001547A4" w:rsidRPr="009C46CC" w:rsidRDefault="001547A4" w:rsidP="001547A4">
      <w:pPr>
        <w:pStyle w:val="Normaltindrag"/>
      </w:pPr>
      <w:r w:rsidRPr="009C46CC">
        <w:t>I likhet med tidigare kan Riksrevisionen också lyfta fram särskilt viktig i</w:t>
      </w:r>
      <w:r w:rsidRPr="009C46CC">
        <w:t>n</w:t>
      </w:r>
      <w:r w:rsidRPr="009C46CC">
        <w:t xml:space="preserve">formation genom att lämna en så kallad upplysning i revisionsberättelsen.  </w:t>
      </w:r>
    </w:p>
    <w:p w:rsidR="00D64448" w:rsidRPr="009C46CC" w:rsidRDefault="001547A4" w:rsidP="00D64448">
      <w:pPr>
        <w:pStyle w:val="Normaltindrag"/>
      </w:pPr>
      <w:r w:rsidRPr="009C46CC">
        <w:t>För 2010 har Riksrevisionen lämnat två revisionsberättelser med ett mod</w:t>
      </w:r>
      <w:r w:rsidRPr="009C46CC">
        <w:t>i</w:t>
      </w:r>
      <w:r w:rsidRPr="009C46CC">
        <w:t>fierat uttalande i revisionsberättelsen (tidigare kallad invändning).  Som jä</w:t>
      </w:r>
      <w:r w:rsidRPr="009C46CC">
        <w:t>m</w:t>
      </w:r>
      <w:r w:rsidRPr="009C46CC">
        <w:t xml:space="preserve">förelse lämnades tolv invändningar i revisionsberättelserna för 2009 och fem 2008. </w:t>
      </w:r>
    </w:p>
    <w:p w:rsidR="001547A4" w:rsidRPr="009C46CC" w:rsidRDefault="001547A4" w:rsidP="00D64448">
      <w:pPr>
        <w:pStyle w:val="Normaltindrag"/>
      </w:pPr>
      <w:r w:rsidRPr="009C46CC">
        <w:t>Samtliga revisionsrapporter kan läsas i sin helhet på www.riksrevisionen.se</w:t>
      </w:r>
    </w:p>
    <w:p w:rsidR="001547A4" w:rsidRPr="009C46CC" w:rsidRDefault="001547A4" w:rsidP="001547A4">
      <w:pPr>
        <w:pStyle w:val="Rubrik2"/>
      </w:pPr>
      <w:bookmarkStart w:id="29" w:name="_Toc293393615"/>
      <w:bookmarkStart w:id="30" w:name="_Toc293647904"/>
      <w:r w:rsidRPr="009C46CC">
        <w:t>Myndigheter med modifierat uttalande</w:t>
      </w:r>
      <w:bookmarkEnd w:id="29"/>
      <w:bookmarkEnd w:id="30"/>
    </w:p>
    <w:p w:rsidR="001547A4" w:rsidRPr="009C46CC" w:rsidRDefault="001547A4" w:rsidP="001547A4">
      <w:r w:rsidRPr="009C46CC">
        <w:t>För två myndigheter har Riksrevisionen lämnat ett modifierat uttalande i form av en reservation i revisionsberättelsen, vilket innebär att vi bedömer att årsredovisningen inte i allt väsentligt ger en rättvisande bild.</w:t>
      </w:r>
    </w:p>
    <w:p w:rsidR="001547A4" w:rsidRPr="009C46CC" w:rsidRDefault="001547A4" w:rsidP="00197FD6">
      <w:pPr>
        <w:pStyle w:val="R3"/>
      </w:pPr>
      <w:r w:rsidRPr="009C46CC">
        <w:t>Naturhistoriska riksmuseet</w:t>
      </w:r>
    </w:p>
    <w:p w:rsidR="001547A4" w:rsidRPr="009C46CC" w:rsidRDefault="001547A4" w:rsidP="001547A4">
      <w:r w:rsidRPr="009C46CC">
        <w:t>Naturhistoriska riksmuseet har inte kostnadsfört och anslagsavräknat</w:t>
      </w:r>
      <w:r w:rsidRPr="009C46CC" w:rsidDel="007233B9">
        <w:t xml:space="preserve"> </w:t>
      </w:r>
      <w:r w:rsidRPr="009C46CC">
        <w:t>proje</w:t>
      </w:r>
      <w:r w:rsidRPr="009C46CC">
        <w:t>k</w:t>
      </w:r>
      <w:r w:rsidRPr="009C46CC">
        <w:t>teringskostnader för ombyggnad av lokaler om 5,4 miljoner kronor. Detta borde ha gjorts, eftersom det är osannolikt att projekteringen har något värde i framtiden. En anslagsavräkning hade medfört att den beviljade anslagskred</w:t>
      </w:r>
      <w:r w:rsidRPr="009C46CC">
        <w:t>i</w:t>
      </w:r>
      <w:r w:rsidRPr="009C46CC">
        <w:t>ten skulle ha överskridits.</w:t>
      </w:r>
    </w:p>
    <w:p w:rsidR="001547A4" w:rsidRPr="009C46CC" w:rsidRDefault="001547A4" w:rsidP="00197FD6">
      <w:pPr>
        <w:pStyle w:val="R3"/>
      </w:pPr>
      <w:r w:rsidRPr="009C46CC">
        <w:t>Statens beredning för medicinsk utvärdering</w:t>
      </w:r>
    </w:p>
    <w:p w:rsidR="001547A4" w:rsidRPr="009C46CC" w:rsidRDefault="001547A4" w:rsidP="001547A4">
      <w:r w:rsidRPr="009C46CC">
        <w:t>Statens beredning för medicinsk utvärdering har belastat anslaget med kos</w:t>
      </w:r>
      <w:r w:rsidRPr="009C46CC">
        <w:t>t</w:t>
      </w:r>
      <w:r w:rsidRPr="009C46CC">
        <w:t>nader för projekt i stället för att använda bidragsmedel. Därmed redovisas ett för lågt anslagssparande om cirka 2,5 miljoner kronor.</w:t>
      </w:r>
    </w:p>
    <w:p w:rsidR="001547A4" w:rsidRPr="009C46CC" w:rsidRDefault="001547A4" w:rsidP="001547A4">
      <w:pPr>
        <w:pStyle w:val="Rubrik2"/>
      </w:pPr>
      <w:bookmarkStart w:id="31" w:name="_Toc293393616"/>
      <w:bookmarkStart w:id="32" w:name="_Toc293647905"/>
      <w:r w:rsidRPr="009C46CC">
        <w:t>Myndigheter med upplysning i revisionsberättelsen</w:t>
      </w:r>
      <w:bookmarkEnd w:id="31"/>
      <w:bookmarkEnd w:id="32"/>
    </w:p>
    <w:p w:rsidR="001547A4" w:rsidRPr="009C46CC" w:rsidRDefault="001547A4" w:rsidP="001547A4">
      <w:r w:rsidRPr="009C46CC">
        <w:t xml:space="preserve">I revisionsberättelsen kan Riksrevisionen lämna en så kallad </w:t>
      </w:r>
      <w:r w:rsidRPr="009C46CC">
        <w:rPr>
          <w:i/>
        </w:rPr>
        <w:t>upplysning av särskild betydelse</w:t>
      </w:r>
      <w:r w:rsidRPr="009C46CC">
        <w:t>. I upplysningen hänvisar vi till vad myndigheten skrivit i sin årsredovisning för att särskilt uppmärksamma läsaren på detta. Upply</w:t>
      </w:r>
      <w:r w:rsidRPr="009C46CC">
        <w:t>s</w:t>
      </w:r>
      <w:r w:rsidRPr="009C46CC">
        <w:t xml:space="preserve">ningen kan gälla vad vi bedömer vara väsentlig information som är viktig för att läsaren ska få en riktig förståelse för årsredovisningen. Det kan ibland även finnas anledning att i en så kallad </w:t>
      </w:r>
      <w:r w:rsidRPr="009C46CC">
        <w:rPr>
          <w:i/>
        </w:rPr>
        <w:t>övrig upplysning</w:t>
      </w:r>
      <w:r w:rsidRPr="009C46CC">
        <w:t xml:space="preserve"> upplysa läsaren om särskilda förutsättningar för revisionen, exempelvis att viss information i årsredovisningen inte ingått i granskningen. I samband med en upplysning skriver vi i revisionsberättelsen att detta inte är ett uttalande med reservation, det vill säga ingen invändning, för att det ska vara tydligt för en läsare av revisionsberättelsen. I årets granskning har upplysningar lämnats i fyra rev</w:t>
      </w:r>
      <w:r w:rsidRPr="009C46CC">
        <w:t>i</w:t>
      </w:r>
      <w:r w:rsidRPr="009C46CC">
        <w:t xml:space="preserve">sionsberättelser: </w:t>
      </w:r>
    </w:p>
    <w:p w:rsidR="001547A4" w:rsidRPr="009C46CC" w:rsidRDefault="001547A4" w:rsidP="00197FD6">
      <w:pPr>
        <w:pStyle w:val="R3"/>
      </w:pPr>
      <w:r w:rsidRPr="009C46CC">
        <w:t>Försvarets materielverk och Försvarsmakten</w:t>
      </w:r>
    </w:p>
    <w:p w:rsidR="001547A4" w:rsidRPr="009C46CC" w:rsidRDefault="001547A4" w:rsidP="001547A4">
      <w:r w:rsidRPr="009C46CC">
        <w:t xml:space="preserve">Försvarets materielverk och Försvarsmakten har fått en upplysning i sina respektive revisionsberättelser. Upplysningen handlar om att uppmärksamma läsaren på att justeringar har skett av vissa leveransplaner för försvarsmateriel i avtal mellan myndigheterna. Detta för att minska risken för överutnyttjande av anslag 2012–2013.  </w:t>
      </w:r>
    </w:p>
    <w:p w:rsidR="001547A4" w:rsidRPr="009C46CC" w:rsidRDefault="001547A4" w:rsidP="00197FD6">
      <w:pPr>
        <w:pStyle w:val="R3"/>
      </w:pPr>
      <w:r w:rsidRPr="009C46CC">
        <w:t>Styrelsen för internationellt utvecklingssamarbete – Sida</w:t>
      </w:r>
    </w:p>
    <w:p w:rsidR="001547A4" w:rsidRPr="009C46CC" w:rsidRDefault="001547A4" w:rsidP="001547A4">
      <w:r w:rsidRPr="009C46CC">
        <w:t>Sida har i årsredovisningen beskrivit brister i sin interna styrning och kontroll. Detta vill Riksrevisionen fästa läsarens uppmärksamhet på, genom att lämna följande upplysning:</w:t>
      </w:r>
    </w:p>
    <w:p w:rsidR="001547A4" w:rsidRPr="009C46CC" w:rsidRDefault="001547A4" w:rsidP="001547A4">
      <w:r w:rsidRPr="009C46CC">
        <w:t>”Riksrevisionen vill fästa uppmärksamhet på sidorna 144 samt 82–88 i årsredovisning som beskriver brister i Sidas interna styrning och kontroll inom tre områden:</w:t>
      </w:r>
    </w:p>
    <w:p w:rsidR="001547A4" w:rsidRPr="009C46CC" w:rsidRDefault="001547A4" w:rsidP="00DA052C">
      <w:pPr>
        <w:numPr>
          <w:ilvl w:val="0"/>
          <w:numId w:val="6"/>
        </w:numPr>
        <w:spacing w:before="125"/>
        <w:ind w:left="357" w:hanging="357"/>
        <w:jc w:val="left"/>
      </w:pPr>
      <w:r w:rsidRPr="009C46CC">
        <w:t>Väsentliga delar av förordning om intern styrning och kontroll har ännu inte implementerats i Sidas verksamhet och processer.</w:t>
      </w:r>
    </w:p>
    <w:p w:rsidR="001547A4" w:rsidRPr="009C46CC" w:rsidRDefault="001547A4" w:rsidP="00DA052C">
      <w:pPr>
        <w:numPr>
          <w:ilvl w:val="0"/>
          <w:numId w:val="6"/>
        </w:numPr>
        <w:spacing w:before="0"/>
        <w:ind w:left="357" w:hanging="357"/>
        <w:jc w:val="left"/>
      </w:pPr>
      <w:r w:rsidRPr="009C46CC">
        <w:t>Sidas interna regelverk är bristfälligt.</w:t>
      </w:r>
    </w:p>
    <w:p w:rsidR="001547A4" w:rsidRPr="009C46CC" w:rsidRDefault="001547A4" w:rsidP="00DA052C">
      <w:pPr>
        <w:numPr>
          <w:ilvl w:val="0"/>
          <w:numId w:val="6"/>
        </w:numPr>
        <w:spacing w:before="0"/>
        <w:ind w:left="357" w:hanging="357"/>
        <w:jc w:val="left"/>
      </w:pPr>
      <w:r w:rsidRPr="009C46CC">
        <w:t>Vid hantering av biståndsinsatser föreligger brister vad gäller rev</w:t>
      </w:r>
      <w:r w:rsidRPr="009C46CC">
        <w:t>i</w:t>
      </w:r>
      <w:r w:rsidRPr="009C46CC">
        <w:t>sion som kontrollmetod, riskanalyser, kontrollåtgärder, uppföljning och d</w:t>
      </w:r>
      <w:r w:rsidRPr="009C46CC">
        <w:t>o</w:t>
      </w:r>
      <w:r w:rsidRPr="009C46CC">
        <w:t xml:space="preserve">kumentation. </w:t>
      </w:r>
    </w:p>
    <w:p w:rsidR="001547A4" w:rsidRPr="009C46CC" w:rsidRDefault="001547A4" w:rsidP="00DA052C">
      <w:pPr>
        <w:spacing w:before="125"/>
      </w:pPr>
      <w:r w:rsidRPr="009C46CC">
        <w:rPr>
          <w:i/>
        </w:rPr>
        <w:t>Riksrevisionen bedömer att årsredovisningen därigenom är i allt väsentligt rättvisande och uttalar sig därför inte med reservation i detta avseende.”</w:t>
      </w:r>
    </w:p>
    <w:p w:rsidR="001547A4" w:rsidRPr="009C46CC" w:rsidRDefault="001547A4" w:rsidP="00197FD6">
      <w:pPr>
        <w:pStyle w:val="R3"/>
      </w:pPr>
      <w:r w:rsidRPr="009C46CC">
        <w:t>Pensionsmyndigheten</w:t>
      </w:r>
    </w:p>
    <w:p w:rsidR="001547A4" w:rsidRPr="009C46CC" w:rsidRDefault="001547A4" w:rsidP="001547A4">
      <w:pPr>
        <w:rPr>
          <w:i/>
        </w:rPr>
      </w:pPr>
      <w:r w:rsidRPr="009C46CC">
        <w:t>Pensionsmyndigheten har fått en revisionsberättelse med två övriga upply</w:t>
      </w:r>
      <w:r w:rsidRPr="009C46CC">
        <w:t>s</w:t>
      </w:r>
      <w:r w:rsidRPr="009C46CC">
        <w:t>ningar om förutsättningar för vår revision av årsredovisningen. Upplysningen pekar dels på att myndigheten delvis tillämpar ett annat regelverk för årsred</w:t>
      </w:r>
      <w:r w:rsidRPr="009C46CC">
        <w:t>o</w:t>
      </w:r>
      <w:r w:rsidRPr="009C46CC">
        <w:t>visningen, dels att årsredovisningen innehåller information som inte granskats av Riksrevisionen eftersom informationen kommer från AP-fonderna som inte granskas av Riksrevisionen.</w:t>
      </w:r>
    </w:p>
    <w:p w:rsidR="001547A4" w:rsidRPr="009C46CC" w:rsidRDefault="001547A4" w:rsidP="001547A4">
      <w:pPr>
        <w:pStyle w:val="Rubrik2"/>
      </w:pPr>
      <w:bookmarkStart w:id="33" w:name="_Toc293393617"/>
      <w:bookmarkStart w:id="34" w:name="_Toc293647906"/>
      <w:r w:rsidRPr="009C46CC">
        <w:t>Resultatredovisning i årsredovisningarna</w:t>
      </w:r>
      <w:bookmarkEnd w:id="33"/>
      <w:bookmarkEnd w:id="34"/>
    </w:p>
    <w:p w:rsidR="001547A4" w:rsidRPr="009C46CC" w:rsidRDefault="001547A4" w:rsidP="001547A4">
      <w:r w:rsidRPr="009C46CC">
        <w:t>Myndigheternas årsredovisning består av två delar, den finansiella redovi</w:t>
      </w:r>
      <w:r w:rsidRPr="009C46CC">
        <w:t>s</w:t>
      </w:r>
      <w:r w:rsidRPr="009C46CC">
        <w:t>ningen och resultatredovisningen. In</w:t>
      </w:r>
      <w:r w:rsidRPr="009C46CC">
        <w:softHyphen/>
        <w:t>för verksamhetsåret 2009 införde rege</w:t>
      </w:r>
      <w:r w:rsidRPr="009C46CC">
        <w:t>r</w:t>
      </w:r>
      <w:r w:rsidRPr="009C46CC">
        <w:t>ingen en föränd</w:t>
      </w:r>
      <w:r w:rsidRPr="009C46CC">
        <w:softHyphen/>
        <w:t>ring av kraven på resultatredovisningen. Myndigheterna ska nu redovisa och kommentera verksamhetens resultat i första hand i förhålla</w:t>
      </w:r>
      <w:r w:rsidRPr="009C46CC">
        <w:t>n</w:t>
      </w:r>
      <w:r w:rsidRPr="009C46CC">
        <w:t xml:space="preserve">de till de uppgifter som framgår av myndighetens instruktion. Därutöver ska rapportering ske utifrån regleringsbrev eller annat beslut. Myndigheten ska främst redovisa hur verksamhetens prestationer har utvecklats med avseende på volym och kostnader.  </w:t>
      </w:r>
    </w:p>
    <w:p w:rsidR="001547A4" w:rsidRPr="009C46CC" w:rsidRDefault="001547A4" w:rsidP="001547A4">
      <w:pPr>
        <w:pStyle w:val="Normaltindrag"/>
      </w:pPr>
      <w:r w:rsidRPr="009C46CC">
        <w:t>Förändringen innebär att regeringen i högre grad än tidigare låter myndi</w:t>
      </w:r>
      <w:r w:rsidRPr="009C46CC">
        <w:t>g</w:t>
      </w:r>
      <w:r w:rsidRPr="009C46CC">
        <w:t>heten välja vad som ska återrapporteras. Oavsett hur myndigheten väljer att göra, gäller den övergripande principen att årsredovisningen ska ge en rät</w:t>
      </w:r>
      <w:r w:rsidRPr="009C46CC">
        <w:t>t</w:t>
      </w:r>
      <w:r w:rsidRPr="009C46CC">
        <w:t xml:space="preserve">visande bild. En förutsättning för att denna förändring ska få effekt är dock att regeringen minskar antalet mål och uppdrag i regleringsbreven. </w:t>
      </w:r>
    </w:p>
    <w:p w:rsidR="001547A4" w:rsidRPr="009C46CC" w:rsidRDefault="001547A4" w:rsidP="001547A4">
      <w:pPr>
        <w:pStyle w:val="Normaltindrag"/>
      </w:pPr>
      <w:r w:rsidRPr="009C46CC">
        <w:t>I Riksrevisorernas årliga rapport för 2009 sammanfattade vi den rapport</w:t>
      </w:r>
      <w:r w:rsidRPr="009C46CC">
        <w:t>e</w:t>
      </w:r>
      <w:r w:rsidRPr="009C46CC">
        <w:t>ring som gjorts till myndigheterna avseende resultatredovisningarna. Årets granskning visar att de nya kraven fortfarande inte fått fullt genomslag i r</w:t>
      </w:r>
      <w:r w:rsidRPr="009C46CC">
        <w:t>e</w:t>
      </w:r>
      <w:r w:rsidRPr="009C46CC">
        <w:t>gering</w:t>
      </w:r>
      <w:r w:rsidRPr="009C46CC">
        <w:softHyphen/>
        <w:t xml:space="preserve">ens styrning, även om en viss förbättring kan märkas jämfört med 2009. Regleringsbreven har anpassats olika mycket till det nya regelverket, på ett sätt som inte förklaras av att myndigheterna har olika uppgifter. Vissa regleringsbrev innehåller nästan inte några återrapporteringskrav alls, medan andra har många återrapporteringskrav. </w:t>
      </w:r>
    </w:p>
    <w:p w:rsidR="001547A4" w:rsidRPr="009C46CC" w:rsidRDefault="001547A4" w:rsidP="001547A4">
      <w:pPr>
        <w:pStyle w:val="Normaltindrag"/>
      </w:pPr>
      <w:r w:rsidRPr="009C46CC">
        <w:t>Det finns även variationer mellan myndigheterna i hur återrapporteringen har anpassats till de nya reglerna. För många myndigheter återstår en hel del arbete innan de uppfyller de nya kraven på resultatredovisningen. Vi har rapporterat brister muntligt, och i viss mån skriftligt, till många myndigheter. Bristerna överensstämmer i mycket med de som konstaterades förra året. De flesta myndigheterna har klarat av att redovisa volymuppgifter för valda prestationer. Däremot finns brister när det gäller att redovisa kostnader för de valda prestationerna. En orsak är att många myndigheter fortfarande inte kan få fram information om kostnader på prestationsnivå. Dessutom är det inte alltid lätt att mäta kostnaderna för vissa prestationer. Vissa myndigheter har även svårt att hitta relevanta prestationer. Riksrevisionens bedömning är dock att det, eftersom myndigheterna generellt sett har använt relevanta prestati</w:t>
      </w:r>
      <w:r w:rsidRPr="009C46CC">
        <w:t>o</w:t>
      </w:r>
      <w:r w:rsidRPr="009C46CC">
        <w:t>ner, inte finns något skäl till att rikta allvarlig kritik i revisionsberättelserna.</w:t>
      </w:r>
    </w:p>
    <w:p w:rsidR="001547A4" w:rsidRPr="009C46CC" w:rsidRDefault="001547A4" w:rsidP="001547A4">
      <w:pPr>
        <w:pStyle w:val="Rubrik2"/>
      </w:pPr>
      <w:bookmarkStart w:id="35" w:name="_Toc293393618"/>
      <w:bookmarkStart w:id="36" w:name="_Toc293647907"/>
      <w:r w:rsidRPr="009C46CC">
        <w:t>Förvaltningsutgifter på sakanslag</w:t>
      </w:r>
      <w:bookmarkEnd w:id="35"/>
      <w:bookmarkEnd w:id="36"/>
    </w:p>
    <w:p w:rsidR="001547A4" w:rsidRPr="009C46CC" w:rsidRDefault="001547A4" w:rsidP="001547A4">
      <w:r w:rsidRPr="009C46CC">
        <w:t>Många myndigheter finansieras både genom förvaltningsanslag och genom så kallat sakanslag. En princip som fastslagits av statsmakterna är att förval</w:t>
      </w:r>
      <w:r w:rsidRPr="009C46CC">
        <w:t>t</w:t>
      </w:r>
      <w:r w:rsidRPr="009C46CC">
        <w:t>ningsanslag för driften av myndigheterna, och sakanslag, bland annat för transfereringar, ska hållas åtskilda. Att skilja mellan förvaltningsutgifter å ena sidan och utgifter för lämnade bidrag och transfereringar (med flera sakutgi</w:t>
      </w:r>
      <w:r w:rsidRPr="009C46CC">
        <w:t>f</w:t>
      </w:r>
      <w:r w:rsidRPr="009C46CC">
        <w:t xml:space="preserve">ter) å andra sidan, är väsentligt för att upprätthålla transparens och en god utgiftskontroll inom staten. </w:t>
      </w:r>
    </w:p>
    <w:p w:rsidR="001547A4" w:rsidRPr="009C46CC" w:rsidRDefault="001547A4" w:rsidP="001547A4">
      <w:pPr>
        <w:pStyle w:val="Normaltindrag"/>
      </w:pPr>
      <w:r w:rsidRPr="009C46CC">
        <w:t>Enligt föreskrifter till anslagsförordningens 5 § ska, om regeringen inte har beslutat annat, en myndighets samtliga utgifter för verksamheten, inklusive utgifter för hantering av utbetalning av transfereringar, belasta myndighetens förvaltningsanslag.</w:t>
      </w:r>
    </w:p>
    <w:p w:rsidR="001547A4" w:rsidRPr="009C46CC" w:rsidRDefault="001547A4" w:rsidP="001547A4">
      <w:pPr>
        <w:pStyle w:val="Normaltindrag"/>
      </w:pPr>
      <w:r w:rsidRPr="009C46CC">
        <w:t xml:space="preserve"> I Riksrevisionens rapport </w:t>
      </w:r>
      <w:r w:rsidRPr="009C46CC">
        <w:rPr>
          <w:i/>
        </w:rPr>
        <w:t>Förvaltningsutgifter på sakanslag (RiR 2006:17)</w:t>
      </w:r>
      <w:r w:rsidRPr="009C46CC">
        <w:t xml:space="preserve"> framgick att regeringen då hade gett 55 av 100 granskade myndi</w:t>
      </w:r>
      <w:r w:rsidRPr="009C46CC">
        <w:t>g</w:t>
      </w:r>
      <w:r w:rsidRPr="009C46CC">
        <w:t xml:space="preserve">heter rätt att finansiera förvaltningsutgifter på sakanslag för totalt cirka 2,7 miljarder kronor, vilket motsvarade 8 procent av de förvaltningsanslag som dessa myndigheter då tilldelats. </w:t>
      </w:r>
    </w:p>
    <w:p w:rsidR="001547A4" w:rsidRPr="009C46CC" w:rsidRDefault="001547A4" w:rsidP="001547A4">
      <w:pPr>
        <w:pStyle w:val="Normaltindrag"/>
      </w:pPr>
      <w:r w:rsidRPr="009C46CC">
        <w:t>Riksrevisionen konstaterar att problemet med förvaltningsutgifter fortf</w:t>
      </w:r>
      <w:r w:rsidRPr="009C46CC">
        <w:t>a</w:t>
      </w:r>
      <w:r w:rsidRPr="009C46CC">
        <w:t xml:space="preserve">rande kvarstår för flera myndigheter. Förvaltningsanslaget är i dessa fall inte tillräckligt för att täcka kostnader för myndighetens administration av till exempel bidrag och annan verksamhet som ska finansieras av sakanslag. </w:t>
      </w:r>
    </w:p>
    <w:p w:rsidR="001547A4" w:rsidRPr="009C46CC" w:rsidRDefault="001547A4" w:rsidP="001547A4">
      <w:pPr>
        <w:pStyle w:val="Normaltindrag"/>
      </w:pPr>
      <w:r w:rsidRPr="009C46CC">
        <w:t xml:space="preserve">För vissa sakanslag finns tydligt angivet i regleringsbrevet att myndigheten får använda viss del för förvaltningskostnader som hänför sig till ändamålet för anslaget. För andra myndigheter är detta dock mer otydligt angivet. Så har konstaterats i Riksrevisionens rapporter till Statens kulturråd (dnr 32-2010-0775) respektive Statens konstråd (dnr 32-2010-0774). </w:t>
      </w:r>
    </w:p>
    <w:p w:rsidR="001547A4" w:rsidRPr="009C46CC" w:rsidRDefault="001547A4" w:rsidP="001547A4">
      <w:pPr>
        <w:pStyle w:val="Normaltindrag"/>
      </w:pPr>
      <w:r w:rsidRPr="009C46CC">
        <w:t>Man kan även skilja på två olika typer av sakanslag, dels de som avser medel som myndigheten ska transferera (det vill säga fördela till annan mo</w:t>
      </w:r>
      <w:r w:rsidRPr="009C46CC">
        <w:t>t</w:t>
      </w:r>
      <w:r w:rsidRPr="009C46CC">
        <w:t>tagare), dels sådana som ska finansiera verksamhet som bedrivs inom my</w:t>
      </w:r>
      <w:r w:rsidRPr="009C46CC">
        <w:t>n</w:t>
      </w:r>
      <w:r w:rsidRPr="009C46CC">
        <w:t>digheten. När det gäller sakanslag för transfereringar består problemet främst av att det ibland är otydligt om administrationen av dessa transfereringar får belasta sakanslaget, vilket ibland endast meddelats muntligen till myndigh</w:t>
      </w:r>
      <w:r w:rsidRPr="009C46CC">
        <w:t>e</w:t>
      </w:r>
      <w:r w:rsidRPr="009C46CC">
        <w:t xml:space="preserve">ten från departementshandläggare och därmed inte beslutats i giltig ordning. När det gäller sakanslag som ska finansiera del av verksamhet uppstår frågan om sakanslaget ska avse direkta kostnader eller även pålägg för så kallade overheadkostnader inom myndigheten, det vill säga kostnader som inte direkt är kopplade till den verksamhet som finansieras via sakanslaget. </w:t>
      </w:r>
    </w:p>
    <w:p w:rsidR="001547A4" w:rsidRPr="009C46CC" w:rsidRDefault="001547A4" w:rsidP="001547A4">
      <w:pPr>
        <w:pStyle w:val="Normaltindrag"/>
        <w:rPr>
          <w:spacing w:val="-4"/>
        </w:rPr>
      </w:pPr>
      <w:r w:rsidRPr="009C46CC">
        <w:rPr>
          <w:spacing w:val="-4"/>
        </w:rPr>
        <w:t>Riksrevisionen anser att regeringen bör vidta åtgärder så att de förvaltning</w:t>
      </w:r>
      <w:r w:rsidRPr="009C46CC">
        <w:rPr>
          <w:spacing w:val="-4"/>
        </w:rPr>
        <w:t>s</w:t>
      </w:r>
      <w:r w:rsidRPr="009C46CC">
        <w:rPr>
          <w:spacing w:val="-4"/>
        </w:rPr>
        <w:t>kostnader som i dag belastar sakanslag i stället ska täckas av myndigh</w:t>
      </w:r>
      <w:r w:rsidRPr="009C46CC">
        <w:rPr>
          <w:spacing w:val="-4"/>
        </w:rPr>
        <w:t>e</w:t>
      </w:r>
      <w:r w:rsidRPr="009C46CC">
        <w:rPr>
          <w:spacing w:val="-4"/>
        </w:rPr>
        <w:t>ternas förvaltningsanslag. Ett exempel på sådana kostnader är administration av transf</w:t>
      </w:r>
      <w:r w:rsidRPr="009C46CC">
        <w:rPr>
          <w:spacing w:val="-4"/>
        </w:rPr>
        <w:t>e</w:t>
      </w:r>
      <w:r w:rsidRPr="009C46CC">
        <w:rPr>
          <w:spacing w:val="-4"/>
        </w:rPr>
        <w:t>reringar. I de fall detta inte är möjligt är det viktigt att det tydligt framgår av vil</w:t>
      </w:r>
      <w:r w:rsidRPr="009C46CC">
        <w:rPr>
          <w:spacing w:val="-4"/>
        </w:rPr>
        <w:t>l</w:t>
      </w:r>
      <w:r w:rsidRPr="009C46CC">
        <w:rPr>
          <w:spacing w:val="-4"/>
        </w:rPr>
        <w:t>koren till sakanslag som avser transfereringar om och i vilken omfattning anslaget även ska täcka även förvaltningskostnader för att admin</w:t>
      </w:r>
      <w:r w:rsidRPr="009C46CC">
        <w:rPr>
          <w:spacing w:val="-4"/>
        </w:rPr>
        <w:t>i</w:t>
      </w:r>
      <w:r w:rsidRPr="009C46CC">
        <w:rPr>
          <w:spacing w:val="-4"/>
        </w:rPr>
        <w:t>strera transfereringarna. För sakanslag som avser att finansiera verksamhet inom myndigheten anser Rik</w:t>
      </w:r>
      <w:r w:rsidRPr="009C46CC">
        <w:rPr>
          <w:spacing w:val="-4"/>
        </w:rPr>
        <w:t>s</w:t>
      </w:r>
      <w:r w:rsidRPr="009C46CC">
        <w:rPr>
          <w:spacing w:val="-4"/>
        </w:rPr>
        <w:t>revisionen att villkoren tydligt bör ange om anslaget även ska täcka overhea</w:t>
      </w:r>
      <w:r w:rsidRPr="009C46CC">
        <w:rPr>
          <w:spacing w:val="-4"/>
        </w:rPr>
        <w:t>d</w:t>
      </w:r>
      <w:r w:rsidRPr="009C46CC">
        <w:rPr>
          <w:spacing w:val="-4"/>
        </w:rPr>
        <w:t>kostnader, som inte direkt är knutna till den verksamhet som finansieras via sa</w:t>
      </w:r>
      <w:r w:rsidRPr="009C46CC">
        <w:rPr>
          <w:spacing w:val="-4"/>
        </w:rPr>
        <w:t>k</w:t>
      </w:r>
      <w:r w:rsidRPr="009C46CC">
        <w:rPr>
          <w:spacing w:val="-4"/>
        </w:rPr>
        <w:t>anslaget. Problematiken är i stort sett densamma vad gäller bidrag från regeringen till myndigheten för att finansi</w:t>
      </w:r>
      <w:r w:rsidRPr="009C46CC">
        <w:rPr>
          <w:spacing w:val="-4"/>
        </w:rPr>
        <w:t>e</w:t>
      </w:r>
      <w:r w:rsidRPr="009C46CC">
        <w:rPr>
          <w:spacing w:val="-4"/>
        </w:rPr>
        <w:t>ra viss verksamhet.</w:t>
      </w:r>
    </w:p>
    <w:p w:rsidR="001547A4" w:rsidRPr="009C46CC" w:rsidRDefault="001547A4" w:rsidP="001547A4">
      <w:pPr>
        <w:pStyle w:val="Rubrik2"/>
      </w:pPr>
      <w:bookmarkStart w:id="37" w:name="_Toc293393619"/>
      <w:bookmarkStart w:id="38" w:name="_Toc293647908"/>
      <w:r w:rsidRPr="009C46CC">
        <w:t>Informationssäkerhet vid myndigheterna</w:t>
      </w:r>
      <w:bookmarkEnd w:id="37"/>
      <w:bookmarkEnd w:id="38"/>
    </w:p>
    <w:p w:rsidR="001547A4" w:rsidRPr="009C46CC" w:rsidRDefault="001547A4" w:rsidP="001547A4">
      <w:r w:rsidRPr="009C46CC">
        <w:t>Riksrevisionen har granskat informationssäkerheten vid ett antal myndigheter</w:t>
      </w:r>
      <w:r w:rsidRPr="009C46CC" w:rsidDel="002041F4">
        <w:t xml:space="preserve"> </w:t>
      </w:r>
      <w:r w:rsidRPr="009C46CC">
        <w:t>under ett flertal år, bland annat under 2010. Slutsatserna är att myndigheterna visserligen har byggt upp delar av ett ramverk för styrning av informationss</w:t>
      </w:r>
      <w:r w:rsidRPr="009C46CC">
        <w:t>ä</w:t>
      </w:r>
      <w:r w:rsidRPr="009C46CC">
        <w:t xml:space="preserve">kerhet, men att det finns brister jämfört med de föreskrifter och allmänna råd som tagits fram av Myndigheten för samhällsskydd och beredskap. </w:t>
      </w:r>
    </w:p>
    <w:p w:rsidR="001547A4" w:rsidRPr="009C46CC" w:rsidRDefault="001547A4" w:rsidP="001547A4">
      <w:pPr>
        <w:pStyle w:val="Normaltindrag"/>
      </w:pPr>
      <w:r w:rsidRPr="009C46CC">
        <w:t>Bristerna avser främst att den policy som finns vid myndigheten är otydlig vad gäller aspekter som rör informationssäkerhet. Vidare saknas ofta en u</w:t>
      </w:r>
      <w:r w:rsidRPr="009C46CC">
        <w:t>t</w:t>
      </w:r>
      <w:r w:rsidRPr="009C46CC">
        <w:t>sedd person som ansvarar för arbetet med informationssäkerhet. Ansvaret är ofta uppdelat på flera personer, vilket gör att ansvaret blir otydligt. Rutiner för behörighetsadministration, informationsklassning, kontinuitetsplanering och incidentövervakning är ofta inte kompletta eller dokumenterade. Därutöver bör den befintliga riskanalysen kompletteras med frågor som rör inform</w:t>
      </w:r>
      <w:r w:rsidRPr="009C46CC">
        <w:t>a</w:t>
      </w:r>
      <w:r w:rsidRPr="009C46CC">
        <w:t>tionssäkerhet. Baserat på riskanalysen bör myndigheterna upprätta en å</w:t>
      </w:r>
      <w:r w:rsidRPr="009C46CC">
        <w:t>t</w:t>
      </w:r>
      <w:r w:rsidRPr="009C46CC">
        <w:t>gärdsplan. Informationssäkerhetsarbetet bör dessutom följas upp löpande.</w:t>
      </w:r>
    </w:p>
    <w:p w:rsidR="001547A4" w:rsidRPr="009C46CC" w:rsidRDefault="001547A4" w:rsidP="001547A4">
      <w:pPr>
        <w:pStyle w:val="Normaltindrag"/>
      </w:pPr>
      <w:r w:rsidRPr="009C46CC">
        <w:t>Bristerna medför att myndighetsledningarna inte med tillräcklig säkerhet kan bedöma om samtliga väsentliga risker avseende informationshanteringen har omhändertagits, samt om arbetet med informationssäkerhet har bedrivits på ett kostnadseffektivt sätt.</w:t>
      </w:r>
    </w:p>
    <w:p w:rsidR="008069B4" w:rsidRPr="009C46CC" w:rsidRDefault="008069B4" w:rsidP="001547A4">
      <w:pPr>
        <w:pStyle w:val="Normaltindrag"/>
      </w:pPr>
    </w:p>
    <w:p w:rsidR="008069B4" w:rsidRPr="009C46CC" w:rsidRDefault="008069B4" w:rsidP="001547A4">
      <w:pPr>
        <w:pStyle w:val="Normaltindrag"/>
        <w:sectPr w:rsidR="008069B4" w:rsidRPr="009C46CC" w:rsidSect="00B9317A">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547A4" w:rsidRPr="009C46CC" w:rsidRDefault="001547A4" w:rsidP="001547A4">
      <w:pPr>
        <w:pStyle w:val="Rubrik1"/>
        <w:rPr>
          <w:noProof w:val="0"/>
        </w:rPr>
      </w:pPr>
      <w:bookmarkStart w:id="39" w:name="_Toc293393620"/>
      <w:bookmarkStart w:id="40" w:name="_Toc293647909"/>
      <w:r w:rsidRPr="009C46CC">
        <w:rPr>
          <w:noProof w:val="0"/>
        </w:rPr>
        <w:t>Effektivitetsrevisionens rapporter – våra viktigaste iakttagelser</w:t>
      </w:r>
      <w:bookmarkEnd w:id="39"/>
      <w:bookmarkEnd w:id="40"/>
    </w:p>
    <w:p w:rsidR="001547A4" w:rsidRPr="009C46CC" w:rsidRDefault="001547A4" w:rsidP="001547A4">
      <w:r w:rsidRPr="009C46CC">
        <w:t>Sedan vi publicerade vår årliga rapport</w:t>
      </w:r>
      <w:r w:rsidR="00ED0308" w:rsidRPr="009C46CC">
        <w:t xml:space="preserve"> 2010</w:t>
      </w:r>
      <w:r w:rsidRPr="009C46CC">
        <w:t xml:space="preserve"> har totalt 33 granskningsrappo</w:t>
      </w:r>
      <w:r w:rsidRPr="009C46CC">
        <w:t>r</w:t>
      </w:r>
      <w:r w:rsidRPr="009C46CC">
        <w:t xml:space="preserve">ter från effektivitetsrevisionen presenterats. I detta avsnitt redovisar vi de viktigaste iakttagelserna från dessa rapporter sorterat per riksdagsutskott. Det bör påpekas att Riksrevisionens effektivitetsrapporter i vissa fall kan beröra flera riksdagsutskott. Ett exempel är rapporten </w:t>
      </w:r>
      <w:r w:rsidRPr="009C46CC">
        <w:rPr>
          <w:i/>
        </w:rPr>
        <w:t>Svenska bidrag till internati</w:t>
      </w:r>
      <w:r w:rsidRPr="009C46CC">
        <w:rPr>
          <w:i/>
        </w:rPr>
        <w:t>o</w:t>
      </w:r>
      <w:r w:rsidRPr="009C46CC">
        <w:rPr>
          <w:i/>
        </w:rPr>
        <w:t>nella insatser (RiR 2011:14) som berör såväl försvarsutskottets som utrike</w:t>
      </w:r>
      <w:r w:rsidRPr="009C46CC">
        <w:rPr>
          <w:i/>
        </w:rPr>
        <w:t>s</w:t>
      </w:r>
      <w:r w:rsidRPr="009C46CC">
        <w:rPr>
          <w:i/>
        </w:rPr>
        <w:t xml:space="preserve">utskottets ansvarsområden. </w:t>
      </w:r>
      <w:r w:rsidRPr="009C46CC">
        <w:t xml:space="preserve">Här har vi valt att redovisa rapporterna under det utskott som bereder rapporten. </w:t>
      </w:r>
    </w:p>
    <w:p w:rsidR="001547A4" w:rsidRPr="009C46CC" w:rsidRDefault="001547A4" w:rsidP="001547A4">
      <w:pPr>
        <w:pStyle w:val="Rubrik2"/>
      </w:pPr>
      <w:bookmarkStart w:id="41" w:name="_Toc293393621"/>
      <w:bookmarkStart w:id="42" w:name="_Toc293647910"/>
      <w:r w:rsidRPr="009C46CC">
        <w:t>Finansutskottet (FiU)</w:t>
      </w:r>
      <w:bookmarkEnd w:id="41"/>
      <w:bookmarkEnd w:id="42"/>
      <w:r w:rsidRPr="009C46CC">
        <w:t xml:space="preserve"> </w:t>
      </w:r>
    </w:p>
    <w:p w:rsidR="001547A4" w:rsidRPr="009C46CC" w:rsidRDefault="001547A4" w:rsidP="008069B4">
      <w:pPr>
        <w:pStyle w:val="R3"/>
        <w:spacing w:before="240"/>
      </w:pPr>
      <w:r w:rsidRPr="009C46CC">
        <w:t>Säkerheten i statens betalningar (RiR 2010:13)</w:t>
      </w:r>
    </w:p>
    <w:p w:rsidR="001547A4" w:rsidRPr="009C46CC" w:rsidRDefault="001547A4" w:rsidP="001547A4">
      <w:r w:rsidRPr="009C46CC">
        <w:t>Riksrevisionen har följt upp en granskning från 2007 om säkerheten i statens betalningar (RiR 2007:28). Denna granskning har fokuserat på frågan om staten har gjort tillräckligt för att förhindra och hantera allvarliga felaktigheter i och ett brottsligt utnyttjande av statliga betalningar. Granskningen omfattar regeringen, Riksgäldskontoret, Ekonomistyrningsverket, Kammarkollegiet och 20 andra myndigheter.</w:t>
      </w:r>
    </w:p>
    <w:p w:rsidR="001547A4" w:rsidRPr="009C46CC" w:rsidRDefault="001547A4" w:rsidP="001547A4">
      <w:pPr>
        <w:pStyle w:val="Normaltindrag"/>
      </w:pPr>
      <w:r w:rsidRPr="009C46CC">
        <w:t>Uppföljningen visar att de sårbarheter och risker som tidigare identifierats finns kvar. Regeringen eller ansvariga myndigheter har inte gjort något avg</w:t>
      </w:r>
      <w:r w:rsidRPr="009C46CC">
        <w:t>ö</w:t>
      </w:r>
      <w:r w:rsidRPr="009C46CC">
        <w:t>rande för att rätta till bristerna. Bristerna är dessutom omfattande. De handlar om oklarheter kring fördelningen av ansvar för säkerheten i statens betalnin</w:t>
      </w:r>
      <w:r w:rsidRPr="009C46CC">
        <w:t>g</w:t>
      </w:r>
      <w:r w:rsidRPr="009C46CC">
        <w:t>ar och en avsaknad av samlade riskanalyser. Det är oklart vilka som ska göra sådana riskanalyser. Dessutom finns ett antal grundläggande brister i de s</w:t>
      </w:r>
      <w:r w:rsidRPr="009C46CC">
        <w:t>ä</w:t>
      </w:r>
      <w:r w:rsidRPr="009C46CC">
        <w:t>kerhetsåtgärder som vidtagits och i rutiner och regler för den interna kontro</w:t>
      </w:r>
      <w:r w:rsidRPr="009C46CC">
        <w:t>l</w:t>
      </w:r>
      <w:r w:rsidRPr="009C46CC">
        <w:t>len inom myndigheterna.</w:t>
      </w:r>
    </w:p>
    <w:p w:rsidR="001547A4" w:rsidRPr="009C46CC" w:rsidRDefault="001547A4" w:rsidP="001547A4">
      <w:pPr>
        <w:pStyle w:val="Normaltindrag"/>
      </w:pPr>
      <w:r w:rsidRPr="009C46CC">
        <w:t>Risken är att stora felutbetalningar sker eller att brott begås med stora ko</w:t>
      </w:r>
      <w:r w:rsidRPr="009C46CC">
        <w:t>n</w:t>
      </w:r>
      <w:r w:rsidRPr="009C46CC">
        <w:t>sekvenser för både staten och samhället i övrigt. Det kan också finnas risk för att dessa brister används av antagonistiska krafter för att störa landets beta</w:t>
      </w:r>
      <w:r w:rsidRPr="009C46CC">
        <w:t>l</w:t>
      </w:r>
      <w:r w:rsidRPr="009C46CC">
        <w:t>ningssystem.</w:t>
      </w:r>
    </w:p>
    <w:p w:rsidR="001547A4" w:rsidRPr="009C46CC" w:rsidRDefault="001547A4" w:rsidP="00197FD6">
      <w:pPr>
        <w:pStyle w:val="R3"/>
      </w:pPr>
      <w:r w:rsidRPr="009C46CC">
        <w:t>Tillämpningen av det finanspolitiska ramverket (RiR 2010:14)</w:t>
      </w:r>
    </w:p>
    <w:p w:rsidR="001547A4" w:rsidRPr="009C46CC" w:rsidRDefault="001547A4" w:rsidP="001547A4">
      <w:r w:rsidRPr="009C46CC">
        <w:t xml:space="preserve">Riksrevisionen granskar regelbundet de ekonomiska propositionerna med en betoning på regeringens tillämpning av det finanspolitiska ramverket. Detta ramverk innehåller ett överskottsmål för den offentliga sektorns sparande, ett utgiftstak för staten och krav på god ekonomisk hushållning i kommuner och landsting. För att utomstående bedömare ska kunna få en rättvisande bild av regeringens politik är det viktigt med en tydlig redovisning och uppföljning av de indikatorer som ingår i ramverket. </w:t>
      </w:r>
    </w:p>
    <w:p w:rsidR="001547A4" w:rsidRPr="009C46CC" w:rsidRDefault="001547A4" w:rsidP="001547A4">
      <w:pPr>
        <w:pStyle w:val="Normaltindrag"/>
      </w:pPr>
      <w:r w:rsidRPr="009C46CC">
        <w:t>Granskningen av 2010 års ekonomiska vårproposition visar att redovi</w:t>
      </w:r>
      <w:r w:rsidRPr="009C46CC">
        <w:t>s</w:t>
      </w:r>
      <w:r w:rsidRPr="009C46CC">
        <w:t>ningen har brister inom samtliga områden som ingår i det finanspolitiska ramverket. Det saknas en konkret analys av utgiftstakets förhållande till överskottsmålet och det önskvärda skatteuttaget. De stora budgeteringsmarg</w:t>
      </w:r>
      <w:r w:rsidRPr="009C46CC">
        <w:t>i</w:t>
      </w:r>
      <w:r w:rsidRPr="009C46CC">
        <w:t>nalerna medför dessutom att utgiftstakets roll försvagas. Vidare är beskri</w:t>
      </w:r>
      <w:r w:rsidRPr="009C46CC">
        <w:t>v</w:t>
      </w:r>
      <w:r w:rsidRPr="009C46CC">
        <w:t>ningen av prognosen för potentiell BNP mycket knapphändig.</w:t>
      </w:r>
    </w:p>
    <w:p w:rsidR="001547A4" w:rsidRPr="009C46CC" w:rsidRDefault="001547A4" w:rsidP="001547A4">
      <w:pPr>
        <w:pStyle w:val="Normaltindrag"/>
      </w:pPr>
      <w:r w:rsidRPr="009C46CC">
        <w:t xml:space="preserve">Det finns även en bristande transparens i utformningen och tolkningen av de långsiktiga scenarierna för finanspolitikens hållbarhet.  </w:t>
      </w:r>
    </w:p>
    <w:p w:rsidR="001547A4" w:rsidRPr="009C46CC" w:rsidRDefault="001547A4" w:rsidP="001547A4">
      <w:pPr>
        <w:pStyle w:val="Normaltindrag"/>
      </w:pPr>
      <w:r w:rsidRPr="009C46CC">
        <w:t>Däremot kan det konstateras att redovisningen av kommunsektorns ek</w:t>
      </w:r>
      <w:r w:rsidRPr="009C46CC">
        <w:t>o</w:t>
      </w:r>
      <w:r w:rsidRPr="009C46CC">
        <w:t>nomi har förbättrats. Brister som kvarstår är bland annat att jämförelser med föregående ekonomiska prognoser bara redovisas undantagsvis. Vidare beh</w:t>
      </w:r>
      <w:r w:rsidRPr="009C46CC">
        <w:t>ö</w:t>
      </w:r>
      <w:r w:rsidRPr="009C46CC">
        <w:t>ver prognoser kring konsumtion och kostnader förtydligas och underbyggas.</w:t>
      </w:r>
    </w:p>
    <w:p w:rsidR="001547A4" w:rsidRPr="009C46CC" w:rsidRDefault="001547A4" w:rsidP="00197FD6">
      <w:pPr>
        <w:pStyle w:val="R3"/>
      </w:pPr>
      <w:r w:rsidRPr="009C46CC">
        <w:t>Myndigheternas insatser för finansiell stabilitet. Lärdomar i ljuset av utvecklingen i Baltikum 2005–2007 (RiR 2011:9)</w:t>
      </w:r>
    </w:p>
    <w:p w:rsidR="001547A4" w:rsidRPr="009C46CC" w:rsidRDefault="001547A4" w:rsidP="001547A4">
      <w:r w:rsidRPr="009C46CC">
        <w:t xml:space="preserve">Det finansiella systemet är av stor betydelse för ekonomins funktionssätt, och staten har ett övergripande ansvar för stabiliteten i systemet. Åren  2008–2009 utbröt en finansiell kris. Den föregicks bland annat av en kraftig expansion av svenska banker i Baltikum. Därför har Riksrevisionen granskat Riksbankens och Finansinspektionens arbete med finansiell stabilitet, med fokus på åren innan krisen, det vill säga åren 2005–2007. </w:t>
      </w:r>
    </w:p>
    <w:p w:rsidR="001547A4" w:rsidRPr="009C46CC" w:rsidRDefault="001547A4" w:rsidP="001547A4">
      <w:pPr>
        <w:pStyle w:val="Normaltindrag"/>
      </w:pPr>
      <w:r w:rsidRPr="009C46CC">
        <w:t>De svenska bankerna hade en dominerande roll i de baltiska betalningss</w:t>
      </w:r>
      <w:r w:rsidRPr="009C46CC">
        <w:t>y</w:t>
      </w:r>
      <w:r w:rsidRPr="009C46CC">
        <w:t>stemen. Därmed fick svenska staten ett implicit ansvar för de baltiska lände</w:t>
      </w:r>
      <w:r w:rsidRPr="009C46CC">
        <w:t>r</w:t>
      </w:r>
      <w:r w:rsidRPr="009C46CC">
        <w:t xml:space="preserve">nas ekonomiska stabilitet. </w:t>
      </w:r>
    </w:p>
    <w:p w:rsidR="001547A4" w:rsidRPr="009C46CC" w:rsidRDefault="001547A4" w:rsidP="001547A4">
      <w:pPr>
        <w:pStyle w:val="Normaltindrag"/>
      </w:pPr>
      <w:r w:rsidRPr="009C46CC">
        <w:t>Av granskningen framkommer att myndigheterna underskattade riskerna, i synnerhet de om likviditeten. De stresstester som utfördes byggde på alltför försiktiga antaganden, vilket ledde till en överskattning av bankernas mo</w:t>
      </w:r>
      <w:r w:rsidRPr="009C46CC">
        <w:t>t</w:t>
      </w:r>
      <w:r w:rsidRPr="009C46CC">
        <w:t>ståndskraft och underskattning av riskerna för den finansiella stabiliteten.</w:t>
      </w:r>
    </w:p>
    <w:p w:rsidR="001547A4" w:rsidRPr="009C46CC" w:rsidRDefault="001547A4" w:rsidP="00197FD6">
      <w:pPr>
        <w:pStyle w:val="R3"/>
      </w:pPr>
      <w:r w:rsidRPr="009C46CC">
        <w:t>Tydlighet och transparens i budgetpropositionen för 2011? – Redovisningen av finans- och sysselsättningspolitiska ramverk (RiR 2011:11)</w:t>
      </w:r>
    </w:p>
    <w:p w:rsidR="001547A4" w:rsidRPr="009C46CC" w:rsidRDefault="001547A4" w:rsidP="001547A4">
      <w:r w:rsidRPr="009C46CC">
        <w:t>I denna återkommande granskning av de ekonomiska propositionerna gran</w:t>
      </w:r>
      <w:r w:rsidRPr="009C46CC">
        <w:t>s</w:t>
      </w:r>
      <w:r w:rsidRPr="009C46CC">
        <w:t>kas regeringens redovisning av det finanspolitiska ramverket i budgetpropos</w:t>
      </w:r>
      <w:r w:rsidRPr="009C46CC">
        <w:t>i</w:t>
      </w:r>
      <w:r w:rsidRPr="009C46CC">
        <w:t>tionen för 2011. Men granskningen utvidgas också till att, förutom det finan</w:t>
      </w:r>
      <w:r w:rsidRPr="009C46CC">
        <w:t>s</w:t>
      </w:r>
      <w:r w:rsidRPr="009C46CC">
        <w:t>politiska ramverket, omfatta hur regeringen redovisar och följer upp sysse</w:t>
      </w:r>
      <w:r w:rsidRPr="009C46CC">
        <w:t>l</w:t>
      </w:r>
      <w:r w:rsidRPr="009C46CC">
        <w:t>sättningspolitiken. För att få en rättvisande bild av regeringens politik är det viktigt med en tydlig redovisning och uppföljning av dessa indikatorer.</w:t>
      </w:r>
    </w:p>
    <w:p w:rsidR="001547A4" w:rsidRPr="009C46CC" w:rsidRDefault="001547A4" w:rsidP="001547A4">
      <w:pPr>
        <w:pStyle w:val="Normaltindrag"/>
      </w:pPr>
      <w:r w:rsidRPr="009C46CC">
        <w:t xml:space="preserve">Regeringen har över åren utvecklat den finanspolitiska redovisningen, men det finns fortfarande utrymme för förbättringar. Ett flertal indikatorer används för att följa överskottsmålet, men regeringen redovisar inte hur dessa värderas i förhållande till varandra. I brist på en tydligare motivering till nivån på utgiftstak finns en risk att utgiftstaket förlorar sin funktion som ett verktyg för att uppnå överskottsmålet.  </w:t>
      </w:r>
    </w:p>
    <w:p w:rsidR="001547A4" w:rsidRPr="009C46CC" w:rsidRDefault="001547A4" w:rsidP="001547A4">
      <w:pPr>
        <w:pStyle w:val="Normaltindrag"/>
      </w:pPr>
      <w:r w:rsidRPr="009C46CC">
        <w:t>Även redovisningen av sysselsättningspolitiken och dess effekter kan u</w:t>
      </w:r>
      <w:r w:rsidRPr="009C46CC">
        <w:t>t</w:t>
      </w:r>
      <w:r w:rsidRPr="009C46CC">
        <w:t xml:space="preserve">vecklas. I den aktuella propositionen är redovisningen av de antaganden och beräkningar som ligger till grund för regeringens bedömningar av effekterna av sina reformer särskilt knapphändig.  </w:t>
      </w:r>
    </w:p>
    <w:p w:rsidR="001547A4" w:rsidRPr="009C46CC" w:rsidRDefault="001547A4" w:rsidP="001547A4">
      <w:pPr>
        <w:pStyle w:val="Rubrik2"/>
      </w:pPr>
      <w:bookmarkStart w:id="43" w:name="_Toc293393622"/>
      <w:bookmarkStart w:id="44" w:name="_Toc293647911"/>
      <w:r w:rsidRPr="009C46CC">
        <w:t>Skatteutskottet (SkU)</w:t>
      </w:r>
      <w:bookmarkEnd w:id="43"/>
      <w:bookmarkEnd w:id="44"/>
      <w:r w:rsidRPr="009C46CC">
        <w:t xml:space="preserve"> </w:t>
      </w:r>
    </w:p>
    <w:p w:rsidR="001547A4" w:rsidRPr="009C46CC" w:rsidRDefault="001547A4" w:rsidP="008069B4">
      <w:pPr>
        <w:pStyle w:val="R3"/>
        <w:spacing w:before="240"/>
      </w:pPr>
      <w:r w:rsidRPr="009C46CC">
        <w:t>Sveriges skatteavtal med andra länder – effekterna av regeringens arbete (RiR 2010:24)</w:t>
      </w:r>
    </w:p>
    <w:p w:rsidR="001547A4" w:rsidRPr="009C46CC" w:rsidRDefault="001547A4" w:rsidP="001547A4">
      <w:r w:rsidRPr="009C46CC">
        <w:t>Riksrevisionen har granskat hur regeringen arbetar med skatteavtal med andra länder. Avtalen ska lindra effekterna av internationell dubbelbeskattning, skapa goda konkurrensförhållanden för exportindustrin, uppmuntra investe</w:t>
      </w:r>
      <w:r w:rsidRPr="009C46CC">
        <w:t>r</w:t>
      </w:r>
      <w:r w:rsidRPr="009C46CC">
        <w:t>ingar mellan stater och förhindra skatteflykt.</w:t>
      </w:r>
    </w:p>
    <w:p w:rsidR="001547A4" w:rsidRPr="009C46CC" w:rsidRDefault="001547A4" w:rsidP="001547A4">
      <w:pPr>
        <w:pStyle w:val="Normaltindrag"/>
      </w:pPr>
      <w:r w:rsidRPr="009C46CC">
        <w:t>Av granskningen framgår att antalet nya eller omförhandlade avtal har minskat sedan slutet av 1990-talet. Regeringen har prioriterat ned konku</w:t>
      </w:r>
      <w:r w:rsidRPr="009C46CC">
        <w:t>r</w:t>
      </w:r>
      <w:r w:rsidRPr="009C46CC">
        <w:t>rensaspekten till förmån för arbete med avtal om informationsutbyte med andra länder.  Det visar sig också att v</w:t>
      </w:r>
      <w:r w:rsidRPr="009C46CC">
        <w:rPr>
          <w:iCs/>
        </w:rPr>
        <w:t>iktiga avtal är föråldrade. Detta förhå</w:t>
      </w:r>
      <w:r w:rsidRPr="009C46CC">
        <w:rPr>
          <w:iCs/>
        </w:rPr>
        <w:t>l</w:t>
      </w:r>
      <w:r w:rsidRPr="009C46CC">
        <w:rPr>
          <w:iCs/>
        </w:rPr>
        <w:t>lande utnyttjas för otillbörlig skatteplanering, vilket kan leda till ett skatt</w:t>
      </w:r>
      <w:r w:rsidRPr="009C46CC">
        <w:rPr>
          <w:iCs/>
        </w:rPr>
        <w:t>e</w:t>
      </w:r>
      <w:r w:rsidRPr="009C46CC">
        <w:rPr>
          <w:iCs/>
        </w:rPr>
        <w:t xml:space="preserve">bortfall på miljardbelopp. </w:t>
      </w:r>
      <w:r w:rsidRPr="009C46CC">
        <w:t xml:space="preserve">Bristerna innebär att det svenska skatteavtalsnätet riskerar att tappa i konkurrenskraft. </w:t>
      </w:r>
    </w:p>
    <w:p w:rsidR="001547A4" w:rsidRPr="009C46CC" w:rsidRDefault="001547A4" w:rsidP="001547A4">
      <w:pPr>
        <w:pStyle w:val="Normaltindrag"/>
      </w:pPr>
      <w:r w:rsidRPr="009C46CC">
        <w:t>Slutligen visar granskningen att regeringen inte har tagit fram de underlag som behövs för att kunna analysera effekterna av den kritiserade utjämning</w:t>
      </w:r>
      <w:r w:rsidRPr="009C46CC">
        <w:t>s</w:t>
      </w:r>
      <w:r w:rsidRPr="009C46CC">
        <w:t xml:space="preserve">ordningen mellan Sverige och Danmark. </w:t>
      </w:r>
    </w:p>
    <w:p w:rsidR="001547A4" w:rsidRPr="009C46CC" w:rsidRDefault="001547A4" w:rsidP="001547A4">
      <w:pPr>
        <w:pStyle w:val="Rubrik2"/>
      </w:pPr>
      <w:bookmarkStart w:id="45" w:name="_Toc293393623"/>
      <w:bookmarkStart w:id="46" w:name="_Toc293647912"/>
      <w:r w:rsidRPr="009C46CC">
        <w:t>Justitieutskottet (JuU)</w:t>
      </w:r>
      <w:bookmarkEnd w:id="45"/>
      <w:bookmarkEnd w:id="46"/>
    </w:p>
    <w:p w:rsidR="001547A4" w:rsidRPr="009C46CC" w:rsidRDefault="001547A4" w:rsidP="008069B4">
      <w:pPr>
        <w:pStyle w:val="R3"/>
        <w:spacing w:before="240"/>
      </w:pPr>
      <w:r w:rsidRPr="009C46CC">
        <w:t>Polisens brottsförebyggande arbete – har ambitionerna uppnåtts? (RiR 2010:23)</w:t>
      </w:r>
    </w:p>
    <w:p w:rsidR="001547A4" w:rsidRPr="009C46CC" w:rsidRDefault="001547A4" w:rsidP="001547A4">
      <w:r w:rsidRPr="009C46CC">
        <w:t>Polisen avser att genomföra planlagd brottsförebyggande verksamhet för 5 miljarder kronor per år. Granskningen visar dock att polisen endast geno</w:t>
      </w:r>
      <w:r w:rsidRPr="009C46CC">
        <w:t>m</w:t>
      </w:r>
      <w:r w:rsidRPr="009C46CC">
        <w:t xml:space="preserve">fört ungefär hälften av den verksamhet man planerat för, och för den som genomförs är effekten oklar. </w:t>
      </w:r>
    </w:p>
    <w:p w:rsidR="001547A4" w:rsidRPr="009C46CC" w:rsidRDefault="001547A4" w:rsidP="001547A4">
      <w:pPr>
        <w:pStyle w:val="Normaltindrag"/>
      </w:pPr>
      <w:r w:rsidRPr="009C46CC">
        <w:t xml:space="preserve">Regeringens målsättning för verksamheten är otydlig och svår att följa upp. Regeringen och polisen har inte gjort tillräckliga prioriteringar mellan polisens brottsförebyggande arbete och de övriga kärnverksamheterna. Det saknas grundläggande information om vilket brottsförebyggande arbete som polisen genomför, hur det genomförs och vilka som utför det. </w:t>
      </w:r>
    </w:p>
    <w:p w:rsidR="001547A4" w:rsidRPr="009C46CC" w:rsidRDefault="001547A4" w:rsidP="001547A4">
      <w:pPr>
        <w:pStyle w:val="Normaltindrag"/>
      </w:pPr>
      <w:r w:rsidRPr="009C46CC">
        <w:t>Ett problem är att det finns relativt lite kunskap om vilka åtgärder som är effektiva. Det beror bland annat på att Brottsförebyggande rådet inte gett tillräckligt kunskapsstöd på området och att dokumentation och uppföljning inom polisen är bristfällig. Utbildningen är också otillräcklig. Dessutom sa</w:t>
      </w:r>
      <w:r w:rsidRPr="009C46CC">
        <w:t>k</w:t>
      </w:r>
      <w:r w:rsidRPr="009C46CC">
        <w:t>nas ofta bra problemanalyser i polisens underrättelserapporter och planlagda insatser. Riksrevisionen drar slutsatsen att polisen inte arbetar tillräckligt kunskapsbaserat och problemorienterat med att förebygga brott.</w:t>
      </w:r>
    </w:p>
    <w:p w:rsidR="001547A4" w:rsidRPr="009C46CC" w:rsidRDefault="001547A4" w:rsidP="00197FD6">
      <w:pPr>
        <w:pStyle w:val="R3"/>
      </w:pPr>
      <w:r w:rsidRPr="009C46CC">
        <w:t>Statens insatser för att komma åt vinster från brottslig verksamhet – ett bättre samarbete ger högre utbyte (RiR 2010:26)</w:t>
      </w:r>
    </w:p>
    <w:p w:rsidR="001547A4" w:rsidRPr="009C46CC" w:rsidRDefault="001547A4" w:rsidP="001547A4">
      <w:r w:rsidRPr="009C46CC">
        <w:t>Riksrevisionen har granskat statens insatser mot vinning av brottslighet. Den vanligaste insatsen är att i samband med uppklaring av brott eller med b</w:t>
      </w:r>
      <w:r w:rsidRPr="009C46CC">
        <w:t>e</w:t>
      </w:r>
      <w:r w:rsidRPr="009C46CC">
        <w:t xml:space="preserve">skattning fastställa fordringar på personer med anknytning till brottslighet. Därefter kan utmätning ske av deras tillgångar för att betala fordringarna. Därmed är flera olika verktyg och ett stort antal myndigheter involverade. Det krävs en helhetssyn för att systemet ska fungera. </w:t>
      </w:r>
    </w:p>
    <w:p w:rsidR="001547A4" w:rsidRPr="009C46CC" w:rsidRDefault="001547A4" w:rsidP="001547A4">
      <w:pPr>
        <w:pStyle w:val="Normaltindrag"/>
      </w:pPr>
      <w:r w:rsidRPr="009C46CC">
        <w:t>Granskningen visar att det lönar sig med tidiga insatser mot vinning av brottslighet och att de därför bör tidigareläggas av samtliga granskade my</w:t>
      </w:r>
      <w:r w:rsidRPr="009C46CC">
        <w:t>n</w:t>
      </w:r>
      <w:r w:rsidRPr="009C46CC">
        <w:t>digheter. Ett problem är att det brister i kommunikationen mellan brottsutr</w:t>
      </w:r>
      <w:r w:rsidRPr="009C46CC">
        <w:t>e</w:t>
      </w:r>
      <w:r w:rsidRPr="009C46CC">
        <w:t>dare och åklagare. Dessutom är åklagarnas ansvar för att lämna uppgifter till Kronofogdemyndigheten oklart. Få av myndigheterna har tagit fram strategier för arbetet</w:t>
      </w:r>
      <w:r w:rsidRPr="009C46CC" w:rsidDel="00036AC0">
        <w:t xml:space="preserve"> </w:t>
      </w:r>
      <w:r w:rsidRPr="009C46CC">
        <w:t xml:space="preserve">mot vinning av brottslighet. </w:t>
      </w:r>
    </w:p>
    <w:p w:rsidR="001547A4" w:rsidRPr="009C46CC" w:rsidRDefault="001547A4" w:rsidP="001547A4">
      <w:pPr>
        <w:pStyle w:val="Normaltindrag"/>
        <w:rPr>
          <w:iCs/>
        </w:rPr>
      </w:pPr>
      <w:r w:rsidRPr="009C46CC">
        <w:t xml:space="preserve">Myndigheterna saknar uppföljning av resultaten av egna och gemensamma insatser mot vinning av brottslighet. Det saknas också </w:t>
      </w:r>
      <w:r w:rsidRPr="009C46CC">
        <w:rPr>
          <w:iCs/>
        </w:rPr>
        <w:t>kompetens och ku</w:t>
      </w:r>
      <w:r w:rsidRPr="009C46CC">
        <w:rPr>
          <w:iCs/>
        </w:rPr>
        <w:t>n</w:t>
      </w:r>
      <w:r w:rsidRPr="009C46CC">
        <w:rPr>
          <w:iCs/>
        </w:rPr>
        <w:t>skap</w:t>
      </w:r>
      <w:r w:rsidRPr="009C46CC">
        <w:t xml:space="preserve"> </w:t>
      </w:r>
      <w:r w:rsidRPr="009C46CC">
        <w:rPr>
          <w:iCs/>
        </w:rPr>
        <w:t xml:space="preserve">inom myndigheterna. </w:t>
      </w:r>
    </w:p>
    <w:p w:rsidR="001547A4" w:rsidRPr="009C46CC" w:rsidRDefault="001547A4" w:rsidP="001547A4">
      <w:pPr>
        <w:pStyle w:val="Normaltindrag"/>
      </w:pPr>
      <w:r w:rsidRPr="009C46CC">
        <w:t xml:space="preserve">Regeringens styrning är inte enhetlig. Bland annat saknas gemensamma och mer preciserade återrapporteringskrav. Ingen aktör har ett samlat ansvar för att kunna följa utvecklingen. </w:t>
      </w:r>
      <w:r w:rsidRPr="009C46CC">
        <w:rPr>
          <w:iCs/>
        </w:rPr>
        <w:t xml:space="preserve">Regeringen har också dröjt med att utreda ändringar i sekretesslagstiftningen. </w:t>
      </w:r>
    </w:p>
    <w:p w:rsidR="001547A4" w:rsidRPr="009C46CC" w:rsidRDefault="001547A4" w:rsidP="00197FD6">
      <w:pPr>
        <w:pStyle w:val="R3"/>
      </w:pPr>
      <w:r w:rsidRPr="009C46CC">
        <w:t>Brottsutsatt. Myndigheternas hantering av ekonomisk kompensation på grund av brott (RiR 2011:18)</w:t>
      </w:r>
    </w:p>
    <w:p w:rsidR="001547A4" w:rsidRPr="009C46CC" w:rsidRDefault="001547A4" w:rsidP="001547A4">
      <w:r w:rsidRPr="009C46CC">
        <w:t>I rapporten granskas hur ansvariga myndigheter hanterar ekonomisk kompe</w:t>
      </w:r>
      <w:r w:rsidRPr="009C46CC">
        <w:t>n</w:t>
      </w:r>
      <w:r w:rsidRPr="009C46CC">
        <w:t>sation till personer som utsatts för brott och hur regeringen styr denna ver</w:t>
      </w:r>
      <w:r w:rsidRPr="009C46CC">
        <w:t>k</w:t>
      </w:r>
      <w:r w:rsidRPr="009C46CC">
        <w:t>samhet. Granskningen har skett utifrån de brottsutsattas perspektiv.</w:t>
      </w:r>
    </w:p>
    <w:p w:rsidR="001547A4" w:rsidRPr="009C46CC" w:rsidRDefault="001547A4" w:rsidP="001547A4">
      <w:pPr>
        <w:pStyle w:val="Normaltindrag"/>
      </w:pPr>
      <w:r w:rsidRPr="009C46CC">
        <w:t>För en person som blivit utsatt för ett brott är det viktigt att få upprättelse. En viktig del i upprättelsen är det skadestånd som domstolen kan döma ut för den skada och eventuella kränkning brottet har medfört. Sedan länge är det känt att systemet för att få ersättning är komplext och kräver att den brottsu</w:t>
      </w:r>
      <w:r w:rsidRPr="009C46CC">
        <w:t>t</w:t>
      </w:r>
      <w:r w:rsidRPr="009C46CC">
        <w:t>satta själv är aktiv i stora delar av processen.</w:t>
      </w:r>
    </w:p>
    <w:p w:rsidR="001547A4" w:rsidRPr="009C46CC" w:rsidRDefault="001547A4" w:rsidP="001547A4">
      <w:pPr>
        <w:pStyle w:val="Normaltindrag"/>
      </w:pPr>
      <w:r w:rsidRPr="009C46CC">
        <w:t>Granskningen visar att regeringen och myndigheterna inte gjort tillräckligt för att säkerställa en effektiv hantering av brottsskadestånd. Polisens och åklagarnas insatser varierar. Processen efter att skadestånd dömts ut upplevs som komplicerad och de brottsutsatta får inte tillräckligt med information och stöd och hjälp under processen. Regeringen följer heller inte upp hur systemet fungerar, till exempel hur många skadestånd som döms ut och hur många brottsutsatta som verkligen får ut sina skadestånd. Detta innebär att regerin</w:t>
      </w:r>
      <w:r w:rsidRPr="009C46CC">
        <w:t>g</w:t>
      </w:r>
      <w:r w:rsidRPr="009C46CC">
        <w:t>en saknar underlag för styrning och förbättringar av systemet.</w:t>
      </w:r>
    </w:p>
    <w:p w:rsidR="001547A4" w:rsidRPr="009C46CC" w:rsidRDefault="001547A4" w:rsidP="001547A4">
      <w:pPr>
        <w:pStyle w:val="Rubrik2"/>
      </w:pPr>
      <w:bookmarkStart w:id="47" w:name="_Toc293393624"/>
      <w:bookmarkStart w:id="48" w:name="_Toc293647913"/>
      <w:r w:rsidRPr="009C46CC">
        <w:t>Civilutskottet (CU)</w:t>
      </w:r>
      <w:bookmarkEnd w:id="47"/>
      <w:bookmarkEnd w:id="48"/>
      <w:r w:rsidRPr="009C46CC">
        <w:t xml:space="preserve"> </w:t>
      </w:r>
    </w:p>
    <w:p w:rsidR="001547A4" w:rsidRPr="009C46CC" w:rsidRDefault="001547A4" w:rsidP="008069B4">
      <w:pPr>
        <w:pStyle w:val="R3"/>
        <w:spacing w:before="240"/>
      </w:pPr>
      <w:r w:rsidRPr="009C46CC">
        <w:t>IT inom statsförvaltningen – Har myndigheterna på ett rimligt sätt prövat frågan om outsourcing bidrar till ökad effektivitet?  (RiR 2011:4)</w:t>
      </w:r>
    </w:p>
    <w:p w:rsidR="001547A4" w:rsidRPr="009C46CC" w:rsidRDefault="001547A4" w:rsidP="001547A4">
      <w:r w:rsidRPr="009C46CC">
        <w:t>Varje år kostar IT i statliga myndigheter och bolag uppskattningsvis 20–25 miljarder kronor. Att lägga ut drift och förvaltning av IT, så kallad outsou</w:t>
      </w:r>
      <w:r w:rsidRPr="009C46CC">
        <w:t>r</w:t>
      </w:r>
      <w:r w:rsidRPr="009C46CC">
        <w:t>cing, kan öka kvaliteten och sänka kostnaderna. Riksrevisionen har därför granskat om myndigheterna på ett rimligt sätt prövat frågan om outsourcing av IT bidrar till ökad effektivitet. Granskningen omfattar 95 myndigheter.</w:t>
      </w:r>
    </w:p>
    <w:p w:rsidR="001547A4" w:rsidRPr="009C46CC" w:rsidRDefault="001547A4" w:rsidP="001547A4">
      <w:pPr>
        <w:pStyle w:val="Normaltindrag"/>
      </w:pPr>
      <w:r w:rsidRPr="009C46CC">
        <w:t>De flesta myndigheter har inte gjort rimliga prövningar om outsourcing av IT bidrar till ökad effektivitet. Det beror på en mängd olika brister. Flera myndigheter har problem med att redovisa sina IT-kostnader. Det finns också brister i den interna styrningen och uppföljningen. Ett exempel är att myndi</w:t>
      </w:r>
      <w:r w:rsidRPr="009C46CC">
        <w:t>g</w:t>
      </w:r>
      <w:r w:rsidRPr="009C46CC">
        <w:t xml:space="preserve">hetsledningarna sällan ställer effektivitetskrav på sina interna IT-avdelningar.  </w:t>
      </w:r>
    </w:p>
    <w:p w:rsidR="001547A4" w:rsidRPr="009C46CC" w:rsidRDefault="001547A4" w:rsidP="001547A4">
      <w:pPr>
        <w:pStyle w:val="Normaltindrag"/>
      </w:pPr>
      <w:r w:rsidRPr="009C46CC">
        <w:t xml:space="preserve">Riksrevisionens granskning pekar också på att många myndigheter saknar tillräcklig beställarkompetens. En särskilt försvårande faktor är dessutom bristen på analyser av hur känslig informationen är ur sekretessynpunkt. </w:t>
      </w:r>
    </w:p>
    <w:p w:rsidR="001547A4" w:rsidRPr="009C46CC" w:rsidRDefault="001547A4" w:rsidP="00197FD6">
      <w:pPr>
        <w:pStyle w:val="R3"/>
      </w:pPr>
      <w:r w:rsidRPr="009C46CC">
        <w:t>Statliga IT-projekt som överskrider budget (RiR 2011:5)</w:t>
      </w:r>
    </w:p>
    <w:p w:rsidR="001547A4" w:rsidRPr="009C46CC" w:rsidRDefault="001547A4" w:rsidP="001547A4">
      <w:r w:rsidRPr="009C46CC">
        <w:t xml:space="preserve">Riksrevisionen har granskat om det är vanligt att statliga IT-utvecklingsprojekt överskrider sin budget. Om budget, tidsplan och leveranser inte hålls kan förbättringar av berörda verksamheter utebli eller försenas. Det kan också leda till att andra utvecklingsprojekt nedprioriteras. </w:t>
      </w:r>
    </w:p>
    <w:p w:rsidR="001547A4" w:rsidRPr="009C46CC" w:rsidRDefault="001547A4" w:rsidP="001547A4">
      <w:pPr>
        <w:pStyle w:val="Normaltindrag"/>
      </w:pPr>
      <w:r w:rsidRPr="009C46CC">
        <w:t>Granskningen, som omfattar 73 myndigheter, visar att en tredjedel av IT-projekten drar över sina budgetar. I genomsnitt överskrider projekten sin budget med cirka 30 procent. Inom dyrare projekt tenderar budgetöverskr</w:t>
      </w:r>
      <w:r w:rsidRPr="009C46CC">
        <w:t>i</w:t>
      </w:r>
      <w:r w:rsidRPr="009C46CC">
        <w:t>dandet att bli mer omfattande än för genomsnittet.</w:t>
      </w:r>
    </w:p>
    <w:p w:rsidR="001547A4" w:rsidRPr="009C46CC" w:rsidRDefault="001547A4" w:rsidP="001547A4">
      <w:pPr>
        <w:pStyle w:val="Normaltindrag"/>
      </w:pPr>
      <w:r w:rsidRPr="009C46CC">
        <w:t>Orsakerna till problemen är sedan tidigare väl kända. Det finns brister i b</w:t>
      </w:r>
      <w:r w:rsidRPr="009C46CC">
        <w:t>e</w:t>
      </w:r>
      <w:r w:rsidRPr="009C46CC">
        <w:t>ställarkompetens och i styrning av projekten. Erfarenheter från andra IT-projekt utnyttjas inte. Dessutom utreder inte myndigheterna eventuella kons</w:t>
      </w:r>
      <w:r w:rsidRPr="009C46CC">
        <w:t>e</w:t>
      </w:r>
      <w:r w:rsidRPr="009C46CC">
        <w:t>kvenser av budgetöverskridanden på kort och lång sikt i tillräcklig utsträc</w:t>
      </w:r>
      <w:r w:rsidRPr="009C46CC">
        <w:t>k</w:t>
      </w:r>
      <w:r w:rsidRPr="009C46CC">
        <w:t>ning.</w:t>
      </w:r>
    </w:p>
    <w:p w:rsidR="001547A4" w:rsidRPr="009C46CC" w:rsidRDefault="001547A4" w:rsidP="008069B4">
      <w:pPr>
        <w:pStyle w:val="Rubrik2"/>
      </w:pPr>
      <w:bookmarkStart w:id="49" w:name="_Toc293393625"/>
      <w:bookmarkStart w:id="50" w:name="_Toc293647914"/>
      <w:r w:rsidRPr="009C46CC">
        <w:t>Försvarsutskottet (FöU)</w:t>
      </w:r>
      <w:bookmarkEnd w:id="49"/>
      <w:bookmarkEnd w:id="50"/>
      <w:r w:rsidRPr="009C46CC">
        <w:t xml:space="preserve"> </w:t>
      </w:r>
    </w:p>
    <w:p w:rsidR="001547A4" w:rsidRPr="009C46CC" w:rsidRDefault="001547A4" w:rsidP="008069B4">
      <w:pPr>
        <w:pStyle w:val="R3"/>
        <w:spacing w:before="240"/>
        <w:rPr>
          <w:i/>
        </w:rPr>
      </w:pPr>
      <w:r w:rsidRPr="009C46CC">
        <w:t xml:space="preserve">Den nordiska stridsgruppen 2008 – en del av EU:s snabbinsatsförmåga (RiR 2010:20) </w:t>
      </w:r>
    </w:p>
    <w:p w:rsidR="001547A4" w:rsidRPr="009C46CC" w:rsidRDefault="001547A4" w:rsidP="001547A4">
      <w:r w:rsidRPr="009C46CC">
        <w:t>Riksrevisionen har granskat förbandsuppbyggnaden av den nordiska strid</w:t>
      </w:r>
      <w:r w:rsidRPr="009C46CC">
        <w:t>s</w:t>
      </w:r>
      <w:r w:rsidRPr="009C46CC">
        <w:t>gruppen (NBG08). Mellan den 1 januari och 30 juni 2008 stod förbandet i beredskap för att på mycket kort varsel kunna inleda en insats. Sverige ansv</w:t>
      </w:r>
      <w:r w:rsidRPr="009C46CC">
        <w:t>a</w:t>
      </w:r>
      <w:r w:rsidRPr="009C46CC">
        <w:t xml:space="preserve">rade för utvecklingen av stridgruppen, som i huvudsak bestod av svensk personal. Beslut för en insats fattas av EU:s ministerråd. </w:t>
      </w:r>
    </w:p>
    <w:p w:rsidR="001547A4" w:rsidRPr="009C46CC" w:rsidRDefault="001547A4" w:rsidP="001547A4">
      <w:pPr>
        <w:pStyle w:val="Normaltindrag"/>
      </w:pPr>
      <w:r w:rsidRPr="009C46CC">
        <w:t>Riksrevisionen fann brister inom personalförsörjning, materielförsörjning och samövning. Först efter det att halva beredskapsperioden förlöpt hade stridsgruppen tillgång till rätt materiel och utbildning. Bristerna var så omfa</w:t>
      </w:r>
      <w:r w:rsidRPr="009C46CC">
        <w:t>t</w:t>
      </w:r>
      <w:r w:rsidRPr="009C46CC">
        <w:t>tande att det kan ifrågasättas om förbandet hade klarat av svårare taktiska uppgifter som kräver att hela bataljonen strider ihop.</w:t>
      </w:r>
    </w:p>
    <w:p w:rsidR="001547A4" w:rsidRPr="009C46CC" w:rsidRDefault="001547A4" w:rsidP="001547A4">
      <w:pPr>
        <w:pStyle w:val="Normaltindrag"/>
      </w:pPr>
      <w:r w:rsidRPr="009C46CC">
        <w:t xml:space="preserve">Vidare var kostnadskontrollen </w:t>
      </w:r>
      <w:r w:rsidRPr="009C46CC">
        <w:rPr>
          <w:iCs/>
        </w:rPr>
        <w:t>otillfredsställande</w:t>
      </w:r>
      <w:r w:rsidRPr="009C46CC">
        <w:t>. Såväl ekonomisk må</w:t>
      </w:r>
      <w:r w:rsidRPr="009C46CC">
        <w:t>l</w:t>
      </w:r>
      <w:r w:rsidRPr="009C46CC">
        <w:t>styrning som uppföljning hade brister. Återrapporteringen till riksdagen var sen, otydlig och otillräcklig. Mer än dubbelt så många svenska soldater stod i beredskap och NBG08 kostade flera gånger mer än vad riksdagen hade i</w:t>
      </w:r>
      <w:r w:rsidRPr="009C46CC">
        <w:t>n</w:t>
      </w:r>
      <w:r w:rsidRPr="009C46CC">
        <w:t xml:space="preserve">formerats om. </w:t>
      </w:r>
    </w:p>
    <w:p w:rsidR="001547A4" w:rsidRPr="009C46CC" w:rsidRDefault="001547A4" w:rsidP="00197FD6">
      <w:pPr>
        <w:pStyle w:val="R3"/>
      </w:pPr>
      <w:r w:rsidRPr="009C46CC">
        <w:t xml:space="preserve">Leverans på utsatt tid? En granskning av försvarets internationella materielsamarbeten (RiR 2011:13) </w:t>
      </w:r>
    </w:p>
    <w:p w:rsidR="001547A4" w:rsidRPr="009C46CC" w:rsidRDefault="001547A4" w:rsidP="001547A4">
      <w:r w:rsidRPr="009C46CC">
        <w:t>I denna rapport granskas om regering och ansvariga myndigheter styr respe</w:t>
      </w:r>
      <w:r w:rsidRPr="009C46CC">
        <w:t>k</w:t>
      </w:r>
      <w:r w:rsidRPr="009C46CC">
        <w:t xml:space="preserve">tive genomför internationella försvarsmaterielsamarbeten på ett effektivt sätt. Får försvaret materiel på utsatt tid, till avtalat pris och med avsedd prestanda? </w:t>
      </w:r>
    </w:p>
    <w:p w:rsidR="001547A4" w:rsidRPr="009C46CC" w:rsidRDefault="001547A4" w:rsidP="001547A4">
      <w:pPr>
        <w:pStyle w:val="Normaltindrag"/>
      </w:pPr>
      <w:r w:rsidRPr="009C46CC">
        <w:rPr>
          <w:iCs/>
        </w:rPr>
        <w:t>Granskningen visar att internationella materielsamarbeten inte i tillräcklig utsträckning leder till leverans vid avtalad tid</w:t>
      </w:r>
      <w:r w:rsidRPr="009C46CC">
        <w:t>. Förseningarna sänker tillgän</w:t>
      </w:r>
      <w:r w:rsidRPr="009C46CC">
        <w:t>g</w:t>
      </w:r>
      <w:r w:rsidRPr="009C46CC">
        <w:t>ligheten på materiel, vilket får konsekvenser för Försvarsmaktens möjlighet att lösa sina uppgifter. Däremot verkar inte avvikelser från budgeten och prestandan (det vill säga materielens egenskaper) vara ett lika vanligt b</w:t>
      </w:r>
      <w:r w:rsidRPr="009C46CC">
        <w:t>e</w:t>
      </w:r>
      <w:r w:rsidRPr="009C46CC">
        <w:t xml:space="preserve">kymmer. Dock får förseningar andra indirekta konsekvenser som riskerar ett effektivt resursutnyttjande och försvarets användbarhet och tillgänglighet. </w:t>
      </w:r>
    </w:p>
    <w:p w:rsidR="001547A4" w:rsidRPr="009C46CC" w:rsidRDefault="001547A4" w:rsidP="001547A4">
      <w:pPr>
        <w:pStyle w:val="Normaltindrag"/>
      </w:pPr>
      <w:r w:rsidRPr="009C46CC">
        <w:rPr>
          <w:iCs/>
        </w:rPr>
        <w:t>Det finns vidare b</w:t>
      </w:r>
      <w:r w:rsidRPr="009C46CC">
        <w:t>rister inom myndigheternas riskhantering, ekonomiska analys och uppföljning av leveranssäkerheten. Myndigheterna måste bli bättre på att ta vara på de erfarenheter som görs i större internationella materielsa</w:t>
      </w:r>
      <w:r w:rsidRPr="009C46CC">
        <w:t>m</w:t>
      </w:r>
      <w:r w:rsidRPr="009C46CC">
        <w:t>arbeten. Samordningen mellan myndigheter och regering bör även förbättras. Slutligen bedöms materielredovisningen inte vara tillräckligt sammanhållen, systematisk och innehållsrik för att kunna utgöra ett tillräckligt beslutsunde</w:t>
      </w:r>
      <w:r w:rsidRPr="009C46CC">
        <w:t>r</w:t>
      </w:r>
      <w:r w:rsidRPr="009C46CC">
        <w:t xml:space="preserve">lag för riksdagen. </w:t>
      </w:r>
    </w:p>
    <w:p w:rsidR="001547A4" w:rsidRPr="009C46CC" w:rsidRDefault="001547A4" w:rsidP="00197FD6">
      <w:pPr>
        <w:pStyle w:val="R3"/>
      </w:pPr>
      <w:r w:rsidRPr="009C46CC">
        <w:t xml:space="preserve">Svenska bidrag till internationella insatser (RiR 2011:14) </w:t>
      </w:r>
    </w:p>
    <w:p w:rsidR="001547A4" w:rsidRPr="009C46CC" w:rsidRDefault="001547A4" w:rsidP="001547A4">
      <w:r w:rsidRPr="009C46CC">
        <w:t>Regeringen har under mer än ett decennium haft höga ambitioner för svenskt engagemang i internationella insatser. Det handlar både om insatser med civil och militär prägel. Sverige satsar alltmer pengar på internationella insatser. Under 2011 uppgår tilldelade medel till minst 3 miljarder kronor fördelade från utgiftsområde 5, 6 och 7. Området berör flera departement och myndi</w:t>
      </w:r>
      <w:r w:rsidRPr="009C46CC">
        <w:t>g</w:t>
      </w:r>
      <w:r w:rsidRPr="009C46CC">
        <w:t>heter.</w:t>
      </w:r>
    </w:p>
    <w:p w:rsidR="001547A4" w:rsidRPr="009C46CC" w:rsidRDefault="001547A4" w:rsidP="001547A4">
      <w:pPr>
        <w:pStyle w:val="Normaltindrag"/>
      </w:pPr>
      <w:r w:rsidRPr="009C46CC">
        <w:t xml:space="preserve">Riksrevisionen har därför granskat förutsättningarna för ett samordnat och effektivt resursutnyttjande vid svenska bidrag till internationella insatser. </w:t>
      </w:r>
    </w:p>
    <w:p w:rsidR="001547A4" w:rsidRPr="009C46CC" w:rsidRDefault="001547A4" w:rsidP="001547A4">
      <w:pPr>
        <w:pStyle w:val="Normaltindrag"/>
      </w:pPr>
      <w:r w:rsidRPr="009C46CC">
        <w:t>Regeringen betonar vikten av samverkan för att uppnå samstämmighet och synergier. Trots detta saknas förtydliganden om hur och när svenska myndi</w:t>
      </w:r>
      <w:r w:rsidRPr="009C46CC">
        <w:t>g</w:t>
      </w:r>
      <w:r w:rsidRPr="009C46CC">
        <w:t xml:space="preserve">heter ska samverka. Det finns heller inte någon ändamålsenlig struktur för samverkan eller samsyn. </w:t>
      </w:r>
    </w:p>
    <w:p w:rsidR="001547A4" w:rsidRPr="009C46CC" w:rsidRDefault="001547A4" w:rsidP="001547A4">
      <w:pPr>
        <w:pStyle w:val="Normaltindrag"/>
      </w:pPr>
      <w:r w:rsidRPr="009C46CC">
        <w:t>Vidare saknas en konkretisering av övergripande mål och motiv. Vi har dessutom inte lyckats få en samlad bild av kostnaderna utifrån vare sig u</w:t>
      </w:r>
      <w:r w:rsidRPr="009C46CC">
        <w:t>t</w:t>
      </w:r>
      <w:r w:rsidRPr="009C46CC">
        <w:t>giftsområde, myndighet eller land. Dagens system för att finansiera och red</w:t>
      </w:r>
      <w:r w:rsidRPr="009C46CC">
        <w:t>o</w:t>
      </w:r>
      <w:r w:rsidRPr="009C46CC">
        <w:t>visa kostnaderna för internationella insatser innebär också en betydande risk för att de totala kostnaderna underskattas. Slutligen konstaterar granskningen att det inte finns någon samlad rapportering om det svenska engagemanget till riksdagen.</w:t>
      </w:r>
    </w:p>
    <w:p w:rsidR="001547A4" w:rsidRPr="009C46CC" w:rsidRDefault="001547A4" w:rsidP="00197FD6">
      <w:pPr>
        <w:pStyle w:val="R3"/>
      </w:pPr>
      <w:r w:rsidRPr="009C46CC">
        <w:t xml:space="preserve">Försvarsmaktens stöd till samhället vid kriser (RiR 2011:15) </w:t>
      </w:r>
    </w:p>
    <w:p w:rsidR="001547A4" w:rsidRPr="009C46CC" w:rsidRDefault="001547A4" w:rsidP="001547A4">
      <w:r w:rsidRPr="009C46CC">
        <w:t>I riksdagens mål med det militära försvaret ingår att skydda samhället och dess funktionalitet i form av stöd till civila myndigheter. Om det inträffar en allvarlig civil kris i Sverige ska Försvarsmakten kunna bistå samhället. Fö</w:t>
      </w:r>
      <w:r w:rsidRPr="009C46CC">
        <w:t>r</w:t>
      </w:r>
      <w:r w:rsidRPr="009C46CC">
        <w:t xml:space="preserve">svarsmakten har genomgått kraftiga förändringar under de senaste 15 åren. Förband och materiel har avvecklats och myndighetens personella resurser har minskat. Vidare har svensk krisberedskap förändrats. </w:t>
      </w:r>
    </w:p>
    <w:p w:rsidR="001547A4" w:rsidRPr="009C46CC" w:rsidRDefault="001547A4" w:rsidP="001547A4">
      <w:pPr>
        <w:pStyle w:val="Normaltindrag"/>
      </w:pPr>
      <w:r w:rsidRPr="009C46CC">
        <w:t>I ljuset av dessa förändringar har Riksrevisionen granskat om Försvar</w:t>
      </w:r>
      <w:r w:rsidRPr="009C46CC">
        <w:t>s</w:t>
      </w:r>
      <w:r w:rsidRPr="009C46CC">
        <w:t>makten fungerar som en effektiv och ändamålsenlig resurs i samhällets kri</w:t>
      </w:r>
      <w:r w:rsidRPr="009C46CC">
        <w:t>s</w:t>
      </w:r>
      <w:r w:rsidRPr="009C46CC">
        <w:t>hantering. Av granskningen framgår att försvaret har viktiga resurser av bet</w:t>
      </w:r>
      <w:r w:rsidRPr="009C46CC">
        <w:t>y</w:t>
      </w:r>
      <w:r w:rsidRPr="009C46CC">
        <w:t>delse för samhället vid kriser. På kommunal och regional nivå behövs dock ökad kunskap om vad Försvarsmakten kan göra vid en kris. Otydligheten innebär att civila aktörer riskerar att över- eller underskatta vilken hjälp de kan få av försvaret. Det är varken samhällsekonomiskt effektivt eller bra för svensk krisberedskap.</w:t>
      </w:r>
    </w:p>
    <w:p w:rsidR="001547A4" w:rsidRPr="009C46CC" w:rsidRDefault="001547A4" w:rsidP="001547A4">
      <w:pPr>
        <w:pStyle w:val="Normaltindrag"/>
      </w:pPr>
      <w:r w:rsidRPr="009C46CC">
        <w:t xml:space="preserve">Enligt regeringen är Försvarsmakten en viktig resurs i krishanteringen. Samtidigt ska denna uppgift hanteras inom ramen för befintlig förmåga och befintliga resurser. Riksrevisionen menar att regeringens styrning delvis är dubbelbottnad. Regeringen har inte varit tillräckligt tydlig med vad uppgiften innebär och vilket ansvar Försvarsmakten har. Därmed har regeringen lämnat ett tolkningsutrymme när det gäller Försvarsmaktens roll som har skapat en otydlighet för Försvarsmakten och för samhällets krishantering. </w:t>
      </w:r>
    </w:p>
    <w:p w:rsidR="001547A4" w:rsidRPr="009C46CC" w:rsidRDefault="001547A4" w:rsidP="001547A4">
      <w:pPr>
        <w:pStyle w:val="Rubrik2"/>
      </w:pPr>
      <w:bookmarkStart w:id="51" w:name="_Toc293393626"/>
      <w:bookmarkStart w:id="52" w:name="_Toc293647915"/>
      <w:r w:rsidRPr="009C46CC">
        <w:t>Socialförsäkringsutskottet (SfU)</w:t>
      </w:r>
      <w:bookmarkEnd w:id="51"/>
      <w:bookmarkEnd w:id="52"/>
      <w:r w:rsidRPr="009C46CC">
        <w:t xml:space="preserve"> </w:t>
      </w:r>
    </w:p>
    <w:p w:rsidR="001547A4" w:rsidRPr="009C46CC" w:rsidRDefault="001547A4" w:rsidP="008069B4">
      <w:pPr>
        <w:pStyle w:val="R3"/>
        <w:spacing w:before="240"/>
      </w:pPr>
      <w:r w:rsidRPr="009C46CC">
        <w:t>Informationsutbyte mellan myndigheter med ansvar för trygghetssystem (RiR 2010:18)</w:t>
      </w:r>
    </w:p>
    <w:p w:rsidR="001547A4" w:rsidRPr="009C46CC" w:rsidRDefault="001547A4" w:rsidP="001547A4">
      <w:r w:rsidRPr="009C46CC">
        <w:t>Flera myndigheter arbetar med transfereringen av pengar inom ramen för det svenska trygghetssystemet. Det är viktigt att dessa myndigheter är bra på att dela information mellan varandra. Görs inte detta ökar risken för att individer felaktigt får ersättning från flera system samtidigt. Servicen till individen kan påverkas negativt. Det kan också leda till en onödigt dyr administration. I dag omsätter transfereringssystemen omkring 520 miljarder kronor per år.</w:t>
      </w:r>
    </w:p>
    <w:p w:rsidR="001547A4" w:rsidRPr="009C46CC" w:rsidRDefault="001547A4" w:rsidP="001547A4">
      <w:pPr>
        <w:pStyle w:val="Normaltindrag"/>
      </w:pPr>
      <w:r w:rsidRPr="009C46CC">
        <w:t xml:space="preserve">Riksrevisionen har därför granskat om regeringen och myndigheterna har använt de möjligheter för utökat elektroniskt informationsutbyte som lag och teknik erbjuder.  Granskningen visar att myndigheterna inte har utnyttjat alla dessa möjligheter. Det innebär bland annat en stor effektiviseringspotential. </w:t>
      </w:r>
    </w:p>
    <w:p w:rsidR="001547A4" w:rsidRPr="009C46CC" w:rsidRDefault="001547A4" w:rsidP="001547A4">
      <w:pPr>
        <w:pStyle w:val="Normaltindrag"/>
      </w:pPr>
      <w:r w:rsidRPr="009C46CC">
        <w:t>Granskningen visar att flera informationsutbyten inte kommer till stånd. Det finns även möjlighet till förbättringar i redan etablerade utbyten. Rege</w:t>
      </w:r>
      <w:r w:rsidRPr="009C46CC">
        <w:t>r</w:t>
      </w:r>
      <w:r w:rsidRPr="009C46CC">
        <w:t>ingen kan göra mer i de fall myndigheter inte agerat. Regeringen bör dessu</w:t>
      </w:r>
      <w:r w:rsidRPr="009C46CC">
        <w:t>t</w:t>
      </w:r>
      <w:r w:rsidRPr="009C46CC">
        <w:t>om säkerställa att samhällsekonomiskt lönsamma informationsutbyten ko</w:t>
      </w:r>
      <w:r w:rsidRPr="009C46CC">
        <w:t>m</w:t>
      </w:r>
      <w:r w:rsidRPr="009C46CC">
        <w:t>mer till stånd.</w:t>
      </w:r>
    </w:p>
    <w:p w:rsidR="001547A4" w:rsidRPr="009C46CC" w:rsidRDefault="001547A4" w:rsidP="00197FD6">
      <w:pPr>
        <w:pStyle w:val="R3"/>
      </w:pPr>
      <w:r w:rsidRPr="009C46CC">
        <w:t>Underhållsstödet – för barnens bästa? (RiR 2010:22)</w:t>
      </w:r>
    </w:p>
    <w:p w:rsidR="001547A4" w:rsidRPr="009C46CC" w:rsidRDefault="001547A4" w:rsidP="001547A4">
      <w:r w:rsidRPr="009C46CC">
        <w:t xml:space="preserve">Underhållsstödet ska garantera att barn till särlevande föräldrar får ett visst underhåll även när den bidragsskyldige föräldern inte fullgör sin skyldighet. Stödet ska också tydliggöra att båda föräldrarna har ansvar för försörjningen av sina barn. </w:t>
      </w:r>
    </w:p>
    <w:p w:rsidR="001547A4" w:rsidRPr="009C46CC" w:rsidRDefault="001547A4" w:rsidP="001547A4">
      <w:pPr>
        <w:pStyle w:val="Normaltindrag"/>
      </w:pPr>
      <w:r w:rsidRPr="009C46CC">
        <w:t>Riksrevisionen har därför granskat om underhållsstödet är ett bra verktyg inom familjepolitiken och om systemet hanteras effektivt. Underhållsstödet sköts av Försäkringskassan och berör omkring 226 000 barn och 297 000 föräldrar. Statens kostnader för stödet är drygt 2 miljarder kronor per år, inte inkluderat de administrativa kostnaderna på omkring 366 miljoner kronor.</w:t>
      </w:r>
    </w:p>
    <w:p w:rsidR="001547A4" w:rsidRPr="009C46CC" w:rsidRDefault="001547A4" w:rsidP="001547A4">
      <w:pPr>
        <w:pStyle w:val="Normaltindrag"/>
      </w:pPr>
      <w:r w:rsidRPr="009C46CC">
        <w:t>Granskningen visar att systemet för underhållsstöd har stora problem och brister och att en övergripande översyn av systemet behövs. Den viktigaste slutsatsen är att många barn går miste om underhåll. Många föräldrar betalar ett lägre belopp i underhållsstöd till sina barn än vad som skulle vara fallet om reglerna i föräldrabalken tillämpades. Det beror bland annat på att Försä</w:t>
      </w:r>
      <w:r w:rsidRPr="009C46CC">
        <w:t>k</w:t>
      </w:r>
      <w:r w:rsidRPr="009C46CC">
        <w:t>ringskassans informationsinsatser är otillräckliga. Dessutom finns ingen sta</w:t>
      </w:r>
      <w:r w:rsidRPr="009C46CC">
        <w:t>t</w:t>
      </w:r>
      <w:r w:rsidRPr="009C46CC">
        <w:t xml:space="preserve">lig aktör som kan hjälpa föräldrar med att beräkna underhållet för sina barn enligt föräldrabalkens regler. </w:t>
      </w:r>
    </w:p>
    <w:p w:rsidR="001547A4" w:rsidRPr="009C46CC" w:rsidRDefault="001547A4" w:rsidP="00197FD6">
      <w:pPr>
        <w:pStyle w:val="R3"/>
      </w:pPr>
      <w:r w:rsidRPr="009C46CC">
        <w:t>Samordning av stöd till barn och unga med funktionsnedsättning – Ett (o)lösligt problem? (RiR 2011:17)</w:t>
      </w:r>
    </w:p>
    <w:p w:rsidR="001547A4" w:rsidRPr="009C46CC" w:rsidRDefault="001547A4" w:rsidP="001547A4">
      <w:r w:rsidRPr="009C46CC">
        <w:t>I rapporten granskas om stödet till barn och unga med funktionsnedsättning är organiserat på ett sätt som underlättar för berörda familjer så att samor</w:t>
      </w:r>
      <w:r w:rsidRPr="009C46CC">
        <w:t>d</w:t>
      </w:r>
      <w:r w:rsidRPr="009C46CC">
        <w:t>ningsproblem undviks.</w:t>
      </w:r>
    </w:p>
    <w:p w:rsidR="001547A4" w:rsidRPr="009C46CC" w:rsidRDefault="001547A4" w:rsidP="001547A4">
      <w:pPr>
        <w:pStyle w:val="Normaltindrag"/>
      </w:pPr>
      <w:r w:rsidRPr="009C46CC">
        <w:t>Granskningen visar att det, trots att flera satsningar genomförts för att fö</w:t>
      </w:r>
      <w:r w:rsidRPr="009C46CC">
        <w:t>r</w:t>
      </w:r>
      <w:r w:rsidRPr="009C46CC">
        <w:t>bättra samordning och samverkan mellan huvudmän och aktörer, fortfarande är föräldrarna som i hög grad tvingas bära huvudansvaret. Mångfalden av huvudmän och aktörer försvårar samverkan och bidrar till problem och förvi</w:t>
      </w:r>
      <w:r w:rsidRPr="009C46CC">
        <w:t>r</w:t>
      </w:r>
      <w:r w:rsidRPr="009C46CC">
        <w:t xml:space="preserve">ring hos alla inblandade. Ingen aktör anser sig ha ett uttalat mandat att driva samverkan och ingen känner sig som huvudansvarig för samordningen av stödet. Vidare saknas tillgång till en aktuell och heltäckande information om vilka stöd som finns och vilken huvudman som ansvarar för respektive stöd. </w:t>
      </w:r>
    </w:p>
    <w:p w:rsidR="001547A4" w:rsidRPr="009C46CC" w:rsidRDefault="001547A4" w:rsidP="001547A4">
      <w:pPr>
        <w:pStyle w:val="Normaltindrag"/>
      </w:pPr>
      <w:r w:rsidRPr="009C46CC">
        <w:t>Följden blir att samordningsansvaret fortfarande ligger hos föräldrarna, vilket kan vara en bidragande orsak till att de är sjukskrivna i större utsträc</w:t>
      </w:r>
      <w:r w:rsidRPr="009C46CC">
        <w:t>k</w:t>
      </w:r>
      <w:r w:rsidRPr="009C46CC">
        <w:t xml:space="preserve">ning och har svårare att hävda sig på arbetsmarknaden än andra föräldrar. Föräldrarnas orimliga samordningsbörda leder till att familjerna inte kan leva ett liv som liknar andra barnfamiljers liv. </w:t>
      </w:r>
    </w:p>
    <w:p w:rsidR="001547A4" w:rsidRPr="009C46CC" w:rsidRDefault="001547A4" w:rsidP="00197FD6">
      <w:pPr>
        <w:pStyle w:val="R3"/>
      </w:pPr>
      <w:r w:rsidRPr="009C46CC">
        <w:t>Rätt information vid rätt tillfälle inom vård och omsorg - samverkan utan verkan? (RiR 2011:19)</w:t>
      </w:r>
    </w:p>
    <w:p w:rsidR="001547A4" w:rsidRPr="009C46CC" w:rsidRDefault="001547A4" w:rsidP="001547A4">
      <w:pPr>
        <w:rPr>
          <w:rFonts w:eastAsia="Calibri"/>
        </w:rPr>
      </w:pPr>
      <w:r w:rsidRPr="009C46CC">
        <w:rPr>
          <w:rFonts w:eastAsia="Calibri"/>
        </w:rPr>
        <w:t>Tillgång till rätt patientinformation är avgörande för att vård- och omsorg</w:t>
      </w:r>
      <w:r w:rsidRPr="009C46CC">
        <w:rPr>
          <w:rFonts w:eastAsia="Calibri"/>
        </w:rPr>
        <w:t>s</w:t>
      </w:r>
      <w:r w:rsidRPr="009C46CC">
        <w:rPr>
          <w:rFonts w:eastAsia="Calibri"/>
        </w:rPr>
        <w:t>personal ska kunna ge en god och säker vård oavsett var eller av vem info</w:t>
      </w:r>
      <w:r w:rsidRPr="009C46CC">
        <w:rPr>
          <w:rFonts w:eastAsia="Calibri"/>
        </w:rPr>
        <w:t>r</w:t>
      </w:r>
      <w:r w:rsidRPr="009C46CC">
        <w:rPr>
          <w:rFonts w:eastAsia="Calibri"/>
        </w:rPr>
        <w:t>mationen har dokumenterats. En utveckling mot allt fler privata utförare av vård och omsorg gör det allt viktigare att säkerställa ett effektivt och säkert utbyte av patientinformation mellan vårdgivare. Riksrevisionen har granskat om de statliga insatserna varit effektiva för att bidra till målsättningen om att behörig vårdpersonal ska ha tillgång till rätt patientinformation vid rätt tillfä</w:t>
      </w:r>
      <w:r w:rsidRPr="009C46CC">
        <w:rPr>
          <w:rFonts w:eastAsia="Calibri"/>
        </w:rPr>
        <w:t>l</w:t>
      </w:r>
      <w:r w:rsidRPr="009C46CC">
        <w:rPr>
          <w:rFonts w:eastAsia="Calibri"/>
        </w:rPr>
        <w:t xml:space="preserve">le genom elektronisk direktåtkomst. </w:t>
      </w:r>
    </w:p>
    <w:p w:rsidR="001547A4" w:rsidRPr="009C46CC" w:rsidRDefault="001547A4" w:rsidP="001547A4">
      <w:pPr>
        <w:pStyle w:val="Normaltindrag"/>
        <w:rPr>
          <w:rFonts w:eastAsia="Calibri"/>
        </w:rPr>
      </w:pPr>
      <w:r w:rsidRPr="009C46CC">
        <w:rPr>
          <w:rFonts w:eastAsia="Calibri"/>
        </w:rPr>
        <w:t>Granskningen visar att vårdpersonalens tillgång till patientinformation hos andra vårdgivare fortfarande är mycket begränsad. Patientdatalagen har sk</w:t>
      </w:r>
      <w:r w:rsidRPr="009C46CC">
        <w:rPr>
          <w:rFonts w:eastAsia="Calibri"/>
        </w:rPr>
        <w:t>a</w:t>
      </w:r>
      <w:r w:rsidRPr="009C46CC">
        <w:rPr>
          <w:rFonts w:eastAsia="Calibri"/>
        </w:rPr>
        <w:t>pat förutsättningar, men upplevs som svår att tillämpa i praktiken. Möjligh</w:t>
      </w:r>
      <w:r w:rsidRPr="009C46CC">
        <w:rPr>
          <w:rFonts w:eastAsia="Calibri"/>
        </w:rPr>
        <w:t>e</w:t>
      </w:r>
      <w:r w:rsidRPr="009C46CC">
        <w:rPr>
          <w:rFonts w:eastAsia="Calibri"/>
        </w:rPr>
        <w:t>ten att ta del av patientinformation påverkas också av hur vården är organis</w:t>
      </w:r>
      <w:r w:rsidRPr="009C46CC">
        <w:rPr>
          <w:rFonts w:eastAsia="Calibri"/>
        </w:rPr>
        <w:t>e</w:t>
      </w:r>
      <w:r w:rsidRPr="009C46CC">
        <w:rPr>
          <w:rFonts w:eastAsia="Calibri"/>
        </w:rPr>
        <w:t xml:space="preserve">rad då </w:t>
      </w:r>
      <w:r w:rsidRPr="009C46CC">
        <w:t xml:space="preserve">patientdatalagen ställer hårdare krav vid informationsutbyte mellan olika vårdgivare än inom en vårdgivare. </w:t>
      </w:r>
      <w:r w:rsidRPr="009C46CC">
        <w:rPr>
          <w:rFonts w:eastAsia="Calibri"/>
        </w:rPr>
        <w:t>IT-infrastrukturen är inte heller til</w:t>
      </w:r>
      <w:r w:rsidRPr="009C46CC">
        <w:rPr>
          <w:rFonts w:eastAsia="Calibri"/>
        </w:rPr>
        <w:t>l</w:t>
      </w:r>
      <w:r w:rsidRPr="009C46CC">
        <w:rPr>
          <w:rFonts w:eastAsia="Calibri"/>
        </w:rPr>
        <w:t xml:space="preserve">räckligt utvecklad för att möjliggöra ett effektivt informationsutbyte mellan olika vårdgivare. </w:t>
      </w:r>
    </w:p>
    <w:p w:rsidR="001547A4" w:rsidRPr="009C46CC" w:rsidRDefault="001547A4" w:rsidP="001547A4">
      <w:pPr>
        <w:pStyle w:val="Normaltindrag"/>
        <w:rPr>
          <w:rFonts w:eastAsia="Calibri"/>
          <w:szCs w:val="24"/>
        </w:rPr>
      </w:pPr>
      <w:r w:rsidRPr="009C46CC">
        <w:rPr>
          <w:rFonts w:eastAsia="Calibri"/>
        </w:rPr>
        <w:t>Riksrevisionen anser att den valda samverkansformen som baseras på fr</w:t>
      </w:r>
      <w:r w:rsidRPr="009C46CC">
        <w:rPr>
          <w:rFonts w:eastAsia="Calibri"/>
        </w:rPr>
        <w:t>i</w:t>
      </w:r>
      <w:r w:rsidRPr="009C46CC">
        <w:rPr>
          <w:rFonts w:eastAsia="Calibri"/>
        </w:rPr>
        <w:t xml:space="preserve">villighet </w:t>
      </w:r>
      <w:r w:rsidRPr="009C46CC">
        <w:rPr>
          <w:rFonts w:eastAsia="Calibri"/>
          <w:sz w:val="24"/>
          <w:szCs w:val="24"/>
        </w:rPr>
        <w:t>och där ingen aktör har det övergripande ansvaret</w:t>
      </w:r>
      <w:r w:rsidRPr="009C46CC">
        <w:rPr>
          <w:rFonts w:eastAsia="Calibri"/>
        </w:rPr>
        <w:t>, saknar de förutsättningar som krävs för att de olika aktörernas insatser ska kunna bidra till att nå målet på ett effektivt sätt.</w:t>
      </w:r>
      <w:r w:rsidRPr="009C46CC">
        <w:rPr>
          <w:rFonts w:eastAsia="Calibri"/>
          <w:szCs w:val="24"/>
        </w:rPr>
        <w:t xml:space="preserve"> </w:t>
      </w:r>
    </w:p>
    <w:p w:rsidR="001547A4" w:rsidRPr="009C46CC" w:rsidRDefault="001547A4" w:rsidP="001547A4">
      <w:pPr>
        <w:pStyle w:val="normalmedindrag"/>
      </w:pPr>
    </w:p>
    <w:p w:rsidR="001547A4" w:rsidRPr="009C46CC" w:rsidRDefault="001547A4" w:rsidP="001547A4">
      <w:pPr>
        <w:pStyle w:val="Rubrik2"/>
      </w:pPr>
      <w:bookmarkStart w:id="53" w:name="_Toc293393627"/>
      <w:bookmarkStart w:id="54" w:name="_Toc293647916"/>
      <w:r w:rsidRPr="009C46CC">
        <w:t>Socialutskottet (SoU)</w:t>
      </w:r>
      <w:bookmarkEnd w:id="53"/>
      <w:bookmarkEnd w:id="54"/>
      <w:r w:rsidRPr="009C46CC">
        <w:t xml:space="preserve"> </w:t>
      </w:r>
    </w:p>
    <w:p w:rsidR="001547A4" w:rsidRPr="009C46CC" w:rsidRDefault="001547A4" w:rsidP="008069B4">
      <w:pPr>
        <w:pStyle w:val="R3"/>
        <w:spacing w:before="240"/>
      </w:pPr>
      <w:r w:rsidRPr="009C46CC">
        <w:t>Förberedelsearbetet i apoteksreformen (RiR 2010:19)</w:t>
      </w:r>
    </w:p>
    <w:p w:rsidR="001547A4" w:rsidRPr="009C46CC" w:rsidRDefault="001547A4" w:rsidP="001547A4">
      <w:r w:rsidRPr="009C46CC">
        <w:t xml:space="preserve">Den svenska apoteksmarknaden omreglerades den 1 juli 2009. Nu utsätts Apoteket AB för konkurrens och en apoteksmarknad har skapats. Målen med reformen är en ökad tillgänglighet, bättre service, större tjänsteutbud och låga läkemedelskostnader. </w:t>
      </w:r>
    </w:p>
    <w:p w:rsidR="001547A4" w:rsidRPr="009C46CC" w:rsidRDefault="001547A4" w:rsidP="001547A4">
      <w:pPr>
        <w:pStyle w:val="Normaltindrag"/>
      </w:pPr>
      <w:r w:rsidRPr="009C46CC">
        <w:t>Riksrevisionen har därför granskat regeringens, myndigheters och bolags förberedelsearbete i reformen. Av rapporten framgår att det finns brister i viktiga delar av förberedelsearbetet. Bristerna riskerar att försvåra arbetet med att skapa en apoteksmarknad och nå målen med reformen.</w:t>
      </w:r>
    </w:p>
    <w:p w:rsidR="001547A4" w:rsidRPr="009C46CC" w:rsidRDefault="001547A4" w:rsidP="001547A4">
      <w:pPr>
        <w:pStyle w:val="Normaltindrag"/>
      </w:pPr>
      <w:r w:rsidRPr="009C46CC">
        <w:t xml:space="preserve">Det saknas en dokumenterad analys av vilka rättsliga frågor som övervägts och beretts inför valet av genomförandeorganisation och reformens totala upplägg. Det finns heller inte en förutsättningslös analys av regleringen av apotekens handelsmarginal. </w:t>
      </w:r>
    </w:p>
    <w:p w:rsidR="001547A4" w:rsidRPr="009C46CC" w:rsidRDefault="001547A4" w:rsidP="001547A4">
      <w:pPr>
        <w:pStyle w:val="Normaltindrag"/>
      </w:pPr>
      <w:r w:rsidRPr="009C46CC">
        <w:t xml:space="preserve">Regeringens organisering och arbetssätt i förberedelsearbetet har också delvis motverkat en effektiv användning av statens resurser. Det finns en Ansvarsfördelningen för tillståndsgivning och tillsyn är överlappande. Det saknas också uppgifter för att kunna utvärdera reformen fullt ut. </w:t>
      </w:r>
    </w:p>
    <w:p w:rsidR="001547A4" w:rsidRPr="009C46CC" w:rsidRDefault="001547A4" w:rsidP="00197FD6">
      <w:pPr>
        <w:pStyle w:val="R3"/>
      </w:pPr>
      <w:r w:rsidRPr="009C46CC">
        <w:t>Statliga stöd i alkoholpolitiken – Påverkas ungas alkoholkonsumtion? (RiR 2010:21)</w:t>
      </w:r>
    </w:p>
    <w:p w:rsidR="001547A4" w:rsidRPr="009C46CC" w:rsidRDefault="001547A4" w:rsidP="001547A4">
      <w:r w:rsidRPr="009C46CC">
        <w:t>Sedan 2000-talets inledning har arbetet för att förebygga unga människors alkoholkonsumtion prioriterats. Under de gångna tio åren har staten satsat nästan 1,4 miljarder kronor på lokalt förebyggande arbete, varav ungefär 900 miljoner kronor avsett barn och ungdomar. Insatserna har genomförts av kommuner och ideella organisationer, som arbetat med bland annat attitydp</w:t>
      </w:r>
      <w:r w:rsidRPr="009C46CC">
        <w:t>å</w:t>
      </w:r>
      <w:r w:rsidRPr="009C46CC">
        <w:t>verkan för att begränsa efterfrågan på alkohol.</w:t>
      </w:r>
    </w:p>
    <w:p w:rsidR="001547A4" w:rsidRPr="009C46CC" w:rsidRDefault="001547A4" w:rsidP="001547A4">
      <w:pPr>
        <w:pStyle w:val="Normaltindrag"/>
      </w:pPr>
      <w:r w:rsidRPr="009C46CC">
        <w:t>Riksrevisionen har därför granskat om statens bidrag till förebyggande projekt och stöd till kommunernas alkoholtillsyn varit effektivt i den menin</w:t>
      </w:r>
      <w:r w:rsidRPr="009C46CC">
        <w:t>g</w:t>
      </w:r>
      <w:r w:rsidRPr="009C46CC">
        <w:t xml:space="preserve">en att ungas alkoholkonsumtion påverkats. </w:t>
      </w:r>
    </w:p>
    <w:p w:rsidR="001547A4" w:rsidRPr="009C46CC" w:rsidRDefault="001547A4" w:rsidP="001547A4">
      <w:pPr>
        <w:pStyle w:val="Normaltindrag"/>
      </w:pPr>
      <w:r w:rsidRPr="009C46CC">
        <w:t>Granskningen har funnit få belägg för att statens bidrag till kommuner och ideella organisationer och statens stöd till tillsynen har påverkat ungas alk</w:t>
      </w:r>
      <w:r w:rsidRPr="009C46CC">
        <w:t>o</w:t>
      </w:r>
      <w:r w:rsidRPr="009C46CC">
        <w:t>holkonsumtion. Det är svårt att koppla förebyggande insatser till förändrin</w:t>
      </w:r>
      <w:r w:rsidRPr="009C46CC">
        <w:t>g</w:t>
      </w:r>
      <w:r w:rsidRPr="009C46CC">
        <w:t xml:space="preserve">arna i alkoholkonsumtionen. </w:t>
      </w:r>
    </w:p>
    <w:p w:rsidR="001547A4" w:rsidRPr="009C46CC" w:rsidRDefault="001547A4" w:rsidP="001547A4">
      <w:pPr>
        <w:pStyle w:val="Normaltindrag"/>
      </w:pPr>
      <w:r w:rsidRPr="009C46CC">
        <w:t>Vidare har myndigheterna, kommunerna och de ideella organisationerna hanterat bidragen så att effekter är svåra att uppnå och att avläsa. Gransknin</w:t>
      </w:r>
      <w:r w:rsidRPr="009C46CC">
        <w:t>g</w:t>
      </w:r>
      <w:r w:rsidRPr="009C46CC">
        <w:t>en visar också att myndigheternas och kommunernas tillsyn av serveringsstä</w:t>
      </w:r>
      <w:r w:rsidRPr="009C46CC">
        <w:t>l</w:t>
      </w:r>
      <w:r w:rsidRPr="009C46CC">
        <w:t>len inte är tillräcklig.</w:t>
      </w:r>
    </w:p>
    <w:p w:rsidR="001547A4" w:rsidRPr="009C46CC" w:rsidRDefault="001547A4" w:rsidP="001547A4">
      <w:pPr>
        <w:pStyle w:val="Rubrik2"/>
      </w:pPr>
      <w:bookmarkStart w:id="55" w:name="_Toc293393628"/>
      <w:bookmarkStart w:id="56" w:name="_Toc293647917"/>
      <w:r w:rsidRPr="009C46CC">
        <w:t>Kulturutskottet (KrU)</w:t>
      </w:r>
      <w:bookmarkEnd w:id="55"/>
      <w:bookmarkEnd w:id="56"/>
      <w:r w:rsidRPr="009C46CC">
        <w:t xml:space="preserve"> </w:t>
      </w:r>
    </w:p>
    <w:p w:rsidR="001547A4" w:rsidRPr="009C46CC" w:rsidRDefault="001547A4" w:rsidP="008069B4">
      <w:pPr>
        <w:pStyle w:val="R3"/>
        <w:spacing w:before="240"/>
      </w:pPr>
      <w:r w:rsidRPr="009C46CC">
        <w:t>Statens stöd till folkbildningen (RiR 2011:12)</w:t>
      </w:r>
    </w:p>
    <w:p w:rsidR="001547A4" w:rsidRPr="009C46CC" w:rsidRDefault="001547A4" w:rsidP="001547A4">
      <w:r w:rsidRPr="009C46CC">
        <w:t>Statsbidraget till studieförbundens folkbildningsverksamhet uppgår årligen till cirka 1,6 miljarder kronor. Folkbildningsrådet har fått ansvaret att fördela, följa upp och utvärdera statsbidraget. Det är en ideell förening med myndi</w:t>
      </w:r>
      <w:r w:rsidRPr="009C46CC">
        <w:t>g</w:t>
      </w:r>
      <w:r w:rsidRPr="009C46CC">
        <w:t xml:space="preserve">hetsuppgifter. </w:t>
      </w:r>
    </w:p>
    <w:p w:rsidR="001547A4" w:rsidRPr="009C46CC" w:rsidRDefault="001547A4" w:rsidP="001547A4">
      <w:pPr>
        <w:pStyle w:val="Normaltindrag"/>
      </w:pPr>
      <w:r w:rsidRPr="009C46CC">
        <w:t>Granskningen visar att systemet behöver förbättras så att användningen av statsbidraget för folkbildningen kan styras bättre mot de syften och priorit</w:t>
      </w:r>
      <w:r w:rsidRPr="009C46CC">
        <w:t>e</w:t>
      </w:r>
      <w:r w:rsidRPr="009C46CC">
        <w:t xml:space="preserve">ringar som riksdagen beslutat. </w:t>
      </w:r>
    </w:p>
    <w:p w:rsidR="001547A4" w:rsidRPr="009C46CC" w:rsidRDefault="001547A4" w:rsidP="001547A4">
      <w:pPr>
        <w:pStyle w:val="Normaltindrag"/>
      </w:pPr>
      <w:r w:rsidRPr="009C46CC">
        <w:t xml:space="preserve">Fördelningssystemet för statsbidrag utgår inte från kvalitativa kriterier som anknyter mot statens syften med folkbildningen. Det är i stället kvantitativt inriktat och utgår från verksamhetsvolymen (antal studiecirklar) och hur mycket statsbidrag studieförbunden fått tidigare år. </w:t>
      </w:r>
    </w:p>
    <w:p w:rsidR="001547A4" w:rsidRPr="009C46CC" w:rsidRDefault="001547A4" w:rsidP="001547A4">
      <w:pPr>
        <w:pStyle w:val="Normaltindrag"/>
      </w:pPr>
      <w:r w:rsidRPr="009C46CC">
        <w:t>Granskningen visar också att regeringens och Folkbildningsrådets uppföl</w:t>
      </w:r>
      <w:r w:rsidRPr="009C46CC">
        <w:t>j</w:t>
      </w:r>
      <w:r w:rsidRPr="009C46CC">
        <w:t>ning och utvärdering är bristfällig. Riksdagen har efterfrågat en årlig inform</w:t>
      </w:r>
      <w:r w:rsidRPr="009C46CC">
        <w:t>a</w:t>
      </w:r>
      <w:r w:rsidRPr="009C46CC">
        <w:t xml:space="preserve">tion om hur statsbidraget används och andra uppgifter som belyser i vilken utsträckning statens syften tillgodoses. Folkbildningsrådets uppföljning och återrapportering har dock varit inriktad på kvantitativa faktorer. </w:t>
      </w:r>
    </w:p>
    <w:p w:rsidR="001547A4" w:rsidRPr="009C46CC" w:rsidRDefault="001547A4" w:rsidP="001547A4">
      <w:pPr>
        <w:pStyle w:val="Normaltindrag"/>
      </w:pPr>
      <w:r w:rsidRPr="009C46CC">
        <w:t>Av granskningen framgår också att den interna kontrollen av statsbidraget kan bli mer effektiv. Kontrollen föregås inte av risk- och väsentlighetsanal</w:t>
      </w:r>
      <w:r w:rsidRPr="009C46CC">
        <w:t>y</w:t>
      </w:r>
      <w:r w:rsidRPr="009C46CC">
        <w:t>ser, och Folkbildningsrådet gör inte någon egen eller extern kontroll av st</w:t>
      </w:r>
      <w:r w:rsidRPr="009C46CC">
        <w:t>u</w:t>
      </w:r>
      <w:r w:rsidRPr="009C46CC">
        <w:t xml:space="preserve">dieförbunden. </w:t>
      </w:r>
    </w:p>
    <w:p w:rsidR="001547A4" w:rsidRPr="009C46CC" w:rsidRDefault="001547A4" w:rsidP="001547A4">
      <w:pPr>
        <w:pStyle w:val="Rubrik2"/>
      </w:pPr>
      <w:bookmarkStart w:id="57" w:name="_Toc293393629"/>
      <w:bookmarkStart w:id="58" w:name="_Toc293647918"/>
      <w:r w:rsidRPr="009C46CC">
        <w:t>Utbildningsutskottet (UbU)</w:t>
      </w:r>
      <w:bookmarkEnd w:id="57"/>
      <w:bookmarkEnd w:id="58"/>
      <w:r w:rsidRPr="009C46CC">
        <w:t xml:space="preserve"> </w:t>
      </w:r>
    </w:p>
    <w:p w:rsidR="001547A4" w:rsidRPr="009C46CC" w:rsidRDefault="001547A4" w:rsidP="008069B4">
      <w:pPr>
        <w:pStyle w:val="R3"/>
        <w:spacing w:before="240"/>
      </w:pPr>
      <w:r w:rsidRPr="009C46CC">
        <w:t>Kapitalförvaltning i tider av kraftiga värdeförändringar (RiR 2010:17)</w:t>
      </w:r>
    </w:p>
    <w:p w:rsidR="001547A4" w:rsidRPr="009C46CC" w:rsidRDefault="001547A4" w:rsidP="001547A4">
      <w:r w:rsidRPr="009C46CC">
        <w:t>I rapporten granskas om kapitalförvaltningen vid statligt bildade stiftelser har hanterats på ett kvalificerat sätt. Granskningen fokuserar på kapitalförval</w:t>
      </w:r>
      <w:r w:rsidRPr="009C46CC">
        <w:t>t</w:t>
      </w:r>
      <w:r w:rsidRPr="009C46CC">
        <w:t xml:space="preserve">ningen i åtta stiftelser under en period med kraftiga värdeförändringar – åren kring 2008. </w:t>
      </w:r>
    </w:p>
    <w:p w:rsidR="001547A4" w:rsidRPr="009C46CC" w:rsidRDefault="001547A4" w:rsidP="001547A4">
      <w:pPr>
        <w:pStyle w:val="Normaltindrag"/>
      </w:pPr>
      <w:r w:rsidRPr="009C46CC">
        <w:t>Huvudintrycket är att de granskade stiftelserna har haft en ändamålsenlig hantering av kapitalförvaltningen. Sex av de åtta stiftelserna bedöms ha en god beredskap för kraftiga värdeförändringar. Enligt Riksrevisionens bedö</w:t>
      </w:r>
      <w:r w:rsidRPr="009C46CC">
        <w:t>m</w:t>
      </w:r>
      <w:r w:rsidRPr="009C46CC">
        <w:t>ning bör dock styrelsen inte delegera ansvar för beslut av principiell och strategisk betydelse för stiftelsens kapitalförvaltning i den omfattning som skett. Styrelsen bör inte heller delegera beslut om avkastningsmål, om att fastställa högsta tillåtna risk i förvaltningen eller om att fastställa förvaltnin</w:t>
      </w:r>
      <w:r w:rsidRPr="009C46CC">
        <w:t>g</w:t>
      </w:r>
      <w:r w:rsidRPr="009C46CC">
        <w:t>ens förslag till strategier. Arbetsordning och delegeringar bör även regelbu</w:t>
      </w:r>
      <w:r w:rsidRPr="009C46CC">
        <w:t>n</w:t>
      </w:r>
      <w:r w:rsidRPr="009C46CC">
        <w:t>det ses över för att se till att styrelserna bibehåller sitt  ansvar för sina grun</w:t>
      </w:r>
      <w:r w:rsidRPr="009C46CC">
        <w:t>d</w:t>
      </w:r>
      <w:r w:rsidRPr="009C46CC">
        <w:t>läggande uppgifter.</w:t>
      </w:r>
    </w:p>
    <w:p w:rsidR="001547A4" w:rsidRPr="009C46CC" w:rsidRDefault="001547A4" w:rsidP="001547A4">
      <w:pPr>
        <w:pStyle w:val="Normaltindrag"/>
      </w:pPr>
      <w:r w:rsidRPr="009C46CC">
        <w:t>Rapporten lyfter fram regeringens ansvar för att se till att det sker en åte</w:t>
      </w:r>
      <w:r w:rsidRPr="009C46CC">
        <w:t>r</w:t>
      </w:r>
      <w:r w:rsidRPr="009C46CC">
        <w:t>kommande utvärdering av kapitalförvaltningen i de granskade stiftelserna. Riksdagen har våren 2010 beslutat att ge ökad frihet till flertalet av de gran</w:t>
      </w:r>
      <w:r w:rsidRPr="009C46CC">
        <w:t>s</w:t>
      </w:r>
      <w:r w:rsidRPr="009C46CC">
        <w:t>kade stiftelserna genom att regeringen framdeles ska utse endast två styrels</w:t>
      </w:r>
      <w:r w:rsidRPr="009C46CC">
        <w:t>e</w:t>
      </w:r>
      <w:r w:rsidRPr="009C46CC">
        <w:t>ledamöter. Förändringen innebär enligt vår bedömning att regeringens mö</w:t>
      </w:r>
      <w:r w:rsidRPr="009C46CC">
        <w:t>j</w:t>
      </w:r>
      <w:r w:rsidRPr="009C46CC">
        <w:t>ligheter att utkräva ansvar av styrelsen begränsas.</w:t>
      </w:r>
    </w:p>
    <w:p w:rsidR="001547A4" w:rsidRPr="009C46CC" w:rsidRDefault="001547A4" w:rsidP="00197FD6">
      <w:pPr>
        <w:pStyle w:val="R3"/>
      </w:pPr>
      <w:r w:rsidRPr="009C46CC">
        <w:t>Använder lärosätena resurserna effektivt? Effektivitet och produktivitet för universitet och högskolor (RiR 2011:2)</w:t>
      </w:r>
    </w:p>
    <w:p w:rsidR="001547A4" w:rsidRPr="009C46CC" w:rsidRDefault="001547A4" w:rsidP="001547A4">
      <w:r w:rsidRPr="009C46CC">
        <w:t xml:space="preserve">I rapporten granskas hur effektivt universitet och högskolor utnyttjar sina resurser samt hur lärosätenas produktivitet har utvecklats. I granskningen används en matematisk metod, den så kallade DEA-metoden, för att beräkna relativa effektivitetstal för 30 universitet och högskolor under perioden 2004–2008. </w:t>
      </w:r>
    </w:p>
    <w:p w:rsidR="001547A4" w:rsidRPr="009C46CC" w:rsidRDefault="001547A4" w:rsidP="001547A4">
      <w:pPr>
        <w:pStyle w:val="Normaltindrag"/>
      </w:pPr>
      <w:r w:rsidRPr="009C46CC">
        <w:t>Resultaten visar att ungefär hälften av lärosätena varit fullt effektiva. Hos övriga lärosäten finns det möjlighet att använda resurserna mer effektivt. För vissa lärosäten är förbättringspotentialen ganska stor, medan andra ligger nära fullt effektivt resursutnyttjande.</w:t>
      </w:r>
    </w:p>
    <w:p w:rsidR="001547A4" w:rsidRPr="009C46CC" w:rsidRDefault="001547A4" w:rsidP="001547A4">
      <w:pPr>
        <w:pStyle w:val="Normaltindrag"/>
      </w:pPr>
      <w:r w:rsidRPr="009C46CC">
        <w:t>Orsaker till att det för vissa lärosäten går att förbättra effektiviteten i r</w:t>
      </w:r>
      <w:r w:rsidRPr="009C46CC">
        <w:t>e</w:t>
      </w:r>
      <w:r w:rsidRPr="009C46CC">
        <w:t>sursutnyttjandet kan vara att en hög andel studenter läser på distans eller att studenter läser fristående kurser i stället för program. Dessutom tycks l</w:t>
      </w:r>
      <w:r w:rsidRPr="009C46CC">
        <w:t>ä</w:t>
      </w:r>
      <w:r w:rsidRPr="009C46CC">
        <w:t>rosäten som erbjuder utbildning inom ett färre antal områden utnyttja sina resurser mer effektivt.</w:t>
      </w:r>
    </w:p>
    <w:p w:rsidR="001547A4" w:rsidRPr="009C46CC" w:rsidRDefault="001547A4" w:rsidP="001547A4">
      <w:pPr>
        <w:pStyle w:val="Normaltindrag"/>
      </w:pPr>
      <w:r w:rsidRPr="009C46CC">
        <w:t>Enligt Riksrevisionens beräkningar har produktivitetsutvecklingen varit positiv under perioden 2004/05–2007/08. I genomsnitt har produktivitetsu</w:t>
      </w:r>
      <w:r w:rsidRPr="009C46CC">
        <w:t>t</w:t>
      </w:r>
      <w:r w:rsidRPr="009C46CC">
        <w:t>vecklingen för de granskade lärosätena varit drygt 2 procent.</w:t>
      </w:r>
    </w:p>
    <w:p w:rsidR="001547A4" w:rsidRPr="009C46CC" w:rsidRDefault="001547A4" w:rsidP="00197FD6">
      <w:pPr>
        <w:pStyle w:val="R3"/>
      </w:pPr>
      <w:r w:rsidRPr="009C46CC">
        <w:t xml:space="preserve">Oförbrukade forskningsbidrag vid universitet och högskolor (RiR 2011:3) </w:t>
      </w:r>
    </w:p>
    <w:p w:rsidR="001547A4" w:rsidRPr="009C46CC" w:rsidRDefault="001547A4" w:rsidP="001547A4">
      <w:r w:rsidRPr="009C46CC">
        <w:t>Under åren 2004–2009 skedde en kraftig ökning av oförbrukade forskning</w:t>
      </w:r>
      <w:r w:rsidRPr="009C46CC">
        <w:t>s</w:t>
      </w:r>
      <w:r w:rsidRPr="009C46CC">
        <w:t>bidrag hos universitet och högskolor. Granskningen visar att den kraftiga ökningen av oförbrukade bidrag inte enbart är en följd av ökad tillgång på externa medel för forskning. Det finns också andra omständigheter hos lär</w:t>
      </w:r>
      <w:r w:rsidRPr="009C46CC">
        <w:t>o</w:t>
      </w:r>
      <w:r w:rsidRPr="009C46CC">
        <w:t>sätena och finansiärerna som bidragit till ökningen. Till dessa hör ambitioner att koncentrera beviljade forskningsbidrag till färre forskare, att satsa på sta</w:t>
      </w:r>
      <w:r w:rsidRPr="009C46CC">
        <w:t>r</w:t>
      </w:r>
      <w:r w:rsidRPr="009C46CC">
        <w:t>ka forskningsmiljöer samt att prioritera resurser till särskilda forskningsomr</w:t>
      </w:r>
      <w:r w:rsidRPr="009C46CC">
        <w:t>å</w:t>
      </w:r>
      <w:r w:rsidRPr="009C46CC">
        <w:t>den.</w:t>
      </w:r>
    </w:p>
    <w:p w:rsidR="001547A4" w:rsidRPr="009C46CC" w:rsidRDefault="001547A4" w:rsidP="001547A4">
      <w:pPr>
        <w:pStyle w:val="Normaltindrag"/>
      </w:pPr>
      <w:r w:rsidRPr="009C46CC">
        <w:t>Vidare framgår av granskningen att det finns incitament för forskare att spara beviljade bidrag genom att skjuta fram projekt och därmed senarelägga användningen av forskningsbidrag. Många forskares anställning i högskolan är beroende av forskningsbidrag från externa finansiärer. För lärosätena finns det incitament att spara forskningsbidrag för att lättare kunna hantera vari</w:t>
      </w:r>
      <w:r w:rsidRPr="009C46CC">
        <w:t>a</w:t>
      </w:r>
      <w:r w:rsidRPr="009C46CC">
        <w:t>tioner i beviljade bidrag och i tillströmningen av studenter inom grundutbil</w:t>
      </w:r>
      <w:r w:rsidRPr="009C46CC">
        <w:t>d</w:t>
      </w:r>
      <w:r w:rsidRPr="009C46CC">
        <w:t>ningen. Detta leder till att medel från externa finansiärer inte förbrukas i den takt som planerats. Därmed ökar de oförbrukade forskningsbidragen.</w:t>
      </w:r>
    </w:p>
    <w:p w:rsidR="001547A4" w:rsidRPr="009C46CC" w:rsidRDefault="001547A4" w:rsidP="001547A4">
      <w:pPr>
        <w:pStyle w:val="Normaltindrag"/>
      </w:pPr>
      <w:r w:rsidRPr="009C46CC">
        <w:t>Granskningen visar också att regeringens, forskningsrådens och lärosät</w:t>
      </w:r>
      <w:r w:rsidRPr="009C46CC">
        <w:t>e</w:t>
      </w:r>
      <w:r w:rsidRPr="009C46CC">
        <w:t>nas uppföljning av den externt finansierade forskningen ofta är bristfällig. Regeringen har inte under den granskade perioden vidtagit tillräckliga åtgä</w:t>
      </w:r>
      <w:r w:rsidRPr="009C46CC">
        <w:t>r</w:t>
      </w:r>
      <w:r w:rsidRPr="009C46CC">
        <w:t>der för att motverka den kraftiga ökningen av oförbrukade forskningsbidrag.</w:t>
      </w:r>
    </w:p>
    <w:p w:rsidR="001547A4" w:rsidRPr="009C46CC" w:rsidRDefault="001547A4" w:rsidP="001547A4">
      <w:pPr>
        <w:pStyle w:val="Rubrik2"/>
      </w:pPr>
      <w:bookmarkStart w:id="59" w:name="_Toc293393630"/>
      <w:bookmarkStart w:id="60" w:name="_Toc293647919"/>
      <w:r w:rsidRPr="009C46CC">
        <w:t>Trafikutskottet (TU)</w:t>
      </w:r>
      <w:bookmarkEnd w:id="59"/>
      <w:bookmarkEnd w:id="60"/>
      <w:r w:rsidRPr="009C46CC">
        <w:t xml:space="preserve"> </w:t>
      </w:r>
    </w:p>
    <w:p w:rsidR="001547A4" w:rsidRPr="009C46CC" w:rsidRDefault="001547A4" w:rsidP="008069B4">
      <w:pPr>
        <w:pStyle w:val="R3"/>
        <w:spacing w:before="240"/>
      </w:pPr>
      <w:r w:rsidRPr="009C46CC">
        <w:t xml:space="preserve">Underhåll av järnväg (RiR 2010:16) </w:t>
      </w:r>
    </w:p>
    <w:p w:rsidR="001547A4" w:rsidRPr="009C46CC" w:rsidRDefault="001547A4" w:rsidP="001547A4">
      <w:r w:rsidRPr="009C46CC">
        <w:t>I rapporten granskas dåvarande Banverkets underhållsåtgärder på medellång och lång sikt. Syftet har varit att undersöka om det funnits brister i underlagen för att bedöma de statliga järnvägarnas underhållsbehov och föreslå förbät</w:t>
      </w:r>
      <w:r w:rsidRPr="009C46CC">
        <w:t>t</w:t>
      </w:r>
      <w:r w:rsidRPr="009C46CC">
        <w:t>ringsåtgärder för framtida planering.</w:t>
      </w:r>
    </w:p>
    <w:p w:rsidR="001547A4" w:rsidRPr="009C46CC" w:rsidRDefault="001547A4" w:rsidP="001547A4">
      <w:pPr>
        <w:pStyle w:val="Normaltindrag"/>
      </w:pPr>
      <w:r w:rsidRPr="009C46CC">
        <w:t>Staten satsar årligen drygt 5 miljarder kronor på underhåll av de statliga järnvägarna. Granskningen visar att Banverket inte förmått att ta fram til</w:t>
      </w:r>
      <w:r w:rsidRPr="009C46CC">
        <w:t>l</w:t>
      </w:r>
      <w:r w:rsidRPr="009C46CC">
        <w:t xml:space="preserve">räckliga och tillförlitliga underlag för att styrningen av underhållet ska vara effektiv. Detta innebär att underhållsresurserna riskerar att användas fel. </w:t>
      </w:r>
    </w:p>
    <w:p w:rsidR="001547A4" w:rsidRPr="009C46CC" w:rsidRDefault="001547A4" w:rsidP="001547A4">
      <w:pPr>
        <w:pStyle w:val="Normaltindrag"/>
      </w:pPr>
      <w:r w:rsidRPr="009C46CC">
        <w:t>Vidare finns det brister i de informationssystem som beskriver järnväga</w:t>
      </w:r>
      <w:r w:rsidRPr="009C46CC">
        <w:t>r</w:t>
      </w:r>
      <w:r w:rsidRPr="009C46CC">
        <w:t>nas tillstånd. Även Banverkets riktlinjer för hur underhållsbehoven ska bed</w:t>
      </w:r>
      <w:r w:rsidRPr="009C46CC">
        <w:t>ö</w:t>
      </w:r>
      <w:r w:rsidRPr="009C46CC">
        <w:t>mas är otydliga. Bristerna påverkar verkets förutsättningar att planera unde</w:t>
      </w:r>
      <w:r w:rsidRPr="009C46CC">
        <w:t>r</w:t>
      </w:r>
      <w:r w:rsidRPr="009C46CC">
        <w:t>hållet.</w:t>
      </w:r>
    </w:p>
    <w:p w:rsidR="001547A4" w:rsidRPr="009C46CC" w:rsidRDefault="001547A4" w:rsidP="001547A4">
      <w:pPr>
        <w:pStyle w:val="Normaltindrag"/>
      </w:pPr>
      <w:r w:rsidRPr="009C46CC">
        <w:t xml:space="preserve">Av granskningen framgår att regeringens styrning av järnvägsunderhållet varit passiv. Det har delvis medfört att Banverkets analys av de långsiktiga underhållsbehoven är ofullständig. Det finns därför en stor osäkerhet om hur stort det eftersläpande underhållet egentligen är. </w:t>
      </w:r>
    </w:p>
    <w:p w:rsidR="001547A4" w:rsidRPr="009C46CC" w:rsidRDefault="001547A4" w:rsidP="001547A4">
      <w:pPr>
        <w:pStyle w:val="Normaltindrag"/>
      </w:pPr>
      <w:r w:rsidRPr="009C46CC">
        <w:t>Det finns vidare en dålig kunskap om sambanden mellan underhållsåtgä</w:t>
      </w:r>
      <w:r w:rsidRPr="009C46CC">
        <w:t>r</w:t>
      </w:r>
      <w:r w:rsidRPr="009C46CC">
        <w:t>derna och effekter på till exempel tågens punktlighet. Det beror bland annat på att regeringen inte begärt någon uppföljning av hur underhållsverksamh</w:t>
      </w:r>
      <w:r w:rsidRPr="009C46CC">
        <w:t>e</w:t>
      </w:r>
      <w:r w:rsidRPr="009C46CC">
        <w:t>ten utvecklats.</w:t>
      </w:r>
    </w:p>
    <w:p w:rsidR="001547A4" w:rsidRPr="009C46CC" w:rsidRDefault="001547A4" w:rsidP="00197FD6">
      <w:pPr>
        <w:pStyle w:val="R3"/>
      </w:pPr>
      <w:r w:rsidRPr="009C46CC">
        <w:t xml:space="preserve">Kostnadskontroll i stora väginvesteringar? (RiR 2010:25) </w:t>
      </w:r>
    </w:p>
    <w:p w:rsidR="001547A4" w:rsidRPr="009C46CC" w:rsidRDefault="001547A4" w:rsidP="001547A4">
      <w:r w:rsidRPr="009C46CC">
        <w:t>I rapporten granskas kostnadskontrollen i Trafikverkets stora väginvesterin</w:t>
      </w:r>
      <w:r w:rsidRPr="009C46CC">
        <w:t>g</w:t>
      </w:r>
      <w:r w:rsidRPr="009C46CC">
        <w:t>ar. Syftet var att bedöma om staten säkerställt en god kostnadskontroll. Fokus ligger därmed på hur kostnadsökningar beräknas, redovisas och hanteras och vilka de direkta och underliggande orsakerna till kostnadsökningar är.</w:t>
      </w:r>
    </w:p>
    <w:p w:rsidR="001547A4" w:rsidRPr="009C46CC" w:rsidRDefault="001547A4" w:rsidP="001547A4">
      <w:pPr>
        <w:pStyle w:val="Normaltindrag"/>
      </w:pPr>
      <w:r w:rsidRPr="009C46CC">
        <w:t>Granskningen visar att kostnadskontrollen i stora väginvesteringar har bri</w:t>
      </w:r>
      <w:r w:rsidRPr="009C46CC">
        <w:t>s</w:t>
      </w:r>
      <w:r w:rsidRPr="009C46CC">
        <w:t>ter. Den redovisning av kostnadsutvecklingen som lämnats i dåvarande Vägverkets årsredovisningar ger därmed inte en rättvisande bild. Bland annat har ett utbrett användande av ett eget branschindex (”Vägindex”) i Trafikve</w:t>
      </w:r>
      <w:r w:rsidRPr="009C46CC">
        <w:t>r</w:t>
      </w:r>
      <w:r w:rsidRPr="009C46CC">
        <w:t>ket lett till att verkliga kostnadsökningar i väginvesteringarna döljs i redovi</w:t>
      </w:r>
      <w:r w:rsidRPr="009C46CC">
        <w:t>s</w:t>
      </w:r>
      <w:r w:rsidRPr="009C46CC">
        <w:t>ningen. Vidare innebär regeringens och Vägverkets princip att jämföra väga</w:t>
      </w:r>
      <w:r w:rsidRPr="009C46CC">
        <w:t>r</w:t>
      </w:r>
      <w:r w:rsidRPr="009C46CC">
        <w:t xml:space="preserve">nas slutkostnad med dess senaste beslutade plankostnad att fördyringar som inträffat före den senaste åtgärdsplaneringen inte räknas med.  </w:t>
      </w:r>
    </w:p>
    <w:p w:rsidR="001547A4" w:rsidRPr="009C46CC" w:rsidRDefault="001547A4" w:rsidP="001547A4">
      <w:pPr>
        <w:pStyle w:val="Normaltindrag"/>
      </w:pPr>
      <w:r w:rsidRPr="009C46CC">
        <w:t>Av granskningen framgår också att Vägverket/Trafikverket inte gjort sy</w:t>
      </w:r>
      <w:r w:rsidRPr="009C46CC">
        <w:t>s</w:t>
      </w:r>
      <w:r w:rsidRPr="009C46CC">
        <w:t>tematiska sammanställningar av kostnadsavvikelserna och orsakerna till de</w:t>
      </w:r>
      <w:r w:rsidRPr="009C46CC">
        <w:t>s</w:t>
      </w:r>
      <w:r w:rsidRPr="009C46CC">
        <w:t xml:space="preserve">sa. </w:t>
      </w:r>
    </w:p>
    <w:p w:rsidR="001547A4" w:rsidRPr="009C46CC" w:rsidRDefault="001547A4" w:rsidP="001547A4">
      <w:pPr>
        <w:pStyle w:val="Normaltindrag"/>
      </w:pPr>
      <w:r w:rsidRPr="009C46CC">
        <w:t>Inom Vägverket har det funnits ett decentraliserat arbetssätt där projek</w:t>
      </w:r>
      <w:r w:rsidRPr="009C46CC">
        <w:t>t</w:t>
      </w:r>
      <w:r w:rsidRPr="009C46CC">
        <w:t>ledningarna för stora väginvesteringar har haft en svag styrning och ett svagt stöd från centralt håll i organisationen. Detta har inneburit att Vägverket har saknat ett enhetligt arbetssätt för att hålla kostnaderna nere i projekten och för att skapa beredskap för att hantera oväntade kostnadsökningar.</w:t>
      </w:r>
    </w:p>
    <w:p w:rsidR="001547A4" w:rsidRPr="009C46CC" w:rsidRDefault="001547A4" w:rsidP="00197FD6">
      <w:pPr>
        <w:pStyle w:val="R3"/>
      </w:pPr>
      <w:r w:rsidRPr="009C46CC">
        <w:t>Förvaltningen av samhällsekonomiska metoder inom infrastrukturområdet (RiR 2010:27)</w:t>
      </w:r>
    </w:p>
    <w:p w:rsidR="001547A4" w:rsidRPr="009C46CC" w:rsidRDefault="001547A4" w:rsidP="001547A4">
      <w:r w:rsidRPr="009C46CC">
        <w:t>Investeringar i infrastruktur, såsom nya vägar och järnvägar, medför stora kostnader och konsekvenser för samhället i stort. I rapporten granskas om de samhällsekonomiska metoder som används inför beslut om infrastrukturinv</w:t>
      </w:r>
      <w:r w:rsidRPr="009C46CC">
        <w:t>e</w:t>
      </w:r>
      <w:r w:rsidRPr="009C46CC">
        <w:t>steringar förvaltas på ett effektivt sätt. Riksdag och regering har framhållit vikten av att samhällsekonomiska analyser ska ligga till grund för sådana beslut.</w:t>
      </w:r>
    </w:p>
    <w:p w:rsidR="001547A4" w:rsidRPr="009C46CC" w:rsidRDefault="001547A4" w:rsidP="001547A4">
      <w:pPr>
        <w:pStyle w:val="Normaltindrag"/>
      </w:pPr>
      <w:r w:rsidRPr="009C46CC">
        <w:t>Granskningen visar att förvaltningen av metoderna har åtskilliga brister, vilket medför en påtaglig osäkerhet kring analysernas kvalitet. Exempelvis saknas rutiner för hur stora datamängder som ska kvalitetssäkras samt sparas och spridas till olika användare. Överlag saknas dessutom system för, och faktisk, förvaltning av de datamodeller som används vid analyserna samt forum för att fånga upp synpunkter på modellernas utvecklingsbehov. Det finns heller inga rutiner som garanterar transparens kring hur de beräkning</w:t>
      </w:r>
      <w:r w:rsidRPr="009C46CC">
        <w:t>s</w:t>
      </w:r>
      <w:r w:rsidRPr="009C46CC">
        <w:t>förutsättningar som ligger till grund för analyserna är framtagna. Vidare sa</w:t>
      </w:r>
      <w:r w:rsidRPr="009C46CC">
        <w:t>k</w:t>
      </w:r>
      <w:r w:rsidRPr="009C46CC">
        <w:t xml:space="preserve">nas tydliga riktlinjer för hur analyserna ska dokumenteras och i viss mån också för hur analysresultaten ska redovisas. </w:t>
      </w:r>
    </w:p>
    <w:p w:rsidR="001547A4" w:rsidRPr="009C46CC" w:rsidRDefault="001547A4" w:rsidP="001547A4">
      <w:pPr>
        <w:pStyle w:val="Normaltindrag"/>
      </w:pPr>
      <w:r w:rsidRPr="009C46CC">
        <w:t>Förvaltningen försvåras av att det enbart är ett fåtal personer som är insatta i hur datamodellerna fungerar i detalj. Vidare innebär Trafikverkets konsul</w:t>
      </w:r>
      <w:r w:rsidRPr="009C46CC">
        <w:t>t</w:t>
      </w:r>
      <w:r w:rsidRPr="009C46CC">
        <w:t>beroende en sårbarhet i planeringssystemet. De konstaterade bristerna medför därför en påtaglig osäkerhet avseende de samhällsekonomiska analysernas, och därmed även de politiska beslutsunderlagens, kvalitet och jämförbarhet.</w:t>
      </w:r>
    </w:p>
    <w:p w:rsidR="001547A4" w:rsidRPr="009C46CC" w:rsidRDefault="001547A4" w:rsidP="00197FD6">
      <w:pPr>
        <w:pStyle w:val="R3"/>
      </w:pPr>
      <w:r w:rsidRPr="009C46CC">
        <w:t>Kostnadskontroll i stora järnvägsinvesteringar? (RiR 2011:6)</w:t>
      </w:r>
    </w:p>
    <w:p w:rsidR="001547A4" w:rsidRPr="009C46CC" w:rsidRDefault="001547A4" w:rsidP="001547A4">
      <w:r w:rsidRPr="009C46CC">
        <w:t>I rapporten granskas om regeringen och dåvarande Banverket har säkerställt en god kostnadskontroll i stora järnvägsinvesteringar. Flera tidigare grans</w:t>
      </w:r>
      <w:r w:rsidRPr="009C46CC">
        <w:t>k</w:t>
      </w:r>
      <w:r w:rsidRPr="009C46CC">
        <w:t>ningar har uppmärksammat allvarliga brister i statens kostnadskontroll av stora järnvägsinvesteringar.</w:t>
      </w:r>
    </w:p>
    <w:p w:rsidR="001547A4" w:rsidRPr="009C46CC" w:rsidRDefault="001547A4" w:rsidP="001547A4">
      <w:pPr>
        <w:pStyle w:val="Normaltindrag"/>
      </w:pPr>
      <w:r w:rsidRPr="009C46CC">
        <w:t>I granskningen konstateras det att decennier av positivt utvecklingsarbete inte varit tillräckliga. Flera av de brister som tidigare påtalats kvarstod under Banverkets sista år. Riksrevisionen noterar dock att regeringen och Banverket de senaste åren tagit initiativ som tyder på en mer genomgripande ambition</w:t>
      </w:r>
      <w:r w:rsidRPr="009C46CC">
        <w:t>s</w:t>
      </w:r>
      <w:r w:rsidRPr="009C46CC">
        <w:t xml:space="preserve">höjning men att det är för tidigt att bedöma effekterna av detta arbete. </w:t>
      </w:r>
    </w:p>
    <w:p w:rsidR="001547A4" w:rsidRPr="009C46CC" w:rsidRDefault="001547A4" w:rsidP="001547A4">
      <w:pPr>
        <w:pStyle w:val="Normaltindrag"/>
      </w:pPr>
      <w:r w:rsidRPr="009C46CC">
        <w:t>Den information som lämnas till riksdagen brister i flera avseenden. Red</w:t>
      </w:r>
      <w:r w:rsidRPr="009C46CC">
        <w:t>o</w:t>
      </w:r>
      <w:r w:rsidRPr="009C46CC">
        <w:t>visningen av kostnadsutvecklingen för investeringarna innebär en underskat</w:t>
      </w:r>
      <w:r w:rsidRPr="009C46CC">
        <w:t>t</w:t>
      </w:r>
      <w:r w:rsidRPr="009C46CC">
        <w:t>ning av kostnaderna. Dels genom att den ogynnsamma prisutvecklingen rä</w:t>
      </w:r>
      <w:r w:rsidRPr="009C46CC">
        <w:t>k</w:t>
      </w:r>
      <w:r w:rsidRPr="009C46CC">
        <w:t>nas bort på grund av användningen av ett branschindex, dels på grund av principen som innebär att slutkostnaden jämförs mot den senast beslutade plankostnaden i stället för den ursprungliga kostnad som låg till grund för beslutet om investeringen. Riksdagen har därmed inte informerats om de verkliga kostnadsökningarna. Regeringen har heller inte redovisat att den samhällsekonomiska lönsamheten i flera fall blivit lägre än vad som u</w:t>
      </w:r>
      <w:r w:rsidRPr="009C46CC">
        <w:t>r</w:t>
      </w:r>
      <w:r w:rsidRPr="009C46CC">
        <w:t>sprungligen beräknats.</w:t>
      </w:r>
    </w:p>
    <w:p w:rsidR="001547A4" w:rsidRPr="009C46CC" w:rsidRDefault="001547A4" w:rsidP="001547A4">
      <w:pPr>
        <w:pStyle w:val="Normaltindrag"/>
      </w:pPr>
      <w:r w:rsidRPr="009C46CC">
        <w:t>Organisationsförändringar, förändringar i Banverkets ekonomisystem och brister i verkets dokumenthantering har omöjliggjort en systematisk uppföl</w:t>
      </w:r>
      <w:r w:rsidRPr="009C46CC">
        <w:t>j</w:t>
      </w:r>
      <w:r w:rsidRPr="009C46CC">
        <w:t>ning av kostnadsavvikelser i investeringsverksamheten och i enskilda inv</w:t>
      </w:r>
      <w:r w:rsidRPr="009C46CC">
        <w:t>e</w:t>
      </w:r>
      <w:r w:rsidRPr="009C46CC">
        <w:t xml:space="preserve">steringsprojekt. </w:t>
      </w:r>
    </w:p>
    <w:p w:rsidR="001547A4" w:rsidRPr="009C46CC" w:rsidRDefault="001547A4" w:rsidP="00197FD6">
      <w:pPr>
        <w:pStyle w:val="R3"/>
      </w:pPr>
      <w:r w:rsidRPr="009C46CC">
        <w:t>Trafikverkens produktivitet – Hur mycket infrastruktur får man för pengarna? (RiR 2011:7)</w:t>
      </w:r>
    </w:p>
    <w:p w:rsidR="001547A4" w:rsidRPr="009C46CC" w:rsidRDefault="001547A4" w:rsidP="001547A4">
      <w:r w:rsidRPr="009C46CC">
        <w:t xml:space="preserve">I rapporten granskas de dåvarande trafikverkens (Banverket och Vägverket) redovisning av produktivitet åren 1991–2009. </w:t>
      </w:r>
    </w:p>
    <w:p w:rsidR="001547A4" w:rsidRPr="009C46CC" w:rsidRDefault="001547A4" w:rsidP="001547A4">
      <w:pPr>
        <w:pStyle w:val="Normaltindrag"/>
      </w:pPr>
      <w:r w:rsidRPr="009C46CC">
        <w:t>Riksrevisionens övergripande slutsats är att regeringen och trafikverken inte uppfyllt rimliga krav på mätning och redovisning av produktiviteten. Innan Trafikverket bildades hade regeringen inte uttryckligen krävt att pr</w:t>
      </w:r>
      <w:r w:rsidRPr="009C46CC">
        <w:t>o</w:t>
      </w:r>
      <w:r w:rsidRPr="009C46CC">
        <w:t>duktiviteten i investeringsverksamheten skulle redovisas. Detta trots att inv</w:t>
      </w:r>
      <w:r w:rsidRPr="009C46CC">
        <w:t>e</w:t>
      </w:r>
      <w:r w:rsidRPr="009C46CC">
        <w:t>steringar har utgjort hälften av trafikverkens verksamhet och trots att det länge funnits anledning att befara att den delen har låg produktivitet.</w:t>
      </w:r>
    </w:p>
    <w:p w:rsidR="001547A4" w:rsidRPr="009C46CC" w:rsidRDefault="001547A4" w:rsidP="001547A4">
      <w:pPr>
        <w:pStyle w:val="Normaltindrag"/>
      </w:pPr>
      <w:r w:rsidRPr="009C46CC">
        <w:t xml:space="preserve">Enligt Riksrevisionens bedömning borde trafikverken ha kvalitetssäkrat att redovisade data var relevanta ur produktivitetssynpunkt. Regeringen borde ha följt upp bättre och hade tydligare kunnat göra riksdagen uppmärksam på den negativa produktivitetsutveckling som trots den otydliga redovisningen går att utläsa ur årsredovisningarna. Enligt Riksrevisionens </w:t>
      </w:r>
      <w:bookmarkStart w:id="61" w:name="OLE_LINK14"/>
      <w:bookmarkStart w:id="62" w:name="OLE_LINK17"/>
      <w:r w:rsidRPr="009C46CC">
        <w:t xml:space="preserve">beräkningar uppgår minskningen till i genomsnitt 1–6 procent per år mellan åren 2005 och 2009, ett resultat som dock bör tolkas försiktigt. </w:t>
      </w:r>
      <w:bookmarkEnd w:id="61"/>
      <w:bookmarkEnd w:id="62"/>
    </w:p>
    <w:p w:rsidR="001547A4" w:rsidRPr="009C46CC" w:rsidRDefault="001547A4" w:rsidP="001547A4">
      <w:pPr>
        <w:pStyle w:val="Normaltindrag"/>
      </w:pPr>
      <w:r w:rsidRPr="009C46CC">
        <w:t>Stora brister har även konstaterats i förutsättningarna för att göra produkt</w:t>
      </w:r>
      <w:r w:rsidRPr="009C46CC">
        <w:t>i</w:t>
      </w:r>
      <w:r w:rsidRPr="009C46CC">
        <w:t xml:space="preserve">vitetsberäkningar. Av granskningen framgår också att trafikverken, särskilt Banverket, har omdefinierat begrepp, metoder, mått och redovisningsformer på ett sätt som försvårat jämförelser över tiden av hur prestationer, volymer, kostnader och produktivitet har utvecklats. </w:t>
      </w:r>
    </w:p>
    <w:p w:rsidR="001547A4" w:rsidRPr="009C46CC" w:rsidRDefault="001547A4" w:rsidP="001547A4">
      <w:pPr>
        <w:pStyle w:val="Rubrik2"/>
      </w:pPr>
      <w:bookmarkStart w:id="63" w:name="_Toc293393631"/>
      <w:bookmarkStart w:id="64" w:name="_Toc293647920"/>
      <w:r w:rsidRPr="009C46CC">
        <w:t>Miljö- och jordbruksutskottet (MJU)</w:t>
      </w:r>
      <w:bookmarkEnd w:id="63"/>
      <w:bookmarkEnd w:id="64"/>
      <w:r w:rsidRPr="009C46CC">
        <w:t xml:space="preserve"> </w:t>
      </w:r>
    </w:p>
    <w:p w:rsidR="001547A4" w:rsidRPr="009C46CC" w:rsidRDefault="001547A4" w:rsidP="008069B4">
      <w:pPr>
        <w:pStyle w:val="R3"/>
        <w:spacing w:before="240"/>
      </w:pPr>
      <w:r w:rsidRPr="009C46CC">
        <w:t>Klimatinsatser utomlands – statens köp av utsläppskrediter (RiR 2011:8)</w:t>
      </w:r>
    </w:p>
    <w:p w:rsidR="001547A4" w:rsidRPr="009C46CC" w:rsidRDefault="001547A4" w:rsidP="001547A4">
      <w:r w:rsidRPr="009C46CC">
        <w:t>I rapporten granskas statens köp av utsläppskrediter, som är en central del av den svenska klimatpolitiken. Utsläppskrediterna kommer från projekt i andra länder som syftar till att minska utsläppen av växthusgaser till lägre kostnader än om detta skett i Sverige. Utsläppskrediterna får användas för att nå Sver</w:t>
      </w:r>
      <w:r w:rsidRPr="009C46CC">
        <w:t>i</w:t>
      </w:r>
      <w:r w:rsidRPr="009C46CC">
        <w:t>ges nationella etappmål om utsläppsminskningar till 2020. En tredjedel av målet ska nås genom köp av utsläppskrediter från andra länder.</w:t>
      </w:r>
    </w:p>
    <w:p w:rsidR="001547A4" w:rsidRPr="009C46CC" w:rsidRDefault="001547A4" w:rsidP="001547A4">
      <w:pPr>
        <w:pStyle w:val="Normaltindrag"/>
      </w:pPr>
      <w:r w:rsidRPr="009C46CC">
        <w:t>Granskningen visar att regeringen inte har klargjort hur många utsläpp</w:t>
      </w:r>
      <w:r w:rsidRPr="009C46CC">
        <w:t>s</w:t>
      </w:r>
      <w:r w:rsidRPr="009C46CC">
        <w:t>krediter som ska köpas och när. Det medför att det är oklart hur många u</w:t>
      </w:r>
      <w:r w:rsidRPr="009C46CC">
        <w:t>t</w:t>
      </w:r>
      <w:r w:rsidRPr="009C46CC">
        <w:t>släppskrediter som totalt kan behövas för att nå etappmålet till 2020.Därmed saknas underlag för att bedöma om anslagen, totalt 1,6 miljarder, är för höga, för låga eller rimliga. Kostnaden kan vara som lägst 670 miljoner och som högst 10 miljarder kronor beroende på hur målet tolkas.</w:t>
      </w:r>
    </w:p>
    <w:p w:rsidR="001547A4" w:rsidRPr="009C46CC" w:rsidRDefault="001547A4" w:rsidP="001547A4">
      <w:pPr>
        <w:pStyle w:val="Normaltindrag"/>
      </w:pPr>
      <w:r w:rsidRPr="009C46CC">
        <w:t>Statens köp av utsläppskrediter genomförs vidare inte tillräckligt effektivt och transparent. Energimyndigheten saknar i många fall dokumentation av sitt arbete med både riskhantering och uppföljning. Vidare är rapporteringen till riksdagen bristfällig och ger ingen samlad bild av hur krediterna ska bidra till att nå målet.</w:t>
      </w:r>
    </w:p>
    <w:p w:rsidR="001547A4" w:rsidRPr="009C46CC" w:rsidRDefault="001547A4" w:rsidP="00197FD6">
      <w:pPr>
        <w:pStyle w:val="R3"/>
      </w:pPr>
      <w:r w:rsidRPr="009C46CC">
        <w:t>Biodrivmedel för bättre klimat – Hur används skattebefrielsen? (RiR 2011:10)</w:t>
      </w:r>
    </w:p>
    <w:p w:rsidR="001547A4" w:rsidRPr="009C46CC" w:rsidRDefault="001547A4" w:rsidP="001547A4">
      <w:r w:rsidRPr="009C46CC">
        <w:t>I rapporten granskas skattebefrielsen för biodrivmedel. Flytande biodrivmedel såsom etanol och biodiesel är i dag befriade från energi- och koldioxidskatt. Syftet med granskningen har varit att undersöka i vilken utsträckning, och till vilka kostnader, som skattebefrielsen bidragit till att uppnå riksdagens kl</w:t>
      </w:r>
      <w:r w:rsidRPr="009C46CC">
        <w:t>i</w:t>
      </w:r>
      <w:r w:rsidRPr="009C46CC">
        <w:t>matmål.</w:t>
      </w:r>
    </w:p>
    <w:p w:rsidR="001547A4" w:rsidRPr="009C46CC" w:rsidRDefault="001547A4" w:rsidP="001547A4">
      <w:pPr>
        <w:pStyle w:val="Normaltindrag"/>
      </w:pPr>
      <w:r w:rsidRPr="009C46CC">
        <w:t xml:space="preserve">Granskningen visar att skattebefrielsen varit nödvändig för att uppnå en ökad användning av biodrivmedel. Den är samtidigt ett dyrt och trubbigt sätt att minska utsläppen av växthusgaser. </w:t>
      </w:r>
    </w:p>
    <w:p w:rsidR="001547A4" w:rsidRPr="009C46CC" w:rsidRDefault="001547A4" w:rsidP="001547A4">
      <w:pPr>
        <w:pStyle w:val="Normaltindrag"/>
      </w:pPr>
      <w:r w:rsidRPr="009C46CC">
        <w:t>Regeringens beslut om skattebefrielse har varit kortsiktiga och oförutsä</w:t>
      </w:r>
      <w:r w:rsidRPr="009C46CC">
        <w:t>g</w:t>
      </w:r>
      <w:r w:rsidRPr="009C46CC">
        <w:t>bara och inte gett förutsättningar för avsedd teknikutveckling. Trots regerin</w:t>
      </w:r>
      <w:r w:rsidRPr="009C46CC">
        <w:t>g</w:t>
      </w:r>
      <w:r w:rsidRPr="009C46CC">
        <w:t>ens ambitioner har regeringens beslut om skattelättnader i de flesta fall avsett relativt korta tidsperioder, ett till två år, vilket begränsat företagens plan</w:t>
      </w:r>
      <w:r w:rsidRPr="009C46CC">
        <w:t>e</w:t>
      </w:r>
      <w:r w:rsidRPr="009C46CC">
        <w:t xml:space="preserve">ringsmöjligheter. Regeringens motiv för när skattelättnader ska beviljas har också varierat. </w:t>
      </w:r>
    </w:p>
    <w:p w:rsidR="001547A4" w:rsidRPr="009C46CC" w:rsidRDefault="001547A4" w:rsidP="001547A4">
      <w:pPr>
        <w:pStyle w:val="Normaltindrag"/>
      </w:pPr>
      <w:r w:rsidRPr="009C46CC">
        <w:t>Granskningen visar också att skattebefrielsen medför effekter som är mo</w:t>
      </w:r>
      <w:r w:rsidRPr="009C46CC">
        <w:t>t</w:t>
      </w:r>
      <w:r w:rsidRPr="009C46CC">
        <w:t>verkande. Skattebefrielsen för lågblandad etanol i bensin bidrar exempelvis till lägre priser på bensin och diesel och därmed en ökad total konsumtion av drivmedel, allt annat lika. Enligt vår beräkning kan även en marginell ökning av den totala drivmedelskonsumtionen reducera uppemot en fjärdedel av den utsläppsminskning som låginblandningen av biodrivmedel för med sig.</w:t>
      </w:r>
    </w:p>
    <w:p w:rsidR="001547A4" w:rsidRPr="009C46CC" w:rsidRDefault="001547A4" w:rsidP="001547A4">
      <w:pPr>
        <w:pStyle w:val="Normaltindrag"/>
      </w:pPr>
      <w:r w:rsidRPr="009C46CC">
        <w:t>Regeringen har inte heller följt upp och kommenterat skattebefrielsens t</w:t>
      </w:r>
      <w:r w:rsidRPr="009C46CC">
        <w:t>o</w:t>
      </w:r>
      <w:r w:rsidRPr="009C46CC">
        <w:t>tala omfattning eller effekter. Det faktum att skattebefrielsen ska bidra till flera olika syften medför också brist på transparens.</w:t>
      </w:r>
    </w:p>
    <w:p w:rsidR="001547A4" w:rsidRPr="009C46CC" w:rsidRDefault="001547A4" w:rsidP="001547A4">
      <w:pPr>
        <w:pStyle w:val="Rubrik2"/>
      </w:pPr>
      <w:bookmarkStart w:id="65" w:name="_Toc293393632"/>
      <w:bookmarkStart w:id="66" w:name="_Toc293647921"/>
      <w:r w:rsidRPr="009C46CC">
        <w:t>Näringsutskottet (NU)</w:t>
      </w:r>
      <w:bookmarkEnd w:id="65"/>
      <w:bookmarkEnd w:id="66"/>
      <w:r w:rsidRPr="009C46CC">
        <w:t xml:space="preserve"> </w:t>
      </w:r>
    </w:p>
    <w:p w:rsidR="001547A4" w:rsidRPr="009C46CC" w:rsidRDefault="001547A4" w:rsidP="008069B4">
      <w:pPr>
        <w:pStyle w:val="R3"/>
        <w:spacing w:before="240"/>
      </w:pPr>
      <w:r w:rsidRPr="009C46CC">
        <w:t>AB Svensk Exportkredit (RiR 2010:15)</w:t>
      </w:r>
    </w:p>
    <w:p w:rsidR="001547A4" w:rsidRPr="009C46CC" w:rsidRDefault="001547A4" w:rsidP="001547A4">
      <w:r w:rsidRPr="009C46CC">
        <w:t xml:space="preserve">AB Svensk Exportkredit (SEK) är ett helägt statligt bolag med uppdrag att främja verksamhet med svenskt intresse som är direkt eller indirekt kopplad till svensk export. I granskningen ställs frågan om SEK:s verksamhet bedrivs i enlighet med riksdagens beslut. </w:t>
      </w:r>
    </w:p>
    <w:p w:rsidR="001547A4" w:rsidRPr="009C46CC" w:rsidRDefault="001547A4" w:rsidP="001547A4">
      <w:pPr>
        <w:pStyle w:val="Normaltindrag"/>
      </w:pPr>
      <w:r w:rsidRPr="009C46CC">
        <w:t>Granskningen visar att SEK successivt vidgat sin verksamhet. Bolaget har tillåtits växa kraftigt utan att en belysning av grunden för det statliga åtaga</w:t>
      </w:r>
      <w:r w:rsidRPr="009C46CC">
        <w:t>n</w:t>
      </w:r>
      <w:r w:rsidRPr="009C46CC">
        <w:t>det gjorts. Som en följd av det vitt formulerade uppdraget har SEK kunnat bli verksamt inom verksamhetsområden där det även finns privata aktörer, som exempelvis utlåning till kommuner och rådgivningsverksamhet. SEK:s breda uppdrag, kombinerat med ekonomiska mål som är lågt satta i förhållande till privata aktörer har medfört att bolaget haft en relativt hög grad av handling</w:t>
      </w:r>
      <w:r w:rsidRPr="009C46CC">
        <w:t>s</w:t>
      </w:r>
      <w:r w:rsidRPr="009C46CC">
        <w:t xml:space="preserve">frihet. </w:t>
      </w:r>
    </w:p>
    <w:p w:rsidR="001547A4" w:rsidRPr="009C46CC" w:rsidRDefault="001547A4" w:rsidP="001547A4">
      <w:pPr>
        <w:pStyle w:val="Normaltindrag"/>
      </w:pPr>
      <w:r w:rsidRPr="009C46CC">
        <w:t>Riksrevisionens bedömning är att SEK:s verksamhet har vuxit snabbare än det administrativa stöd som krävts, vilket lett till att bolaget har exponerats för operativa risker med brister i redovisning och rapportering som kons</w:t>
      </w:r>
      <w:r w:rsidRPr="009C46CC">
        <w:t>e</w:t>
      </w:r>
      <w:r w:rsidRPr="009C46CC">
        <w:t>kvenser. Granskningen visar också att bolagets styrelse inte förefaller ha informerat sig tillräckligt om bolagets interna verksamhet, detta gäller exe</w:t>
      </w:r>
      <w:r w:rsidRPr="009C46CC">
        <w:t>m</w:t>
      </w:r>
      <w:r w:rsidRPr="009C46CC">
        <w:t xml:space="preserve">pelvis individuella rörliga ersättningar på affärssidan. </w:t>
      </w:r>
    </w:p>
    <w:p w:rsidR="001547A4" w:rsidRPr="009C46CC" w:rsidRDefault="001547A4" w:rsidP="001547A4">
      <w:pPr>
        <w:pStyle w:val="Rubrik2"/>
      </w:pPr>
      <w:bookmarkStart w:id="67" w:name="_Toc293393633"/>
      <w:bookmarkStart w:id="68" w:name="_Toc293647922"/>
      <w:r w:rsidRPr="009C46CC">
        <w:t>Arbetsmarknadsutskottet (AU)</w:t>
      </w:r>
      <w:bookmarkEnd w:id="67"/>
      <w:bookmarkEnd w:id="68"/>
      <w:r w:rsidRPr="009C46CC">
        <w:t xml:space="preserve"> </w:t>
      </w:r>
    </w:p>
    <w:p w:rsidR="001547A4" w:rsidRPr="009C46CC" w:rsidRDefault="001547A4" w:rsidP="008069B4">
      <w:pPr>
        <w:pStyle w:val="R3"/>
        <w:spacing w:before="240"/>
      </w:pPr>
      <w:r w:rsidRPr="009C46CC">
        <w:t>Säsongsarbetslösa och arbetslöshetsförsäkringen – Omställningsförsäkring eller yrkesförsäkring? (RiR 2011:1)</w:t>
      </w:r>
    </w:p>
    <w:p w:rsidR="001547A4" w:rsidRPr="009C46CC" w:rsidRDefault="001547A4" w:rsidP="001547A4">
      <w:r w:rsidRPr="009C46CC">
        <w:t>I rapporten granskas om regeringen, Arbetsförmedlingen och Inspektionen för arbetslöshetsförsäkringen arbetat för att de säsongsarbetslösas tid i arbetslö</w:t>
      </w:r>
      <w:r w:rsidRPr="009C46CC">
        <w:t>s</w:t>
      </w:r>
      <w:r w:rsidRPr="009C46CC">
        <w:t>het inte ska bli onödigt lång. Med säsongsarbetslösa menas personer som är anställda en viss del av året och som får ersättning från arbetslöshetsförsä</w:t>
      </w:r>
      <w:r w:rsidRPr="009C46CC">
        <w:t>k</w:t>
      </w:r>
      <w:r w:rsidRPr="009C46CC">
        <w:t>ringen mellan anställningar och som följer detta mönster under en längre tid. Säsongsarbetslösa som inte kan finna ett lämpligt arbete inom sitt yrke eller på sin bostadsort ska enligt regelverket byta yrke eller bostadsort för att kunna hitta ett arbete under en större del av året.</w:t>
      </w:r>
    </w:p>
    <w:p w:rsidR="001547A4" w:rsidRPr="009C46CC" w:rsidRDefault="001547A4" w:rsidP="001547A4">
      <w:pPr>
        <w:pStyle w:val="Normaltindrag"/>
      </w:pPr>
      <w:r w:rsidRPr="009C46CC">
        <w:t>Riksrevisionen konstaterar att Arbetsförmedlingen inte ger de säsongsa</w:t>
      </w:r>
      <w:r w:rsidRPr="009C46CC">
        <w:t>r</w:t>
      </w:r>
      <w:r w:rsidRPr="009C46CC">
        <w:t>betslösa likvärdig tillgång till de arbetsmarknadspolitiska programmen och inte heller säkerställer att de söker arbete aktivt i samma utsträckning som andra arbetssökande. Rikrevisionen anser att Arbetsförmedlingen kan bidra till att korta de säsongsarbetslösas tid utan arbete genom att ge dem större tillgång till program och ställa högre krav på aktivt arbetssökande.</w:t>
      </w:r>
    </w:p>
    <w:p w:rsidR="001547A4" w:rsidRPr="009C46CC" w:rsidRDefault="001547A4" w:rsidP="001547A4">
      <w:pPr>
        <w:pStyle w:val="Normaltindrag"/>
      </w:pPr>
      <w:r w:rsidRPr="009C46CC">
        <w:t>De säsongsarbetslösa är visserligen få i förhållande till övriga arbetslösa men Riksrevisionens granskning visar att det finns ekonomiska vinster för samhället att hämta om gruppen arbetar heltid hela året.</w:t>
      </w:r>
    </w:p>
    <w:p w:rsidR="00264A98" w:rsidRPr="009C46CC" w:rsidRDefault="00264A98" w:rsidP="001547A4">
      <w:pPr>
        <w:pStyle w:val="normalmedindrag"/>
      </w:pPr>
    </w:p>
    <w:p w:rsidR="00264A98" w:rsidRPr="009C46CC" w:rsidRDefault="00264A98" w:rsidP="00264A98">
      <w:pPr>
        <w:pStyle w:val="Tryckort"/>
        <w:framePr w:wrap="around"/>
      </w:pPr>
      <w:r w:rsidRPr="009C46CC">
        <w:t>Elanders, Vällingby  2011</w:t>
      </w:r>
    </w:p>
    <w:p w:rsidR="001547A4" w:rsidRPr="009C46CC" w:rsidRDefault="001547A4" w:rsidP="001547A4">
      <w:pPr>
        <w:pStyle w:val="normalmedindrag"/>
      </w:pPr>
    </w:p>
    <w:sectPr w:rsidR="001547A4" w:rsidRPr="009C46CC" w:rsidSect="00B9317A">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7EF" w:rsidRPr="009C46CC" w:rsidRDefault="008A47EF">
      <w:pPr>
        <w:spacing w:before="0" w:line="240" w:lineRule="auto"/>
      </w:pPr>
      <w:r w:rsidRPr="009C46CC">
        <w:separator/>
      </w:r>
    </w:p>
  </w:endnote>
  <w:endnote w:type="continuationSeparator" w:id="0">
    <w:p w:rsidR="008A47EF" w:rsidRPr="009C46CC" w:rsidRDefault="008A47EF">
      <w:pPr>
        <w:spacing w:before="0" w:line="240" w:lineRule="auto"/>
      </w:pPr>
      <w:r w:rsidRPr="009C46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2</w:t>
    </w:r>
    <w:r w:rsidRPr="009C46CC">
      <w:fldChar w:fldCharType="end"/>
    </w:r>
  </w:p>
  <w:p w:rsidR="00BD3322" w:rsidRPr="009C46CC" w:rsidRDefault="00BD3322">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42</w:t>
    </w:r>
    <w:r w:rsidRPr="009C46CC">
      <w:fldChar w:fldCharType="end"/>
    </w:r>
  </w:p>
  <w:p w:rsidR="00BD3322" w:rsidRPr="009C46CC" w:rsidRDefault="00BD3322">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41</w:t>
    </w:r>
    <w:r w:rsidRPr="009C46CC">
      <w:fldChar w:fldCharType="end"/>
    </w:r>
  </w:p>
  <w:p w:rsidR="00BD3322" w:rsidRPr="009C46CC" w:rsidRDefault="00BD3322">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5</w:instrText>
    </w:r>
    <w:r w:rsidRPr="009C46CC">
      <w:fldChar w:fldCharType="end"/>
    </w:r>
    <w:r w:rsidRPr="009C46CC">
      <w:instrText xml:space="preserve">/2 </w:instrText>
    </w:r>
    <w:r w:rsidRPr="009C46CC">
      <w:fldChar w:fldCharType="separate"/>
    </w:r>
    <w:r w:rsidR="004E1B0C" w:rsidRPr="009C46CC">
      <w:instrText>2,5</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5</w:instrText>
    </w:r>
    <w:r w:rsidRPr="009C46CC">
      <w:fldChar w:fldCharType="end"/>
    </w:r>
    <w:r w:rsidRPr="009C46CC">
      <w:instrText xml:space="preserve">/2) </w:instrText>
    </w:r>
    <w:r w:rsidRPr="009C46CC">
      <w:fldChar w:fldCharType="separate"/>
    </w:r>
    <w:r w:rsidR="004E1B0C" w:rsidRPr="009C46CC">
      <w:instrText>2</w:instrText>
    </w:r>
    <w:r w:rsidRPr="009C46CC">
      <w:fldChar w:fldCharType="end"/>
    </w:r>
    <w:r w:rsidRPr="009C46CC">
      <w:fldChar w:fldCharType="separate"/>
    </w:r>
    <w:r w:rsidR="004E1B0C" w:rsidRPr="009C46CC">
      <w:instrText>0,5</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Pr="009C46CC">
      <w:instrText>6</w:instrText>
    </w:r>
    <w:r w:rsidRPr="009C46CC">
      <w:fldChar w:fldCharType="end"/>
    </w:r>
  </w:p>
  <w:p w:rsidR="00BD3322" w:rsidRPr="009C46CC" w:rsidRDefault="00BD3322">
    <w:pPr>
      <w:pStyle w:val="SidfotH"/>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004E1B0C" w:rsidRPr="009C46CC">
      <w:instrText>5</w:instrText>
    </w:r>
    <w:r w:rsidRPr="009C46CC">
      <w:fldChar w:fldCharType="end"/>
    </w:r>
    <w:r w:rsidRPr="009C46CC">
      <w:instrText>"</w:instrText>
    </w:r>
    <w:r w:rsidRPr="009C46CC">
      <w:fldChar w:fldCharType="separate"/>
    </w:r>
    <w:r w:rsidR="004E1B0C" w:rsidRPr="009C46CC">
      <w:t>5</w:t>
    </w:r>
    <w:r w:rsidRPr="009C46CC">
      <w:fldChar w:fldCharType="end"/>
    </w:r>
  </w:p>
  <w:p w:rsidR="00BD3322" w:rsidRPr="009C46CC" w:rsidRDefault="00BD3322">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14</w:t>
    </w:r>
    <w:r w:rsidRPr="009C46CC">
      <w:fldChar w:fldCharType="end"/>
    </w:r>
  </w:p>
  <w:p w:rsidR="00BD3322" w:rsidRPr="009C46CC" w:rsidRDefault="00BD3322">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13</w:t>
    </w:r>
    <w:r w:rsidRPr="009C46CC">
      <w:fldChar w:fldCharType="end"/>
    </w:r>
  </w:p>
  <w:p w:rsidR="00BD3322" w:rsidRPr="009C46CC" w:rsidRDefault="00BD3322">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6</w:instrText>
    </w:r>
    <w:r w:rsidRPr="009C46CC">
      <w:fldChar w:fldCharType="end"/>
    </w:r>
    <w:r w:rsidRPr="009C46CC">
      <w:instrText xml:space="preserve">/2 </w:instrText>
    </w:r>
    <w:r w:rsidRPr="009C46CC">
      <w:fldChar w:fldCharType="separate"/>
    </w:r>
    <w:r w:rsidR="004E1B0C" w:rsidRPr="009C46CC">
      <w:instrText>3</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6</w:instrText>
    </w:r>
    <w:r w:rsidRPr="009C46CC">
      <w:fldChar w:fldCharType="end"/>
    </w:r>
    <w:r w:rsidRPr="009C46CC">
      <w:instrText xml:space="preserve">/2) </w:instrText>
    </w:r>
    <w:r w:rsidRPr="009C46CC">
      <w:fldChar w:fldCharType="separate"/>
    </w:r>
    <w:r w:rsidR="004E1B0C" w:rsidRPr="009C46CC">
      <w:instrText>3</w:instrText>
    </w:r>
    <w:r w:rsidRPr="009C46CC">
      <w:fldChar w:fldCharType="end"/>
    </w:r>
    <w:r w:rsidRPr="009C46CC">
      <w:fldChar w:fldCharType="separate"/>
    </w:r>
    <w:r w:rsidR="004E1B0C" w:rsidRPr="009C46CC">
      <w:instrText>0</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004E1B0C" w:rsidRPr="009C46CC">
      <w:instrText>6</w:instrText>
    </w:r>
    <w:r w:rsidRPr="009C46CC">
      <w:fldChar w:fldCharType="end"/>
    </w:r>
  </w:p>
  <w:p w:rsidR="004E1B0C" w:rsidRPr="009C46CC" w:rsidRDefault="00BD3322">
    <w:pPr>
      <w:pStyle w:val="SidfotV"/>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Pr="009C46CC">
      <w:instrText>7</w:instrText>
    </w:r>
    <w:r w:rsidRPr="009C46CC">
      <w:fldChar w:fldCharType="end"/>
    </w:r>
    <w:r w:rsidRPr="009C46CC">
      <w:instrText>"</w:instrText>
    </w:r>
    <w:r w:rsidRPr="009C46CC">
      <w:fldChar w:fldCharType="separate"/>
    </w:r>
    <w:r w:rsidR="004E1B0C" w:rsidRPr="009C46CC">
      <w:t>6</w:t>
    </w:r>
  </w:p>
  <w:p w:rsidR="00BD3322" w:rsidRPr="009C46CC" w:rsidRDefault="00BD3322">
    <w:pPr>
      <w:pStyle w:val="SidfotH"/>
      <w:framePr w:w="8732" w:h="284" w:hRule="exact" w:hSpace="0" w:vSpace="0" w:wrap="around" w:xAlign="inside" w:y="13042" w:anchorLock="0"/>
    </w:pPr>
    <w:r w:rsidRPr="009C46CC">
      <w:fldChar w:fldCharType="end"/>
    </w:r>
  </w:p>
  <w:p w:rsidR="00BD3322" w:rsidRPr="009C46CC" w:rsidRDefault="00BD3322">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18</w:t>
    </w:r>
    <w:r w:rsidRPr="009C46CC">
      <w:fldChar w:fldCharType="end"/>
    </w:r>
  </w:p>
  <w:p w:rsidR="00BD3322" w:rsidRPr="009C46CC" w:rsidRDefault="00BD3322">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17</w:t>
    </w:r>
    <w:r w:rsidRPr="009C46CC">
      <w:fldChar w:fldCharType="end"/>
    </w:r>
  </w:p>
  <w:p w:rsidR="00BD3322" w:rsidRPr="009C46CC" w:rsidRDefault="00BD3322">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15</w:instrText>
    </w:r>
    <w:r w:rsidRPr="009C46CC">
      <w:fldChar w:fldCharType="end"/>
    </w:r>
    <w:r w:rsidRPr="009C46CC">
      <w:instrText xml:space="preserve">/2 </w:instrText>
    </w:r>
    <w:r w:rsidRPr="009C46CC">
      <w:fldChar w:fldCharType="separate"/>
    </w:r>
    <w:r w:rsidR="004E1B0C" w:rsidRPr="009C46CC">
      <w:instrText>7,5</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15</w:instrText>
    </w:r>
    <w:r w:rsidRPr="009C46CC">
      <w:fldChar w:fldCharType="end"/>
    </w:r>
    <w:r w:rsidRPr="009C46CC">
      <w:instrText xml:space="preserve">/2) </w:instrText>
    </w:r>
    <w:r w:rsidRPr="009C46CC">
      <w:fldChar w:fldCharType="separate"/>
    </w:r>
    <w:r w:rsidR="004E1B0C" w:rsidRPr="009C46CC">
      <w:instrText>7</w:instrText>
    </w:r>
    <w:r w:rsidRPr="009C46CC">
      <w:fldChar w:fldCharType="end"/>
    </w:r>
    <w:r w:rsidRPr="009C46CC">
      <w:fldChar w:fldCharType="separate"/>
    </w:r>
    <w:r w:rsidR="004E1B0C" w:rsidRPr="009C46CC">
      <w:instrText>0,5</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Pr="009C46CC">
      <w:instrText>16</w:instrText>
    </w:r>
    <w:r w:rsidRPr="009C46CC">
      <w:fldChar w:fldCharType="end"/>
    </w:r>
  </w:p>
  <w:p w:rsidR="00BD3322" w:rsidRPr="009C46CC" w:rsidRDefault="00BD3322">
    <w:pPr>
      <w:pStyle w:val="SidfotH"/>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004E1B0C" w:rsidRPr="009C46CC">
      <w:instrText>15</w:instrText>
    </w:r>
    <w:r w:rsidRPr="009C46CC">
      <w:fldChar w:fldCharType="end"/>
    </w:r>
    <w:r w:rsidRPr="009C46CC">
      <w:instrText>"</w:instrText>
    </w:r>
    <w:r w:rsidRPr="009C46CC">
      <w:fldChar w:fldCharType="separate"/>
    </w:r>
    <w:r w:rsidR="004E1B0C" w:rsidRPr="009C46CC">
      <w:t>15</w:t>
    </w:r>
    <w:r w:rsidRPr="009C46CC">
      <w:fldChar w:fldCharType="end"/>
    </w:r>
  </w:p>
  <w:p w:rsidR="00BD3322" w:rsidRPr="009C46CC" w:rsidRDefault="00BD3322">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22</w:t>
    </w:r>
    <w:r w:rsidRPr="009C46CC">
      <w:fldChar w:fldCharType="end"/>
    </w:r>
  </w:p>
  <w:p w:rsidR="00BD3322" w:rsidRPr="009C46CC" w:rsidRDefault="00BD332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3</w:t>
    </w:r>
    <w:r w:rsidRPr="009C46CC">
      <w:fldChar w:fldCharType="end"/>
    </w:r>
  </w:p>
  <w:p w:rsidR="00BD3322" w:rsidRPr="009C46CC" w:rsidRDefault="00BD3322">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23</w:t>
    </w:r>
    <w:r w:rsidRPr="009C46CC">
      <w:fldChar w:fldCharType="end"/>
    </w:r>
  </w:p>
  <w:p w:rsidR="00BD3322" w:rsidRPr="009C46CC" w:rsidRDefault="00BD3322">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19</w:instrText>
    </w:r>
    <w:r w:rsidRPr="009C46CC">
      <w:fldChar w:fldCharType="end"/>
    </w:r>
    <w:r w:rsidRPr="009C46CC">
      <w:instrText xml:space="preserve">/2 </w:instrText>
    </w:r>
    <w:r w:rsidRPr="009C46CC">
      <w:fldChar w:fldCharType="separate"/>
    </w:r>
    <w:r w:rsidR="004E1B0C" w:rsidRPr="009C46CC">
      <w:instrText>9,5</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19</w:instrText>
    </w:r>
    <w:r w:rsidRPr="009C46CC">
      <w:fldChar w:fldCharType="end"/>
    </w:r>
    <w:r w:rsidRPr="009C46CC">
      <w:instrText xml:space="preserve">/2) </w:instrText>
    </w:r>
    <w:r w:rsidRPr="009C46CC">
      <w:fldChar w:fldCharType="separate"/>
    </w:r>
    <w:r w:rsidR="004E1B0C" w:rsidRPr="009C46CC">
      <w:instrText>9</w:instrText>
    </w:r>
    <w:r w:rsidRPr="009C46CC">
      <w:fldChar w:fldCharType="end"/>
    </w:r>
    <w:r w:rsidRPr="009C46CC">
      <w:fldChar w:fldCharType="separate"/>
    </w:r>
    <w:r w:rsidR="004E1B0C" w:rsidRPr="009C46CC">
      <w:instrText>0,5</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Pr="009C46CC">
      <w:instrText>20</w:instrText>
    </w:r>
    <w:r w:rsidRPr="009C46CC">
      <w:fldChar w:fldCharType="end"/>
    </w:r>
  </w:p>
  <w:p w:rsidR="00BD3322" w:rsidRPr="009C46CC" w:rsidRDefault="00BD3322">
    <w:pPr>
      <w:pStyle w:val="SidfotH"/>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004E1B0C" w:rsidRPr="009C46CC">
      <w:instrText>19</w:instrText>
    </w:r>
    <w:r w:rsidRPr="009C46CC">
      <w:fldChar w:fldCharType="end"/>
    </w:r>
    <w:r w:rsidRPr="009C46CC">
      <w:instrText>"</w:instrText>
    </w:r>
    <w:r w:rsidRPr="009C46CC">
      <w:fldChar w:fldCharType="separate"/>
    </w:r>
    <w:r w:rsidR="004E1B0C" w:rsidRPr="009C46CC">
      <w:t>19</w:t>
    </w:r>
    <w:r w:rsidRPr="009C46CC">
      <w:fldChar w:fldCharType="end"/>
    </w:r>
  </w:p>
  <w:p w:rsidR="00BD3322" w:rsidRPr="009C46CC" w:rsidRDefault="00BD3322">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26</w:t>
    </w:r>
    <w:r w:rsidRPr="009C46CC">
      <w:fldChar w:fldCharType="end"/>
    </w:r>
  </w:p>
  <w:p w:rsidR="00BD3322" w:rsidRPr="009C46CC" w:rsidRDefault="00BD3322">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25</w:t>
    </w:r>
    <w:r w:rsidRPr="009C46CC">
      <w:fldChar w:fldCharType="end"/>
    </w:r>
  </w:p>
  <w:p w:rsidR="00BD3322" w:rsidRPr="009C46CC" w:rsidRDefault="00BD3322">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24</w:instrText>
    </w:r>
    <w:r w:rsidRPr="009C46CC">
      <w:fldChar w:fldCharType="end"/>
    </w:r>
    <w:r w:rsidRPr="009C46CC">
      <w:instrText xml:space="preserve">/2 </w:instrText>
    </w:r>
    <w:r w:rsidRPr="009C46CC">
      <w:fldChar w:fldCharType="separate"/>
    </w:r>
    <w:r w:rsidR="004E1B0C" w:rsidRPr="009C46CC">
      <w:instrText>12</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24</w:instrText>
    </w:r>
    <w:r w:rsidRPr="009C46CC">
      <w:fldChar w:fldCharType="end"/>
    </w:r>
    <w:r w:rsidRPr="009C46CC">
      <w:instrText xml:space="preserve">/2) </w:instrText>
    </w:r>
    <w:r w:rsidRPr="009C46CC">
      <w:fldChar w:fldCharType="separate"/>
    </w:r>
    <w:r w:rsidR="004E1B0C" w:rsidRPr="009C46CC">
      <w:instrText>12</w:instrText>
    </w:r>
    <w:r w:rsidRPr="009C46CC">
      <w:fldChar w:fldCharType="end"/>
    </w:r>
    <w:r w:rsidRPr="009C46CC">
      <w:fldChar w:fldCharType="separate"/>
    </w:r>
    <w:r w:rsidR="004E1B0C" w:rsidRPr="009C46CC">
      <w:instrText>0</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004E1B0C" w:rsidRPr="009C46CC">
      <w:instrText>24</w:instrText>
    </w:r>
    <w:r w:rsidRPr="009C46CC">
      <w:fldChar w:fldCharType="end"/>
    </w:r>
  </w:p>
  <w:p w:rsidR="004E1B0C" w:rsidRPr="009C46CC" w:rsidRDefault="00BD3322">
    <w:pPr>
      <w:pStyle w:val="SidfotV"/>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Pr="009C46CC">
      <w:instrText>25</w:instrText>
    </w:r>
    <w:r w:rsidRPr="009C46CC">
      <w:fldChar w:fldCharType="end"/>
    </w:r>
    <w:r w:rsidRPr="009C46CC">
      <w:instrText>"</w:instrText>
    </w:r>
    <w:r w:rsidRPr="009C46CC">
      <w:fldChar w:fldCharType="separate"/>
    </w:r>
    <w:r w:rsidR="004E1B0C" w:rsidRPr="009C46CC">
      <w:t>24</w:t>
    </w:r>
  </w:p>
  <w:p w:rsidR="00BD3322" w:rsidRPr="009C46CC" w:rsidRDefault="00BD3322">
    <w:pPr>
      <w:pStyle w:val="SidfotH"/>
      <w:framePr w:w="8732" w:h="284" w:hRule="exact" w:hSpace="0" w:vSpace="0" w:wrap="around" w:xAlign="inside" w:y="13042" w:anchorLock="0"/>
    </w:pPr>
    <w:r w:rsidRPr="009C46CC">
      <w:fldChar w:fldCharType="end"/>
    </w:r>
  </w:p>
  <w:p w:rsidR="00BD3322" w:rsidRPr="009C46CC" w:rsidRDefault="00BD332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9C46CC">
      <w:rPr>
        <w:noProof/>
      </w:rPr>
      <w:instrText>1</w:instrText>
    </w:r>
    <w:r w:rsidRPr="009C46CC">
      <w:fldChar w:fldCharType="end"/>
    </w:r>
    <w:r w:rsidRPr="009C46CC">
      <w:instrText xml:space="preserve">/2 </w:instrText>
    </w:r>
    <w:r w:rsidRPr="009C46CC">
      <w:fldChar w:fldCharType="separate"/>
    </w:r>
    <w:r w:rsidR="009C46CC">
      <w:rPr>
        <w:noProof/>
      </w:rPr>
      <w:instrText>0,5</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9C46CC">
      <w:rPr>
        <w:noProof/>
      </w:rPr>
      <w:instrText>1</w:instrText>
    </w:r>
    <w:r w:rsidRPr="009C46CC">
      <w:fldChar w:fldCharType="end"/>
    </w:r>
    <w:r w:rsidRPr="009C46CC">
      <w:instrText xml:space="preserve">/2) </w:instrText>
    </w:r>
    <w:r w:rsidRPr="009C46CC">
      <w:fldChar w:fldCharType="separate"/>
    </w:r>
    <w:r w:rsidR="009C46CC">
      <w:rPr>
        <w:noProof/>
      </w:rPr>
      <w:instrText>0</w:instrText>
    </w:r>
    <w:r w:rsidRPr="009C46CC">
      <w:fldChar w:fldCharType="end"/>
    </w:r>
    <w:r w:rsidRPr="009C46CC">
      <w:fldChar w:fldCharType="separate"/>
    </w:r>
    <w:r w:rsidR="009C46CC">
      <w:rPr>
        <w:noProof/>
      </w:rPr>
      <w:instrText>0,5</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Pr="009C46CC">
      <w:instrText>2</w:instrText>
    </w:r>
    <w:r w:rsidRPr="009C46CC">
      <w:fldChar w:fldCharType="end"/>
    </w:r>
  </w:p>
  <w:p w:rsidR="00BD3322" w:rsidRPr="009C46CC" w:rsidRDefault="00BD3322">
    <w:pPr>
      <w:pStyle w:val="SidfotH"/>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009C46CC">
      <w:rPr>
        <w:noProof/>
      </w:rPr>
      <w:instrText>1</w:instrText>
    </w:r>
    <w:r w:rsidRPr="009C46CC">
      <w:fldChar w:fldCharType="end"/>
    </w:r>
    <w:r w:rsidRPr="009C46CC">
      <w:instrText>"</w:instrText>
    </w:r>
    <w:r w:rsidRPr="009C46CC">
      <w:fldChar w:fldCharType="separate"/>
    </w:r>
    <w:r w:rsidR="009C46CC">
      <w:rPr>
        <w:noProof/>
      </w:rPr>
      <w:t>1</w:t>
    </w:r>
    <w:r w:rsidRPr="009C46CC">
      <w:fldChar w:fldCharType="end"/>
    </w:r>
  </w:p>
  <w:p w:rsidR="00BD3322" w:rsidRPr="009C46CC" w:rsidRDefault="00BD332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4</w:t>
    </w:r>
    <w:r w:rsidRPr="009C46CC">
      <w:fldChar w:fldCharType="end"/>
    </w:r>
  </w:p>
  <w:p w:rsidR="00BD3322" w:rsidRPr="009C46CC" w:rsidRDefault="00BD332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3</w:t>
    </w:r>
    <w:r w:rsidRPr="009C46CC">
      <w:fldChar w:fldCharType="end"/>
    </w:r>
  </w:p>
  <w:p w:rsidR="00BD3322" w:rsidRPr="009C46CC" w:rsidRDefault="00BD332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2</w:instrText>
    </w:r>
    <w:r w:rsidRPr="009C46CC">
      <w:fldChar w:fldCharType="end"/>
    </w:r>
    <w:r w:rsidRPr="009C46CC">
      <w:instrText xml:space="preserve">/2 </w:instrText>
    </w:r>
    <w:r w:rsidRPr="009C46CC">
      <w:fldChar w:fldCharType="separate"/>
    </w:r>
    <w:r w:rsidR="004E1B0C" w:rsidRPr="009C46CC">
      <w:instrText>1</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2</w:instrText>
    </w:r>
    <w:r w:rsidRPr="009C46CC">
      <w:fldChar w:fldCharType="end"/>
    </w:r>
    <w:r w:rsidRPr="009C46CC">
      <w:instrText xml:space="preserve">/2) </w:instrText>
    </w:r>
    <w:r w:rsidRPr="009C46CC">
      <w:fldChar w:fldCharType="separate"/>
    </w:r>
    <w:r w:rsidR="004E1B0C" w:rsidRPr="009C46CC">
      <w:instrText>1</w:instrText>
    </w:r>
    <w:r w:rsidRPr="009C46CC">
      <w:fldChar w:fldCharType="end"/>
    </w:r>
    <w:r w:rsidRPr="009C46CC">
      <w:fldChar w:fldCharType="separate"/>
    </w:r>
    <w:r w:rsidR="004E1B0C" w:rsidRPr="009C46CC">
      <w:instrText>0</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004E1B0C" w:rsidRPr="009C46CC">
      <w:instrText>2</w:instrText>
    </w:r>
    <w:r w:rsidRPr="009C46CC">
      <w:fldChar w:fldCharType="end"/>
    </w:r>
  </w:p>
  <w:p w:rsidR="004E1B0C" w:rsidRPr="009C46CC" w:rsidRDefault="00BD3322">
    <w:pPr>
      <w:pStyle w:val="SidfotV"/>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Pr="009C46CC">
      <w:instrText>3</w:instrText>
    </w:r>
    <w:r w:rsidRPr="009C46CC">
      <w:fldChar w:fldCharType="end"/>
    </w:r>
    <w:r w:rsidRPr="009C46CC">
      <w:instrText>"</w:instrText>
    </w:r>
    <w:r w:rsidRPr="009C46CC">
      <w:fldChar w:fldCharType="separate"/>
    </w:r>
    <w:r w:rsidR="004E1B0C" w:rsidRPr="009C46CC">
      <w:t>2</w:t>
    </w:r>
  </w:p>
  <w:p w:rsidR="00BD3322" w:rsidRPr="009C46CC" w:rsidRDefault="00BD3322">
    <w:pPr>
      <w:pStyle w:val="SidfotH"/>
      <w:framePr w:w="8732" w:h="284" w:hRule="exact" w:hSpace="0" w:vSpace="0" w:wrap="around" w:xAlign="inside" w:y="13042" w:anchorLock="0"/>
    </w:pPr>
    <w:r w:rsidRPr="009C46CC">
      <w:fldChar w:fldCharType="end"/>
    </w:r>
  </w:p>
  <w:p w:rsidR="00BD3322" w:rsidRPr="009C46CC" w:rsidRDefault="00BD3322">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004E1B0C" w:rsidRPr="009C46CC">
      <w:t>4</w:t>
    </w:r>
    <w:r w:rsidRPr="009C46CC">
      <w:fldChar w:fldCharType="end"/>
    </w:r>
  </w:p>
  <w:p w:rsidR="00BD3322" w:rsidRPr="009C46CC" w:rsidRDefault="00BD3322">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H"/>
      <w:framePr w:w="8732" w:h="284" w:hRule="exact" w:hSpace="0" w:vSpace="0" w:wrap="around" w:xAlign="inside" w:y="13042" w:anchorLock="0"/>
    </w:pPr>
    <w:r w:rsidRPr="009C46CC">
      <w:fldChar w:fldCharType="begin" w:fldLock="1"/>
    </w:r>
    <w:r w:rsidRPr="009C46CC">
      <w:instrText xml:space="preserve"> PAGE </w:instrText>
    </w:r>
    <w:r w:rsidRPr="009C46CC">
      <w:fldChar w:fldCharType="separate"/>
    </w:r>
    <w:r w:rsidRPr="009C46CC">
      <w:t>5</w:t>
    </w:r>
    <w:r w:rsidRPr="009C46CC">
      <w:fldChar w:fldCharType="end"/>
    </w:r>
  </w:p>
  <w:p w:rsidR="00BD3322" w:rsidRPr="009C46CC" w:rsidRDefault="00BD3322">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fotV"/>
      <w:framePr w:w="8732" w:h="284" w:hRule="exact" w:hSpace="0" w:vSpace="0" w:wrap="around" w:xAlign="inside" w:y="13042" w:anchorLock="0"/>
    </w:pPr>
    <w:r w:rsidRPr="009C46CC">
      <w:fldChar w:fldCharType="begin" w:fldLock="1"/>
    </w:r>
    <w:r w:rsidRPr="009C46CC">
      <w:instrText xml:space="preserve"> if </w:instrText>
    </w:r>
    <w:r w:rsidRPr="009C46CC">
      <w:fldChar w:fldCharType="begin" w:fldLock="1"/>
    </w:r>
    <w:r w:rsidRPr="009C46CC">
      <w:instrText xml:space="preserve"> = </w:instrText>
    </w:r>
    <w:r w:rsidRPr="009C46CC">
      <w:fldChar w:fldCharType="begin" w:fldLock="1"/>
    </w:r>
    <w:r w:rsidRPr="009C46CC">
      <w:instrText xml:space="preserve"> = </w:instrText>
    </w:r>
    <w:r w:rsidRPr="009C46CC">
      <w:fldChar w:fldCharType="begin" w:fldLock="1"/>
    </w:r>
    <w:r w:rsidRPr="009C46CC">
      <w:instrText xml:space="preserve"> page</w:instrText>
    </w:r>
    <w:r w:rsidRPr="009C46CC">
      <w:fldChar w:fldCharType="separate"/>
    </w:r>
    <w:r w:rsidR="004E1B0C" w:rsidRPr="009C46CC">
      <w:instrText>3</w:instrText>
    </w:r>
    <w:r w:rsidRPr="009C46CC">
      <w:fldChar w:fldCharType="end"/>
    </w:r>
    <w:r w:rsidRPr="009C46CC">
      <w:instrText xml:space="preserve">/2 </w:instrText>
    </w:r>
    <w:r w:rsidRPr="009C46CC">
      <w:fldChar w:fldCharType="separate"/>
    </w:r>
    <w:r w:rsidR="004E1B0C" w:rsidRPr="009C46CC">
      <w:instrText>1,5</w:instrText>
    </w:r>
    <w:r w:rsidRPr="009C46CC">
      <w:fldChar w:fldCharType="end"/>
    </w:r>
    <w:r w:rsidRPr="009C46CC">
      <w:instrText xml:space="preserve"> - </w:instrText>
    </w:r>
    <w:r w:rsidRPr="009C46CC">
      <w:fldChar w:fldCharType="begin" w:fldLock="1"/>
    </w:r>
    <w:r w:rsidRPr="009C46CC">
      <w:instrText xml:space="preserve"> = int(</w:instrText>
    </w:r>
    <w:r w:rsidRPr="009C46CC">
      <w:fldChar w:fldCharType="begin" w:fldLock="1"/>
    </w:r>
    <w:r w:rsidRPr="009C46CC">
      <w:instrText xml:space="preserve"> page</w:instrText>
    </w:r>
    <w:r w:rsidRPr="009C46CC">
      <w:fldChar w:fldCharType="separate"/>
    </w:r>
    <w:r w:rsidR="004E1B0C" w:rsidRPr="009C46CC">
      <w:instrText>3</w:instrText>
    </w:r>
    <w:r w:rsidRPr="009C46CC">
      <w:fldChar w:fldCharType="end"/>
    </w:r>
    <w:r w:rsidRPr="009C46CC">
      <w:instrText xml:space="preserve">/2) </w:instrText>
    </w:r>
    <w:r w:rsidRPr="009C46CC">
      <w:fldChar w:fldCharType="separate"/>
    </w:r>
    <w:r w:rsidR="004E1B0C" w:rsidRPr="009C46CC">
      <w:instrText>1</w:instrText>
    </w:r>
    <w:r w:rsidRPr="009C46CC">
      <w:fldChar w:fldCharType="end"/>
    </w:r>
    <w:r w:rsidRPr="009C46CC">
      <w:fldChar w:fldCharType="separate"/>
    </w:r>
    <w:r w:rsidR="004E1B0C" w:rsidRPr="009C46CC">
      <w:instrText>0,5</w:instrText>
    </w:r>
    <w:r w:rsidRPr="009C46CC">
      <w:fldChar w:fldCharType="end"/>
    </w:r>
    <w:r w:rsidRPr="009C46CC">
      <w:instrText xml:space="preserve"> = 0 "</w:instrText>
    </w:r>
    <w:r w:rsidRPr="009C46CC">
      <w:fldChar w:fldCharType="begin" w:fldLock="1"/>
    </w:r>
    <w:r w:rsidRPr="009C46CC">
      <w:instrText xml:space="preserve"> PAGE </w:instrText>
    </w:r>
    <w:r w:rsidRPr="009C46CC">
      <w:fldChar w:fldCharType="separate"/>
    </w:r>
    <w:r w:rsidRPr="009C46CC">
      <w:instrText>4</w:instrText>
    </w:r>
    <w:r w:rsidRPr="009C46CC">
      <w:fldChar w:fldCharType="end"/>
    </w:r>
  </w:p>
  <w:p w:rsidR="00BD3322" w:rsidRPr="009C46CC" w:rsidRDefault="00BD3322">
    <w:pPr>
      <w:pStyle w:val="SidfotH"/>
      <w:framePr w:w="8732" w:h="284" w:hRule="exact" w:hSpace="0" w:vSpace="0" w:wrap="around" w:xAlign="inside" w:y="13042" w:anchorLock="0"/>
    </w:pPr>
    <w:r w:rsidRPr="009C46CC">
      <w:instrText>""</w:instrText>
    </w:r>
    <w:r w:rsidRPr="009C46CC">
      <w:fldChar w:fldCharType="begin" w:fldLock="1"/>
    </w:r>
    <w:r w:rsidRPr="009C46CC">
      <w:instrText xml:space="preserve"> PAGE </w:instrText>
    </w:r>
    <w:r w:rsidRPr="009C46CC">
      <w:fldChar w:fldCharType="separate"/>
    </w:r>
    <w:r w:rsidR="004E1B0C" w:rsidRPr="009C46CC">
      <w:instrText>3</w:instrText>
    </w:r>
    <w:r w:rsidRPr="009C46CC">
      <w:fldChar w:fldCharType="end"/>
    </w:r>
    <w:r w:rsidRPr="009C46CC">
      <w:instrText>"</w:instrText>
    </w:r>
    <w:r w:rsidRPr="009C46CC">
      <w:fldChar w:fldCharType="separate"/>
    </w:r>
    <w:r w:rsidR="004E1B0C" w:rsidRPr="009C46CC">
      <w:t>3</w:t>
    </w:r>
    <w:r w:rsidRPr="009C46CC">
      <w:fldChar w:fldCharType="end"/>
    </w:r>
  </w:p>
  <w:p w:rsidR="00BD3322" w:rsidRPr="009C46CC" w:rsidRDefault="00BD33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7EF" w:rsidRPr="009C46CC" w:rsidRDefault="008A47EF">
      <w:pPr>
        <w:pStyle w:val="Sidfot"/>
      </w:pPr>
    </w:p>
  </w:footnote>
  <w:footnote w:type="continuationSeparator" w:id="0">
    <w:p w:rsidR="008A47EF" w:rsidRPr="009C46CC" w:rsidRDefault="008A47EF">
      <w:pPr>
        <w:spacing w:before="0" w:line="240" w:lineRule="auto"/>
      </w:pPr>
      <w:r w:rsidRPr="009C46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 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r w:rsidRPr="009C46CC">
      <w:t xml:space="preserve">     </w:t>
    </w:r>
    <w:r w:rsidRPr="009C46CC">
      <w:rPr>
        <w:rStyle w:val="SidhuvudBilaga"/>
      </w:rPr>
      <w:t xml:space="preserve"> </w:t>
    </w: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Innehållsförteckning</w:t>
    </w:r>
    <w:r w:rsidRPr="009C46CC">
      <w:rPr>
        <w:rStyle w:val="SidhuvudRubrikReferens"/>
      </w:rPr>
      <w:fldChar w:fldCharType="end"/>
    </w:r>
  </w:p>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    </w:instrText>
    </w:r>
    <w:r w:rsidRPr="009C46CC">
      <w:rPr>
        <w:rStyle w:val="SidhuvudUtskott"/>
      </w:rPr>
      <w:fldChar w:fldCharType="begin" w:fldLock="1"/>
    </w:r>
    <w:r w:rsidRPr="009C46CC">
      <w:rPr>
        <w:rStyle w:val="SidhuvudUtskott"/>
      </w:rPr>
      <w:instrText xml:space="preserve"> PRINTDATE \@ "yyyy-MM-dd HH.mm"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p>
  <w:p w:rsidR="00BD3322" w:rsidRPr="009C46CC" w:rsidRDefault="00BD3322">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 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r w:rsidRPr="009C46CC">
      <w:t xml:space="preserve">     </w:t>
    </w:r>
    <w:r w:rsidRPr="009C46CC">
      <w:rPr>
        <w:rStyle w:val="SidhuvudBilaga"/>
      </w:rPr>
      <w:t xml:space="preserve"> </w:t>
    </w: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Riksrevisorernas årliga rapport 2011</w:t>
    </w:r>
    <w:r w:rsidRPr="009C46CC">
      <w:rPr>
        <w:rStyle w:val="SidhuvudRubrikReferens"/>
      </w:rPr>
      <w:fldChar w:fldCharType="end"/>
    </w:r>
  </w:p>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    </w:instrText>
    </w:r>
    <w:r w:rsidRPr="009C46CC">
      <w:rPr>
        <w:rStyle w:val="SidhuvudUtskott"/>
      </w:rPr>
      <w:fldChar w:fldCharType="begin" w:fldLock="1"/>
    </w:r>
    <w:r w:rsidRPr="009C46CC">
      <w:rPr>
        <w:rStyle w:val="SidhuvudUtskott"/>
      </w:rPr>
      <w:instrText xml:space="preserve"> PRINTDATE \@ "yyyy-MM-dd HH.mm"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p>
  <w:p w:rsidR="00BD3322" w:rsidRPr="009C46CC" w:rsidRDefault="00BD3322">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Udda"/>
      <w:framePr w:w="8732" w:h="567" w:hRule="exact" w:vSpace="0" w:wrap="around" w:vAnchor="page" w:y="341" w:anchorLock="0"/>
    </w:pP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Riksrevisorernas årliga rapport 2011</w:t>
    </w:r>
    <w:r w:rsidRPr="009C46CC">
      <w:rPr>
        <w:rStyle w:val="SidhuvudRubrikReferens"/>
      </w:rPr>
      <w:fldChar w:fldCharType="end"/>
    </w:r>
    <w:r w:rsidRPr="009C46CC">
      <w:rPr>
        <w:rStyle w:val="SidhuvudBilaga"/>
      </w:rPr>
      <w:t xml:space="preserve"> </w:t>
    </w:r>
    <w:r w:rsidRPr="009C46CC">
      <w:t xml:space="preserve">     </w:t>
    </w: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w:instrText>
    </w:r>
    <w:r w:rsidRPr="009C46CC">
      <w:instrText xml:space="preserve"> </w:instrText>
    </w:r>
    <w:r w:rsidRPr="009C46CC">
      <w:rPr>
        <w:rStyle w:val="SidhuvudUtskott"/>
      </w:rPr>
      <w:instrText>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p>
  <w:p w:rsidR="00BD3322" w:rsidRPr="009C46CC" w:rsidRDefault="00BD3322">
    <w:pPr>
      <w:pStyle w:val="SidhuvudKantUdda"/>
      <w:framePr w:w="8732" w:h="567" w:hRule="exact" w:vSpace="0" w:wrap="around" w:vAnchor="page" w:y="341" w:anchorLock="0"/>
    </w:pP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w:instrText>
    </w:r>
    <w:r w:rsidRPr="009C46CC">
      <w:rPr>
        <w:rStyle w:val="SidhuvudUtskott"/>
      </w:rPr>
      <w:fldChar w:fldCharType="begin" w:fldLock="1"/>
    </w:r>
    <w:r w:rsidRPr="009C46CC">
      <w:rPr>
        <w:rStyle w:val="SidhuvudUtskott"/>
      </w:rPr>
      <w:instrText xml:space="preserve"> PRINTDATE \@ "yyyy-MM-dd HH.mm    "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p>
  <w:p w:rsidR="00BD3322" w:rsidRPr="009C46CC" w:rsidRDefault="00BD3322">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Udda"/>
      <w:framePr w:w="8732" w:h="567" w:hRule="exact" w:vSpace="0" w:wrap="around" w:vAnchor="page" w:y="341" w:anchorLock="0"/>
    </w:pPr>
    <w:r w:rsidRPr="009C46CC">
      <w:t xml:space="preserve">  </w:t>
    </w:r>
    <w:r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t>2010/11:RR5</w:t>
    </w:r>
    <w:r w:rsidRPr="009C46CC">
      <w:t xml:space="preserve">     </w:t>
    </w:r>
    <w:r w:rsidRPr="009C46CC">
      <w:rPr>
        <w:rStyle w:val="SidhuvudBilaga"/>
      </w:rPr>
      <w:t xml:space="preserve"> </w:t>
    </w:r>
    <w:r w:rsidR="004E1B0C" w:rsidRPr="009C46CC">
      <w:rPr>
        <w:rStyle w:val="SidhuvudRubrikReferens"/>
      </w:rPr>
      <w:t>Utmaningar för transfereringssystemen</w:t>
    </w:r>
  </w:p>
  <w:p w:rsidR="00BD3322" w:rsidRPr="009C46CC" w:rsidRDefault="00BD3322">
    <w:pPr>
      <w:pStyle w:val="SidhuvudKantJmn"/>
      <w:framePr w:w="8732" w:h="567" w:hRule="exact" w:vSpace="0" w:wrap="around" w:vAnchor="page" w:y="341" w:anchorLock="0"/>
    </w:pPr>
  </w:p>
  <w:p w:rsidR="00BD3322" w:rsidRPr="009C46CC" w:rsidRDefault="00BD3322">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4E1B0C">
    <w:pPr>
      <w:pStyle w:val="SidhuvudKantUdda"/>
      <w:framePr w:w="8732" w:h="567" w:hRule="exact" w:vSpace="0" w:wrap="around" w:vAnchor="page" w:y="341" w:anchorLock="0"/>
    </w:pPr>
    <w:r w:rsidRPr="009C46CC">
      <w:rPr>
        <w:rStyle w:val="SidhuvudRubrikReferens"/>
      </w:rPr>
      <w:t>Utmaningar för transfereringssystemen</w:t>
    </w:r>
    <w:r w:rsidR="00BD3322" w:rsidRPr="009C46CC">
      <w:rPr>
        <w:rStyle w:val="SidhuvudBilaga"/>
      </w:rPr>
      <w:t xml:space="preserve"> </w:t>
    </w:r>
    <w:r w:rsidR="00BD3322" w:rsidRPr="009C46CC">
      <w:t xml:space="preserve">     </w:t>
    </w:r>
    <w:r w:rsidR="00BD3322"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Jmn"/>
      <w:framePr w:w="8732" w:h="567" w:hRule="exact" w:vSpace="0" w:wrap="around" w:vAnchor="page" w:y="341" w:anchorLock="0"/>
    </w:pPr>
    <w:r w:rsidRPr="009C46CC">
      <w:rPr>
        <w:rStyle w:val="SidhuvudUtskott"/>
      </w:rPr>
      <w:t>2010/11:RR5</w:t>
    </w:r>
    <w:r w:rsidRPr="009C46CC">
      <w:t xml:space="preserve">    </w:t>
    </w:r>
  </w:p>
  <w:p w:rsidR="004E1B0C" w:rsidRPr="009C46CC" w:rsidRDefault="004E1B0C">
    <w:pPr>
      <w:pStyle w:val="SidhuvudKantJmn"/>
      <w:framePr w:w="8732" w:h="567" w:hRule="exact" w:vSpace="0" w:wrap="around" w:vAnchor="page" w:y="341" w:anchorLock="0"/>
    </w:pPr>
  </w:p>
  <w:p w:rsidR="00BD3322" w:rsidRPr="009C46CC" w:rsidRDefault="004E1B0C">
    <w:pPr>
      <w:pStyle w:val="SidhuvudKantUdda"/>
      <w:framePr w:w="8732" w:h="567" w:hRule="exact" w:vSpace="0" w:wrap="around" w:vAnchor="page" w:y="341" w:anchorLock="0"/>
    </w:pPr>
    <w:r w:rsidRPr="009C46CC">
      <w:rPr>
        <w:rStyle w:val="SidhuvudRubrikReferens"/>
        <w:smallCaps w:val="0"/>
        <w:spacing w:val="0"/>
        <w:sz w:val="19"/>
      </w:rPr>
      <w:t xml:space="preserve"> </w:t>
    </w:r>
  </w:p>
  <w:p w:rsidR="00BD3322" w:rsidRPr="009C46CC" w:rsidRDefault="00BD3322">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t>2010/11:RR5</w:t>
    </w:r>
    <w:r w:rsidRPr="009C46CC">
      <w:t xml:space="preserve">     </w:t>
    </w:r>
    <w:r w:rsidRPr="009C46CC">
      <w:rPr>
        <w:rStyle w:val="SidhuvudBilaga"/>
      </w:rPr>
      <w:t xml:space="preserve"> </w:t>
    </w:r>
    <w:r w:rsidR="004E1B0C" w:rsidRPr="009C46CC">
      <w:rPr>
        <w:rStyle w:val="SidhuvudRubrikReferens"/>
      </w:rPr>
      <w:t>Långt kvar till en effektiv IT-förvaltning</w:t>
    </w:r>
  </w:p>
  <w:p w:rsidR="00BD3322" w:rsidRPr="009C46CC" w:rsidRDefault="00BD3322">
    <w:pPr>
      <w:pStyle w:val="SidhuvudKantJmn"/>
      <w:framePr w:w="8732" w:h="567" w:hRule="exact" w:vSpace="0" w:wrap="around" w:vAnchor="page" w:y="341" w:anchorLock="0"/>
    </w:pPr>
  </w:p>
  <w:p w:rsidR="00BD3322" w:rsidRPr="009C46CC" w:rsidRDefault="00BD3322">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4E1B0C">
    <w:pPr>
      <w:pStyle w:val="SidhuvudKantUdda"/>
      <w:framePr w:w="8732" w:h="567" w:hRule="exact" w:vSpace="0" w:wrap="around" w:vAnchor="page" w:y="341" w:anchorLock="0"/>
    </w:pPr>
    <w:r w:rsidRPr="009C46CC">
      <w:rPr>
        <w:rStyle w:val="SidhuvudRubrikReferens"/>
      </w:rPr>
      <w:t>Långt kvar till en effektiv IT-förvaltning</w:t>
    </w:r>
    <w:r w:rsidR="00BD3322" w:rsidRPr="009C46CC">
      <w:rPr>
        <w:rStyle w:val="SidhuvudBilaga"/>
      </w:rPr>
      <w:t xml:space="preserve"> </w:t>
    </w:r>
    <w:r w:rsidR="00BD3322" w:rsidRPr="009C46CC">
      <w:t xml:space="preserve">     </w:t>
    </w:r>
    <w:r w:rsidR="00BD3322"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Udda"/>
      <w:framePr w:w="8732" w:h="567" w:hRule="exact" w:vSpace="0" w:wrap="around" w:vAnchor="page" w:y="341" w:anchorLock="0"/>
    </w:pPr>
    <w:r w:rsidRPr="009C46CC">
      <w:t xml:space="preserve">  </w:t>
    </w:r>
    <w:r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t>2010/11:RR5</w:t>
    </w:r>
    <w:r w:rsidRPr="009C46CC">
      <w:t xml:space="preserve">     </w:t>
    </w:r>
    <w:r w:rsidRPr="009C46CC">
      <w:rPr>
        <w:rStyle w:val="SidhuvudBilaga"/>
      </w:rPr>
      <w:t xml:space="preserve"> </w:t>
    </w:r>
    <w:r w:rsidR="004E1B0C" w:rsidRPr="009C46CC">
      <w:rPr>
        <w:rStyle w:val="SidhuvudRubrikReferens"/>
      </w:rPr>
      <w:t>Den årliga revisionen - våra viktigaste iakttagelser</w:t>
    </w:r>
  </w:p>
  <w:p w:rsidR="00BD3322" w:rsidRPr="009C46CC" w:rsidRDefault="00BD3322">
    <w:pPr>
      <w:pStyle w:val="SidhuvudKantJmn"/>
      <w:framePr w:w="8732" w:h="567" w:hRule="exact" w:vSpace="0" w:wrap="around" w:vAnchor="page" w:y="341" w:anchorLock="0"/>
    </w:pPr>
  </w:p>
  <w:p w:rsidR="00BD3322" w:rsidRPr="009C46CC" w:rsidRDefault="00BD332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Udda"/>
      <w:framePr w:w="8732" w:h="567" w:hRule="exact" w:vSpace="0" w:wrap="around" w:vAnchor="page" w:y="341" w:anchorLock="0"/>
    </w:pP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Innehållsförteckning</w:t>
    </w:r>
    <w:r w:rsidRPr="009C46CC">
      <w:rPr>
        <w:rStyle w:val="SidhuvudRubrikReferens"/>
      </w:rPr>
      <w:fldChar w:fldCharType="end"/>
    </w:r>
    <w:r w:rsidRPr="009C46CC">
      <w:rPr>
        <w:rStyle w:val="SidhuvudBilaga"/>
      </w:rPr>
      <w:t xml:space="preserve"> </w:t>
    </w:r>
    <w:r w:rsidRPr="009C46CC">
      <w:t xml:space="preserve">     </w:t>
    </w: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w:instrText>
    </w:r>
    <w:r w:rsidRPr="009C46CC">
      <w:instrText xml:space="preserve"> </w:instrText>
    </w:r>
    <w:r w:rsidRPr="009C46CC">
      <w:rPr>
        <w:rStyle w:val="SidhuvudUtskott"/>
      </w:rPr>
      <w:instrText>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p>
  <w:p w:rsidR="00BD3322" w:rsidRPr="009C46CC" w:rsidRDefault="00BD3322">
    <w:pPr>
      <w:pStyle w:val="SidhuvudKantUdda"/>
      <w:framePr w:w="8732" w:h="567" w:hRule="exact" w:vSpace="0" w:wrap="around" w:vAnchor="page" w:y="341" w:anchorLock="0"/>
    </w:pP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w:instrText>
    </w:r>
    <w:r w:rsidRPr="009C46CC">
      <w:rPr>
        <w:rStyle w:val="SidhuvudUtskott"/>
      </w:rPr>
      <w:fldChar w:fldCharType="begin" w:fldLock="1"/>
    </w:r>
    <w:r w:rsidRPr="009C46CC">
      <w:rPr>
        <w:rStyle w:val="SidhuvudUtskott"/>
      </w:rPr>
      <w:instrText xml:space="preserve"> PRINTDATE \@ "yyyy-MM-dd HH.mm    "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p>
  <w:p w:rsidR="00BD3322" w:rsidRPr="009C46CC" w:rsidRDefault="00BD3322">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4E1B0C">
    <w:pPr>
      <w:pStyle w:val="SidhuvudKantUdda"/>
      <w:framePr w:w="8732" w:h="567" w:hRule="exact" w:vSpace="0" w:wrap="around" w:vAnchor="page" w:y="341" w:anchorLock="0"/>
    </w:pPr>
    <w:r w:rsidRPr="009C46CC">
      <w:rPr>
        <w:rStyle w:val="SidhuvudRubrikReferens"/>
      </w:rPr>
      <w:t>Den årliga revisionen - våra viktigaste iakttagelser</w:t>
    </w:r>
    <w:r w:rsidR="00BD3322" w:rsidRPr="009C46CC">
      <w:rPr>
        <w:rStyle w:val="SidhuvudBilaga"/>
      </w:rPr>
      <w:t xml:space="preserve"> </w:t>
    </w:r>
    <w:r w:rsidR="00BD3322" w:rsidRPr="009C46CC">
      <w:t xml:space="preserve">     </w:t>
    </w:r>
    <w:r w:rsidR="00BD3322"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Udda"/>
      <w:framePr w:w="8732" w:h="567" w:hRule="exact" w:vSpace="0" w:wrap="around" w:vAnchor="page" w:y="341" w:anchorLock="0"/>
    </w:pPr>
    <w:r w:rsidRPr="009C46CC">
      <w:t xml:space="preserve">  </w:t>
    </w:r>
    <w:r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t>2010/11:RR5</w:t>
    </w:r>
    <w:r w:rsidRPr="009C46CC">
      <w:t xml:space="preserve">     </w:t>
    </w:r>
    <w:r w:rsidRPr="009C46CC">
      <w:rPr>
        <w:rStyle w:val="SidhuvudBilaga"/>
      </w:rPr>
      <w:t xml:space="preserve"> </w:t>
    </w:r>
    <w:r w:rsidR="004E1B0C" w:rsidRPr="009C46CC">
      <w:rPr>
        <w:rStyle w:val="SidhuvudRubrikReferens"/>
      </w:rPr>
      <w:t>Effektivitetsrevisionens rapporter – våra viktigaste iakttagelser</w:t>
    </w:r>
  </w:p>
  <w:p w:rsidR="00BD3322" w:rsidRPr="009C46CC" w:rsidRDefault="00BD3322">
    <w:pPr>
      <w:pStyle w:val="SidhuvudKantJmn"/>
      <w:framePr w:w="8732" w:h="567" w:hRule="exact" w:vSpace="0" w:wrap="around" w:vAnchor="page" w:y="341" w:anchorLock="0"/>
    </w:pPr>
  </w:p>
  <w:p w:rsidR="00BD3322" w:rsidRPr="009C46CC" w:rsidRDefault="00BD3322">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4E1B0C">
    <w:pPr>
      <w:pStyle w:val="SidhuvudKantUdda"/>
      <w:framePr w:w="8732" w:h="567" w:hRule="exact" w:vSpace="0" w:wrap="around" w:vAnchor="page" w:y="341" w:anchorLock="0"/>
    </w:pPr>
    <w:r w:rsidRPr="009C46CC">
      <w:rPr>
        <w:rStyle w:val="SidhuvudRubrikReferens"/>
      </w:rPr>
      <w:t>Effektivitetsrevisionens rapporter – våra viktigaste iakttagelser</w:t>
    </w:r>
    <w:r w:rsidR="00BD3322" w:rsidRPr="009C46CC">
      <w:rPr>
        <w:rStyle w:val="SidhuvudBilaga"/>
      </w:rPr>
      <w:t xml:space="preserve"> </w:t>
    </w:r>
    <w:r w:rsidR="00BD3322" w:rsidRPr="009C46CC">
      <w:t xml:space="preserve">     </w:t>
    </w:r>
    <w:r w:rsidR="00BD3322"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Jmn"/>
      <w:framePr w:w="8732" w:h="567" w:hRule="exact" w:vSpace="0" w:wrap="around" w:vAnchor="page" w:y="341" w:anchorLock="0"/>
    </w:pPr>
    <w:r w:rsidRPr="009C46CC">
      <w:rPr>
        <w:rStyle w:val="SidhuvudUtskott"/>
      </w:rPr>
      <w:t>2010/11:RR5</w:t>
    </w:r>
    <w:r w:rsidRPr="009C46CC">
      <w:t xml:space="preserve">    </w:t>
    </w:r>
  </w:p>
  <w:p w:rsidR="004E1B0C" w:rsidRPr="009C46CC" w:rsidRDefault="004E1B0C">
    <w:pPr>
      <w:pStyle w:val="SidhuvudKantJmn"/>
      <w:framePr w:w="8732" w:h="567" w:hRule="exact" w:vSpace="0" w:wrap="around" w:vAnchor="page" w:y="341" w:anchorLock="0"/>
    </w:pPr>
  </w:p>
  <w:p w:rsidR="00BD3322" w:rsidRPr="009C46CC" w:rsidRDefault="004E1B0C">
    <w:pPr>
      <w:pStyle w:val="SidhuvudKantUdda"/>
      <w:framePr w:w="8732" w:h="567" w:hRule="exact" w:vSpace="0" w:wrap="around" w:vAnchor="page" w:y="341" w:anchorLock="0"/>
    </w:pPr>
    <w:r w:rsidRPr="009C46CC">
      <w:rPr>
        <w:rStyle w:val="SidhuvudRubrikReferens"/>
        <w:smallCaps w:val="0"/>
        <w:spacing w:val="0"/>
        <w:sz w:val="19"/>
      </w:rPr>
      <w:t xml:space="preserve"> </w:t>
    </w:r>
  </w:p>
  <w:p w:rsidR="00BD3322" w:rsidRPr="009C46CC" w:rsidRDefault="00BD332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4E1B0C">
    <w:pPr>
      <w:pStyle w:val="SidhuvudKantUdda"/>
      <w:framePr w:w="8732" w:h="567" w:hRule="exact" w:vSpace="0" w:wrap="around" w:vAnchor="page" w:y="341" w:anchorLock="0"/>
    </w:pPr>
    <w:r w:rsidRPr="009C46CC">
      <w:t xml:space="preserve"> </w:t>
    </w:r>
  </w:p>
  <w:p w:rsidR="00BD3322" w:rsidRPr="009C46CC" w:rsidRDefault="00BD332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 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r w:rsidRPr="009C46CC">
      <w:t xml:space="preserve">     </w:t>
    </w:r>
    <w:r w:rsidRPr="009C46CC">
      <w:rPr>
        <w:rStyle w:val="SidhuvudBilaga"/>
      </w:rPr>
      <w:t xml:space="preserve"> </w:t>
    </w: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Innehållsförteckning</w:t>
    </w:r>
    <w:r w:rsidRPr="009C46CC">
      <w:rPr>
        <w:rStyle w:val="SidhuvudRubrikReferens"/>
      </w:rPr>
      <w:fldChar w:fldCharType="end"/>
    </w:r>
  </w:p>
  <w:p w:rsidR="00BD3322" w:rsidRPr="009C46CC" w:rsidRDefault="00BD3322">
    <w:pPr>
      <w:pStyle w:val="SidhuvudKantJmn"/>
      <w:framePr w:w="8732" w:h="567" w:hRule="exact" w:vSpace="0" w:wrap="around" w:vAnchor="page" w:y="341" w:anchorLock="0"/>
    </w:pP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    </w:instrText>
    </w:r>
    <w:r w:rsidRPr="009C46CC">
      <w:rPr>
        <w:rStyle w:val="SidhuvudUtskott"/>
      </w:rPr>
      <w:fldChar w:fldCharType="begin" w:fldLock="1"/>
    </w:r>
    <w:r w:rsidRPr="009C46CC">
      <w:rPr>
        <w:rStyle w:val="SidhuvudUtskott"/>
      </w:rPr>
      <w:instrText xml:space="preserve"> PRINTDATE \@ "yyyy-MM-dd HH.mm"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p>
  <w:p w:rsidR="00BD3322" w:rsidRPr="009C46CC" w:rsidRDefault="00BD332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Udda"/>
      <w:framePr w:w="8732" w:h="567" w:hRule="exact" w:vSpace="0" w:wrap="around" w:vAnchor="page" w:y="341" w:anchorLock="0"/>
    </w:pP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Innehållsförteckning</w:t>
    </w:r>
    <w:r w:rsidRPr="009C46CC">
      <w:rPr>
        <w:rStyle w:val="SidhuvudRubrikReferens"/>
      </w:rPr>
      <w:fldChar w:fldCharType="end"/>
    </w:r>
    <w:r w:rsidRPr="009C46CC">
      <w:rPr>
        <w:rStyle w:val="SidhuvudBilaga"/>
      </w:rPr>
      <w:t xml:space="preserve"> </w:t>
    </w:r>
    <w:r w:rsidRPr="009C46CC">
      <w:t xml:space="preserve">     </w:t>
    </w: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w:instrText>
    </w:r>
    <w:r w:rsidRPr="009C46CC">
      <w:instrText xml:space="preserve"> </w:instrText>
    </w:r>
    <w:r w:rsidRPr="009C46CC">
      <w:rPr>
        <w:rStyle w:val="SidhuvudUtskott"/>
      </w:rPr>
      <w:instrText>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p>
  <w:p w:rsidR="00BD3322" w:rsidRPr="009C46CC" w:rsidRDefault="00BD3322">
    <w:pPr>
      <w:pStyle w:val="SidhuvudKantUdda"/>
      <w:framePr w:w="8732" w:h="567" w:hRule="exact" w:vSpace="0" w:wrap="around" w:vAnchor="page" w:y="341" w:anchorLock="0"/>
    </w:pP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w:instrText>
    </w:r>
    <w:r w:rsidRPr="009C46CC">
      <w:rPr>
        <w:rStyle w:val="SidhuvudUtskott"/>
      </w:rPr>
      <w:fldChar w:fldCharType="begin" w:fldLock="1"/>
    </w:r>
    <w:r w:rsidRPr="009C46CC">
      <w:rPr>
        <w:rStyle w:val="SidhuvudUtskott"/>
      </w:rPr>
      <w:instrText xml:space="preserve"> PRINTDATE \@ "yyyy-MM-dd HH.mm    "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p>
  <w:p w:rsidR="00BD3322" w:rsidRPr="009C46CC" w:rsidRDefault="00BD332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Jmn"/>
      <w:framePr w:w="8732" w:h="567" w:hRule="exact" w:vSpace="0" w:wrap="around" w:vAnchor="page" w:y="341" w:anchorLock="0"/>
    </w:pPr>
    <w:r w:rsidRPr="009C46CC">
      <w:rPr>
        <w:rStyle w:val="SidhuvudUtskott"/>
      </w:rPr>
      <w:t>2010/11:RR5</w:t>
    </w:r>
    <w:r w:rsidRPr="009C46CC">
      <w:t xml:space="preserve">    </w:t>
    </w:r>
  </w:p>
  <w:p w:rsidR="004E1B0C" w:rsidRPr="009C46CC" w:rsidRDefault="004E1B0C">
    <w:pPr>
      <w:pStyle w:val="SidhuvudKantJmn"/>
      <w:framePr w:w="8732" w:h="567" w:hRule="exact" w:vSpace="0" w:wrap="around" w:vAnchor="page" w:y="341" w:anchorLock="0"/>
    </w:pPr>
  </w:p>
  <w:p w:rsidR="00BD3322" w:rsidRPr="009C46CC" w:rsidRDefault="004E1B0C">
    <w:pPr>
      <w:pStyle w:val="SidhuvudKantUdda"/>
      <w:framePr w:w="8732" w:h="567" w:hRule="exact" w:vSpace="0" w:wrap="around" w:vAnchor="page" w:y="341" w:anchorLock="0"/>
    </w:pPr>
    <w:r w:rsidRPr="009C46CC">
      <w:rPr>
        <w:rStyle w:val="SidhuvudRubrikReferens"/>
        <w:smallCaps w:val="0"/>
        <w:spacing w:val="0"/>
        <w:sz w:val="19"/>
      </w:rPr>
      <w:t xml:space="preserve"> </w:t>
    </w:r>
  </w:p>
  <w:p w:rsidR="00BD3322" w:rsidRPr="009C46CC" w:rsidRDefault="00BD3322">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Jmn"/>
      <w:framePr w:w="8732" w:h="567" w:hRule="exact" w:vSpace="0" w:wrap="around" w:vAnchor="page" w:y="341" w:anchorLock="0"/>
    </w:pPr>
    <w:r w:rsidRPr="009C46CC">
      <w:rPr>
        <w:rStyle w:val="SidhuvudUtskott"/>
      </w:rPr>
      <w:t>2010/11:RR5</w:t>
    </w:r>
    <w:r w:rsidRPr="009C46CC">
      <w:t xml:space="preserve">     </w:t>
    </w:r>
    <w:r w:rsidRPr="009C46CC">
      <w:rPr>
        <w:rStyle w:val="SidhuvudBilaga"/>
      </w:rPr>
      <w:t xml:space="preserve"> </w:t>
    </w:r>
    <w:r w:rsidR="004E1B0C" w:rsidRPr="009C46CC">
      <w:rPr>
        <w:rStyle w:val="SidhuvudRubrikReferens"/>
      </w:rPr>
      <w:t>Riksrevisorernas årliga rapport 2011</w:t>
    </w:r>
  </w:p>
  <w:p w:rsidR="00BD3322" w:rsidRPr="009C46CC" w:rsidRDefault="00BD3322">
    <w:pPr>
      <w:pStyle w:val="SidhuvudKantJmn"/>
      <w:framePr w:w="8732" w:h="567" w:hRule="exact" w:vSpace="0" w:wrap="around" w:vAnchor="page" w:y="341" w:anchorLock="0"/>
    </w:pPr>
  </w:p>
  <w:p w:rsidR="00BD3322" w:rsidRPr="009C46CC" w:rsidRDefault="00BD3322">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3322" w:rsidRPr="009C46CC" w:rsidRDefault="00BD3322">
    <w:pPr>
      <w:pStyle w:val="SidhuvudKantUdda"/>
      <w:framePr w:w="8732" w:h="567" w:hRule="exact" w:vSpace="0" w:wrap="around" w:vAnchor="page" w:y="341" w:anchorLock="0"/>
    </w:pPr>
    <w:r w:rsidRPr="009C46CC">
      <w:rPr>
        <w:rStyle w:val="SidhuvudRubrikReferens"/>
      </w:rPr>
      <w:fldChar w:fldCharType="begin" w:fldLock="1"/>
    </w:r>
    <w:r w:rsidRPr="009C46CC">
      <w:rPr>
        <w:rStyle w:val="SidhuvudRubrikReferens"/>
      </w:rPr>
      <w:instrText xml:space="preserve"> StyleREF "Rubrik 1" </w:instrText>
    </w:r>
    <w:r w:rsidRPr="009C46CC">
      <w:rPr>
        <w:rStyle w:val="SidhuvudRubrikReferens"/>
      </w:rPr>
      <w:fldChar w:fldCharType="separate"/>
    </w:r>
    <w:r w:rsidRPr="009C46CC">
      <w:rPr>
        <w:rStyle w:val="SidhuvudRubrikReferens"/>
      </w:rPr>
      <w:t>Innehållsförteckning</w:t>
    </w:r>
    <w:r w:rsidRPr="009C46CC">
      <w:rPr>
        <w:rStyle w:val="SidhuvudRubrikReferens"/>
      </w:rPr>
      <w:fldChar w:fldCharType="end"/>
    </w:r>
    <w:r w:rsidRPr="009C46CC">
      <w:rPr>
        <w:rStyle w:val="SidhuvudBilaga"/>
      </w:rPr>
      <w:t xml:space="preserve"> </w:t>
    </w:r>
    <w:r w:rsidRPr="009C46CC">
      <w:t xml:space="preserve">     </w:t>
    </w:r>
    <w:r w:rsidRPr="009C46CC">
      <w:rPr>
        <w:rStyle w:val="SidhuvudUtskott"/>
      </w:rPr>
      <w:fldChar w:fldCharType="begin" w:fldLock="1"/>
    </w:r>
    <w:r w:rsidRPr="009C46CC">
      <w:rPr>
        <w:rStyle w:val="SidhuvudUtskott"/>
      </w:rPr>
      <w:instrText xml:space="preserve"> DOCPROPERTY BetänkandeÅr</w:instrText>
    </w:r>
    <w:r w:rsidRPr="009C46CC">
      <w:rPr>
        <w:rStyle w:val="SidhuvudUtskott"/>
      </w:rPr>
      <w:fldChar w:fldCharType="separate"/>
    </w:r>
    <w:r w:rsidRPr="009C46CC">
      <w:rPr>
        <w:rStyle w:val="SidhuvudUtskott"/>
      </w:rPr>
      <w:t>2010/11</w:t>
    </w:r>
    <w:r w:rsidRPr="009C46CC">
      <w:rPr>
        <w:rStyle w:val="SidhuvudUtskott"/>
      </w:rPr>
      <w:fldChar w:fldCharType="end"/>
    </w:r>
    <w:r w:rsidRPr="009C46CC">
      <w:rPr>
        <w:rStyle w:val="SidhuvudUtskott"/>
      </w:rPr>
      <w:t>:</w:t>
    </w:r>
    <w:r w:rsidRPr="009C46CC">
      <w:rPr>
        <w:rStyle w:val="SidhuvudUtskott"/>
      </w:rPr>
      <w:fldChar w:fldCharType="begin" w:fldLock="1"/>
    </w:r>
    <w:r w:rsidRPr="009C46CC">
      <w:rPr>
        <w:rStyle w:val="SidhuvudUtskott"/>
      </w:rPr>
      <w:instrText xml:space="preserve"> DOCPROPERTY</w:instrText>
    </w:r>
    <w:r w:rsidRPr="009C46CC">
      <w:instrText xml:space="preserve"> </w:instrText>
    </w:r>
    <w:r w:rsidRPr="009C46CC">
      <w:rPr>
        <w:rStyle w:val="SidhuvudUtskott"/>
      </w:rPr>
      <w:instrText>Utskott</w:instrText>
    </w:r>
    <w:r w:rsidRPr="009C46CC">
      <w:rPr>
        <w:rStyle w:val="SidhuvudUtskott"/>
      </w:rPr>
      <w:fldChar w:fldCharType="separate"/>
    </w:r>
    <w:r w:rsidRPr="009C46CC">
      <w:rPr>
        <w:rStyle w:val="SidhuvudUtskott"/>
      </w:rPr>
      <w:t>RR</w: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BetänkandeNr</w:instrText>
    </w:r>
    <w:r w:rsidRPr="009C46CC">
      <w:rPr>
        <w:rStyle w:val="SidhuvudUtskott"/>
      </w:rPr>
      <w:fldChar w:fldCharType="separate"/>
    </w:r>
    <w:r w:rsidRPr="009C46CC">
      <w:rPr>
        <w:rStyle w:val="SidhuvudUtskott"/>
      </w:rPr>
      <w:t>5</w:t>
    </w:r>
    <w:r w:rsidRPr="009C46CC">
      <w:rPr>
        <w:rStyle w:val="SidhuvudUtskott"/>
      </w:rPr>
      <w:fldChar w:fldCharType="end"/>
    </w:r>
  </w:p>
  <w:p w:rsidR="00BD3322" w:rsidRPr="009C46CC" w:rsidRDefault="00BD3322">
    <w:pPr>
      <w:pStyle w:val="SidhuvudKantUdda"/>
      <w:framePr w:w="8732" w:h="567" w:hRule="exact" w:vSpace="0" w:wrap="around" w:vAnchor="page" w:y="341" w:anchorLock="0"/>
    </w:pPr>
    <w:r w:rsidRPr="009C46CC">
      <w:rPr>
        <w:rStyle w:val="SidhuvudUtskott"/>
      </w:rPr>
      <w:fldChar w:fldCharType="begin" w:fldLock="1"/>
    </w:r>
    <w:r w:rsidRPr="009C46CC">
      <w:rPr>
        <w:rStyle w:val="SidhuvudUtskott"/>
      </w:rPr>
      <w:instrText xml:space="preserve"> if </w:instrText>
    </w:r>
    <w:r w:rsidRPr="009C46CC">
      <w:rPr>
        <w:rStyle w:val="SidhuvudUtskott"/>
      </w:rPr>
      <w:fldChar w:fldCharType="begin" w:fldLock="1"/>
    </w:r>
    <w:r w:rsidRPr="009C46CC">
      <w:rPr>
        <w:rStyle w:val="SidhuvudUtskott"/>
      </w:rPr>
      <w:instrText xml:space="preserve"> DOCPROPERTY "UtkastDatum"</w:instrText>
    </w:r>
    <w:r w:rsidRPr="009C46CC">
      <w:rPr>
        <w:rStyle w:val="SidhuvudUtskott"/>
      </w:rPr>
      <w:fldChar w:fldCharType="separate"/>
    </w:r>
    <w:r w:rsidRPr="009C46CC">
      <w:rPr>
        <w:rStyle w:val="SidhuvudUtskott"/>
      </w:rPr>
      <w:instrText>Nej</w:instrText>
    </w:r>
    <w:r w:rsidRPr="009C46CC">
      <w:rPr>
        <w:rStyle w:val="SidhuvudUtskott"/>
      </w:rPr>
      <w:fldChar w:fldCharType="end"/>
    </w:r>
    <w:r w:rsidRPr="009C46CC">
      <w:rPr>
        <w:rStyle w:val="SidhuvudUtskott"/>
      </w:rPr>
      <w:instrText xml:space="preserve"> = "Ja" "</w:instrText>
    </w:r>
    <w:r w:rsidRPr="009C46CC">
      <w:rPr>
        <w:rStyle w:val="SidhuvudUtskott"/>
      </w:rPr>
      <w:fldChar w:fldCharType="begin" w:fldLock="1"/>
    </w:r>
    <w:r w:rsidRPr="009C46CC">
      <w:rPr>
        <w:rStyle w:val="SidhuvudUtskott"/>
      </w:rPr>
      <w:instrText xml:space="preserve"> PRINTDATE \@ "yyyy-MM-dd HH.mm    " </w:instrText>
    </w:r>
    <w:r w:rsidRPr="009C46CC">
      <w:rPr>
        <w:rStyle w:val="SidhuvudUtskott"/>
      </w:rPr>
      <w:fldChar w:fldCharType="separate"/>
    </w:r>
    <w:r w:rsidRPr="009C46CC">
      <w:rPr>
        <w:rStyle w:val="SidhuvudUtskott"/>
      </w:rPr>
      <w:instrText>2000-08-11 16.42</w:instrText>
    </w:r>
    <w:r w:rsidRPr="009C46CC">
      <w:rPr>
        <w:rStyle w:val="SidhuvudUtskott"/>
      </w:rPr>
      <w:fldChar w:fldCharType="end"/>
    </w:r>
    <w:r w:rsidRPr="009C46CC">
      <w:rPr>
        <w:rStyle w:val="SidhuvudUtskott"/>
      </w:rPr>
      <w:instrText xml:space="preserve">" </w:instrText>
    </w:r>
    <w:r w:rsidRPr="009C46CC">
      <w:rPr>
        <w:rStyle w:val="SidhuvudUtskott"/>
      </w:rPr>
      <w:fldChar w:fldCharType="end"/>
    </w:r>
    <w:r w:rsidRPr="009C46CC">
      <w:rPr>
        <w:rStyle w:val="SidhuvudUtskott"/>
      </w:rPr>
      <w:fldChar w:fldCharType="begin" w:fldLock="1"/>
    </w:r>
    <w:r w:rsidRPr="009C46CC">
      <w:rPr>
        <w:rStyle w:val="SidhuvudUtskott"/>
      </w:rPr>
      <w:instrText xml:space="preserve"> DOCPROPERTY Status</w:instrText>
    </w:r>
    <w:r w:rsidRPr="009C46CC">
      <w:rPr>
        <w:rStyle w:val="SidhuvudUtskott"/>
      </w:rPr>
      <w:fldChar w:fldCharType="end"/>
    </w:r>
  </w:p>
  <w:p w:rsidR="00BD3322" w:rsidRPr="009C46CC" w:rsidRDefault="00BD3322">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B0C" w:rsidRPr="009C46CC" w:rsidRDefault="004E1B0C">
    <w:pPr>
      <w:pStyle w:val="SidhuvudKantUdda"/>
      <w:framePr w:w="8732" w:h="567" w:hRule="exact" w:vSpace="0" w:wrap="around" w:vAnchor="page" w:y="341" w:anchorLock="0"/>
    </w:pPr>
    <w:r w:rsidRPr="009C46CC">
      <w:t xml:space="preserve">  </w:t>
    </w:r>
    <w:r w:rsidRPr="009C46CC">
      <w:rPr>
        <w:rStyle w:val="SidhuvudUtskott"/>
      </w:rPr>
      <w:t>2010/11:RR5</w:t>
    </w:r>
  </w:p>
  <w:p w:rsidR="00BD3322" w:rsidRPr="009C46CC" w:rsidRDefault="00BD3322">
    <w:pPr>
      <w:pStyle w:val="SidhuvudKantUdda"/>
      <w:framePr w:w="8732" w:h="567" w:hRule="exact" w:vSpace="0" w:wrap="around" w:vAnchor="page" w:y="341" w:anchorLock="0"/>
    </w:pPr>
  </w:p>
  <w:p w:rsidR="00BD3322" w:rsidRPr="009C46CC" w:rsidRDefault="00BD332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96B7CFB"/>
    <w:multiLevelType w:val="hybridMultilevel"/>
    <w:tmpl w:val="D40C76D2"/>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14B21FBA"/>
    <w:multiLevelType w:val="hybridMultilevel"/>
    <w:tmpl w:val="C9BE2334"/>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 w15:restartNumberingAfterBreak="0">
    <w:nsid w:val="16A60147"/>
    <w:multiLevelType w:val="hybridMultilevel"/>
    <w:tmpl w:val="62D2ADF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1A2403C5"/>
    <w:multiLevelType w:val="hybridMultilevel"/>
    <w:tmpl w:val="37E83B4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9A028C4"/>
    <w:multiLevelType w:val="hybridMultilevel"/>
    <w:tmpl w:val="2BBE80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9B5A6A"/>
    <w:multiLevelType w:val="hybridMultilevel"/>
    <w:tmpl w:val="CA107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BE12DF"/>
    <w:multiLevelType w:val="hybridMultilevel"/>
    <w:tmpl w:val="4D78489C"/>
    <w:lvl w:ilvl="0" w:tplc="1C1A5400">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62D01349"/>
    <w:multiLevelType w:val="hybridMultilevel"/>
    <w:tmpl w:val="25E088A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68607543">
    <w:abstractNumId w:val="3"/>
  </w:num>
  <w:num w:numId="2" w16cid:durableId="2128505813">
    <w:abstractNumId w:val="9"/>
  </w:num>
  <w:num w:numId="3" w16cid:durableId="623463626">
    <w:abstractNumId w:val="0"/>
  </w:num>
  <w:num w:numId="4" w16cid:durableId="420762359">
    <w:abstractNumId w:val="11"/>
  </w:num>
  <w:num w:numId="5" w16cid:durableId="518011039">
    <w:abstractNumId w:val="6"/>
  </w:num>
  <w:num w:numId="6" w16cid:durableId="1951357482">
    <w:abstractNumId w:val="7"/>
  </w:num>
  <w:num w:numId="7" w16cid:durableId="1368212568">
    <w:abstractNumId w:val="4"/>
  </w:num>
  <w:num w:numId="8" w16cid:durableId="568883684">
    <w:abstractNumId w:val="10"/>
  </w:num>
  <w:num w:numId="9" w16cid:durableId="1900820745">
    <w:abstractNumId w:val="1"/>
  </w:num>
  <w:num w:numId="10" w16cid:durableId="1002703536">
    <w:abstractNumId w:val="5"/>
  </w:num>
  <w:num w:numId="11" w16cid:durableId="942420038">
    <w:abstractNumId w:val="8"/>
  </w:num>
  <w:num w:numId="12" w16cid:durableId="93771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1011"/>
  </w:docVars>
  <w:rsids>
    <w:rsidRoot w:val="00102989"/>
    <w:rsid w:val="0000600B"/>
    <w:rsid w:val="00007428"/>
    <w:rsid w:val="00037057"/>
    <w:rsid w:val="00064B25"/>
    <w:rsid w:val="00074909"/>
    <w:rsid w:val="000827F1"/>
    <w:rsid w:val="00092CED"/>
    <w:rsid w:val="000957ED"/>
    <w:rsid w:val="000B503A"/>
    <w:rsid w:val="000C6E9C"/>
    <w:rsid w:val="00102989"/>
    <w:rsid w:val="001348B2"/>
    <w:rsid w:val="001547A4"/>
    <w:rsid w:val="00155922"/>
    <w:rsid w:val="00197FD6"/>
    <w:rsid w:val="001E264E"/>
    <w:rsid w:val="0020634B"/>
    <w:rsid w:val="002430FB"/>
    <w:rsid w:val="00250269"/>
    <w:rsid w:val="00250D7B"/>
    <w:rsid w:val="00262702"/>
    <w:rsid w:val="00264A98"/>
    <w:rsid w:val="00292F7A"/>
    <w:rsid w:val="002A1381"/>
    <w:rsid w:val="002A31F8"/>
    <w:rsid w:val="002E2969"/>
    <w:rsid w:val="002F0A87"/>
    <w:rsid w:val="002F4D5B"/>
    <w:rsid w:val="003213E9"/>
    <w:rsid w:val="00326223"/>
    <w:rsid w:val="003278A8"/>
    <w:rsid w:val="0035291D"/>
    <w:rsid w:val="003705D0"/>
    <w:rsid w:val="003A5C6B"/>
    <w:rsid w:val="003A799F"/>
    <w:rsid w:val="003B4CCD"/>
    <w:rsid w:val="003C7E42"/>
    <w:rsid w:val="003D79D8"/>
    <w:rsid w:val="00424BAD"/>
    <w:rsid w:val="004276FE"/>
    <w:rsid w:val="0043617E"/>
    <w:rsid w:val="0043658A"/>
    <w:rsid w:val="00471647"/>
    <w:rsid w:val="004927C2"/>
    <w:rsid w:val="0049553C"/>
    <w:rsid w:val="00496051"/>
    <w:rsid w:val="004B09C6"/>
    <w:rsid w:val="004E1B0C"/>
    <w:rsid w:val="004E6174"/>
    <w:rsid w:val="00502961"/>
    <w:rsid w:val="005444F0"/>
    <w:rsid w:val="00546384"/>
    <w:rsid w:val="005A2C00"/>
    <w:rsid w:val="005E2860"/>
    <w:rsid w:val="005F4B96"/>
    <w:rsid w:val="00606830"/>
    <w:rsid w:val="00607C54"/>
    <w:rsid w:val="00614918"/>
    <w:rsid w:val="00640FD6"/>
    <w:rsid w:val="00647003"/>
    <w:rsid w:val="006826BB"/>
    <w:rsid w:val="006A16D0"/>
    <w:rsid w:val="006A7FDB"/>
    <w:rsid w:val="006D0187"/>
    <w:rsid w:val="006E29E8"/>
    <w:rsid w:val="00746479"/>
    <w:rsid w:val="00782202"/>
    <w:rsid w:val="007A624F"/>
    <w:rsid w:val="007F1AAF"/>
    <w:rsid w:val="008069B4"/>
    <w:rsid w:val="00826B13"/>
    <w:rsid w:val="008325DB"/>
    <w:rsid w:val="0083721E"/>
    <w:rsid w:val="00853C16"/>
    <w:rsid w:val="008603A2"/>
    <w:rsid w:val="0087428A"/>
    <w:rsid w:val="008A47EF"/>
    <w:rsid w:val="009020EC"/>
    <w:rsid w:val="00931551"/>
    <w:rsid w:val="00960CC1"/>
    <w:rsid w:val="00972D4E"/>
    <w:rsid w:val="00985CC9"/>
    <w:rsid w:val="0099773B"/>
    <w:rsid w:val="009A0A45"/>
    <w:rsid w:val="009C46CC"/>
    <w:rsid w:val="00A062F9"/>
    <w:rsid w:val="00A346F8"/>
    <w:rsid w:val="00A44154"/>
    <w:rsid w:val="00A44926"/>
    <w:rsid w:val="00A478F8"/>
    <w:rsid w:val="00A660C7"/>
    <w:rsid w:val="00A7383B"/>
    <w:rsid w:val="00A97379"/>
    <w:rsid w:val="00A97B79"/>
    <w:rsid w:val="00AF4BBE"/>
    <w:rsid w:val="00B11FC6"/>
    <w:rsid w:val="00B41A19"/>
    <w:rsid w:val="00B421DE"/>
    <w:rsid w:val="00B55C9F"/>
    <w:rsid w:val="00B709AB"/>
    <w:rsid w:val="00B9317A"/>
    <w:rsid w:val="00BA347B"/>
    <w:rsid w:val="00BB0BE6"/>
    <w:rsid w:val="00BD3322"/>
    <w:rsid w:val="00BE4B5C"/>
    <w:rsid w:val="00BE569C"/>
    <w:rsid w:val="00BF26A9"/>
    <w:rsid w:val="00BF4551"/>
    <w:rsid w:val="00C1366D"/>
    <w:rsid w:val="00C13905"/>
    <w:rsid w:val="00C359AA"/>
    <w:rsid w:val="00C51A1D"/>
    <w:rsid w:val="00C61DED"/>
    <w:rsid w:val="00C6357C"/>
    <w:rsid w:val="00C659B0"/>
    <w:rsid w:val="00C82DD2"/>
    <w:rsid w:val="00CB4ABF"/>
    <w:rsid w:val="00CD347C"/>
    <w:rsid w:val="00CD626A"/>
    <w:rsid w:val="00CF1F3A"/>
    <w:rsid w:val="00D157EE"/>
    <w:rsid w:val="00D64448"/>
    <w:rsid w:val="00DA052C"/>
    <w:rsid w:val="00DB20B0"/>
    <w:rsid w:val="00DC71DA"/>
    <w:rsid w:val="00DC7B60"/>
    <w:rsid w:val="00DD2FCA"/>
    <w:rsid w:val="00DE4913"/>
    <w:rsid w:val="00DE4B51"/>
    <w:rsid w:val="00E307D5"/>
    <w:rsid w:val="00E430FC"/>
    <w:rsid w:val="00E442E6"/>
    <w:rsid w:val="00E46740"/>
    <w:rsid w:val="00E60AB5"/>
    <w:rsid w:val="00E74B81"/>
    <w:rsid w:val="00ED0308"/>
    <w:rsid w:val="00EE7CA1"/>
    <w:rsid w:val="00F159E5"/>
    <w:rsid w:val="00F235A1"/>
    <w:rsid w:val="00F36BB0"/>
    <w:rsid w:val="00F44958"/>
    <w:rsid w:val="00F55C9F"/>
    <w:rsid w:val="00F76A81"/>
    <w:rsid w:val="00F849C8"/>
    <w:rsid w:val="00F9107E"/>
    <w:rsid w:val="00F97E3B"/>
    <w:rsid w:val="00FA0C3F"/>
    <w:rsid w:val="00FB0E32"/>
    <w:rsid w:val="00FB1984"/>
    <w:rsid w:val="00FC3F66"/>
    <w:rsid w:val="00FD306C"/>
    <w:rsid w:val="00FF0C82"/>
    <w:rsid w:val="00FF5DB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08386-3454-4147-B929-424581639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B9317A"/>
    <w:pPr>
      <w:spacing w:before="62" w:line="250" w:lineRule="atLeast"/>
      <w:jc w:val="both"/>
    </w:pPr>
    <w:rPr>
      <w:sz w:val="19"/>
      <w:lang w:val="sv-SE" w:eastAsia="sv-SE"/>
    </w:rPr>
  </w:style>
  <w:style w:type="paragraph" w:styleId="Rubrik1">
    <w:name w:val="heading 1"/>
    <w:basedOn w:val="Normal"/>
    <w:next w:val="Normal"/>
    <w:qFormat/>
    <w:rsid w:val="00B9317A"/>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B9317A"/>
    <w:pPr>
      <w:spacing w:before="500" w:after="62"/>
      <w:outlineLvl w:val="1"/>
    </w:pPr>
    <w:rPr>
      <w:noProof w:val="0"/>
      <w:sz w:val="27"/>
    </w:rPr>
  </w:style>
  <w:style w:type="paragraph" w:styleId="Rubrik3">
    <w:name w:val="heading 3"/>
    <w:basedOn w:val="Rubrik1"/>
    <w:next w:val="Normal"/>
    <w:qFormat/>
    <w:rsid w:val="00B9317A"/>
    <w:pPr>
      <w:spacing w:before="360" w:after="0" w:line="250" w:lineRule="exact"/>
      <w:outlineLvl w:val="2"/>
    </w:pPr>
    <w:rPr>
      <w:b/>
      <w:sz w:val="21"/>
    </w:rPr>
  </w:style>
  <w:style w:type="paragraph" w:styleId="Rubrik4">
    <w:name w:val="heading 4"/>
    <w:basedOn w:val="Rubrik3"/>
    <w:next w:val="Normal"/>
    <w:qFormat/>
    <w:rsid w:val="00B9317A"/>
    <w:pPr>
      <w:spacing w:before="250"/>
      <w:outlineLvl w:val="3"/>
    </w:pPr>
    <w:rPr>
      <w:b w:val="0"/>
      <w:i/>
    </w:rPr>
  </w:style>
  <w:style w:type="paragraph" w:styleId="Rubrik5">
    <w:name w:val="heading 5"/>
    <w:basedOn w:val="Rubrik3"/>
    <w:next w:val="Normal"/>
    <w:qFormat/>
    <w:rsid w:val="00B9317A"/>
    <w:pPr>
      <w:pBdr>
        <w:bottom w:val="single" w:sz="4" w:space="3" w:color="auto"/>
      </w:pBdr>
      <w:outlineLvl w:val="4"/>
    </w:pPr>
    <w:rPr>
      <w:b w:val="0"/>
      <w:sz w:val="19"/>
    </w:rPr>
  </w:style>
  <w:style w:type="paragraph" w:styleId="Rubrik6">
    <w:name w:val="heading 6"/>
    <w:basedOn w:val="Normal"/>
    <w:next w:val="Normal"/>
    <w:qFormat/>
    <w:rsid w:val="00B9317A"/>
    <w:pPr>
      <w:keepNext/>
      <w:spacing w:before="250" w:line="200" w:lineRule="atLeast"/>
      <w:jc w:val="left"/>
      <w:outlineLvl w:val="5"/>
    </w:pPr>
    <w:rPr>
      <w:sz w:val="16"/>
    </w:rPr>
  </w:style>
  <w:style w:type="paragraph" w:styleId="Rubrik7">
    <w:name w:val="heading 7"/>
    <w:basedOn w:val="Rubrik6"/>
    <w:next w:val="Normal"/>
    <w:qFormat/>
    <w:rsid w:val="00B9317A"/>
    <w:pPr>
      <w:spacing w:line="240" w:lineRule="auto"/>
      <w:outlineLvl w:val="6"/>
    </w:pPr>
    <w:rPr>
      <w:sz w:val="14"/>
    </w:rPr>
  </w:style>
  <w:style w:type="paragraph" w:styleId="Rubrik8">
    <w:name w:val="heading 8"/>
    <w:basedOn w:val="Rubrik7"/>
    <w:next w:val="Normal"/>
    <w:qFormat/>
    <w:rsid w:val="00B9317A"/>
    <w:pPr>
      <w:outlineLvl w:val="7"/>
    </w:pPr>
    <w:rPr>
      <w:i/>
    </w:rPr>
  </w:style>
  <w:style w:type="paragraph" w:styleId="Rubrik9">
    <w:name w:val="heading 9"/>
    <w:basedOn w:val="Normal"/>
    <w:next w:val="Normal"/>
    <w:qFormat/>
    <w:rsid w:val="00B9317A"/>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B9317A"/>
    <w:pPr>
      <w:spacing w:before="0"/>
      <w:ind w:firstLine="227"/>
    </w:pPr>
  </w:style>
  <w:style w:type="paragraph" w:customStyle="1" w:styleId="HuvudRubrik">
    <w:name w:val="HuvudRubrik"/>
    <w:basedOn w:val="Normal"/>
    <w:rsid w:val="00B9317A"/>
    <w:pPr>
      <w:keepNext/>
      <w:keepLines/>
      <w:suppressAutoHyphens/>
      <w:spacing w:before="0" w:line="320" w:lineRule="exact"/>
      <w:jc w:val="left"/>
    </w:pPr>
    <w:rPr>
      <w:sz w:val="32"/>
    </w:rPr>
  </w:style>
  <w:style w:type="paragraph" w:customStyle="1" w:styleId="StatusSida1">
    <w:name w:val="Status Sida1"/>
    <w:basedOn w:val="Normal"/>
    <w:rsid w:val="00B9317A"/>
    <w:pPr>
      <w:spacing w:before="0" w:line="240" w:lineRule="auto"/>
      <w:jc w:val="center"/>
    </w:pPr>
    <w:rPr>
      <w:sz w:val="24"/>
    </w:rPr>
  </w:style>
  <w:style w:type="paragraph" w:customStyle="1" w:styleId="UtskriftsdatumSida1">
    <w:name w:val="Utskriftsdatum Sida1"/>
    <w:basedOn w:val="SidhuvudKant"/>
    <w:rsid w:val="00B9317A"/>
    <w:pPr>
      <w:framePr w:wrap="around"/>
      <w:spacing w:line="240" w:lineRule="auto"/>
      <w:jc w:val="center"/>
    </w:pPr>
  </w:style>
  <w:style w:type="paragraph" w:customStyle="1" w:styleId="SidhuvudKant">
    <w:name w:val="SidhuvudKant"/>
    <w:basedOn w:val="Sidhuvud"/>
    <w:rsid w:val="00B9317A"/>
    <w:pPr>
      <w:framePr w:w="8789" w:vSpace="142" w:wrap="around" w:vAnchor="text" w:hAnchor="page" w:xAlign="inside" w:y="1" w:anchorLock="1"/>
      <w:ind w:left="0"/>
    </w:pPr>
  </w:style>
  <w:style w:type="paragraph" w:styleId="Sidhuvud">
    <w:name w:val="header"/>
    <w:basedOn w:val="Normal"/>
    <w:rsid w:val="00B9317A"/>
    <w:pPr>
      <w:tabs>
        <w:tab w:val="center" w:pos="4252"/>
        <w:tab w:val="right" w:pos="8504"/>
      </w:tabs>
      <w:spacing w:before="0"/>
      <w:ind w:left="-851"/>
      <w:jc w:val="left"/>
    </w:pPr>
  </w:style>
  <w:style w:type="paragraph" w:customStyle="1" w:styleId="Yrkanden">
    <w:name w:val="Yrkanden"/>
    <w:basedOn w:val="Normal"/>
    <w:rsid w:val="00B9317A"/>
    <w:pPr>
      <w:ind w:left="227" w:hanging="227"/>
    </w:pPr>
  </w:style>
  <w:style w:type="paragraph" w:customStyle="1" w:styleId="Tabelltextsiffror">
    <w:name w:val="Tabelltext siffror"/>
    <w:basedOn w:val="Tabelltext"/>
    <w:rsid w:val="00B9317A"/>
    <w:pPr>
      <w:jc w:val="right"/>
    </w:pPr>
  </w:style>
  <w:style w:type="paragraph" w:styleId="Citat">
    <w:name w:val="Quote"/>
    <w:basedOn w:val="Normal"/>
    <w:next w:val="CitatIndrag"/>
    <w:qFormat/>
    <w:rsid w:val="00B9317A"/>
    <w:pPr>
      <w:spacing w:before="0" w:line="200" w:lineRule="exact"/>
      <w:ind w:left="340"/>
    </w:pPr>
  </w:style>
  <w:style w:type="paragraph" w:customStyle="1" w:styleId="CitatIndrag">
    <w:name w:val="CitatIndrag"/>
    <w:basedOn w:val="Citat"/>
    <w:rsid w:val="00B9317A"/>
    <w:pPr>
      <w:ind w:firstLine="227"/>
    </w:pPr>
  </w:style>
  <w:style w:type="paragraph" w:customStyle="1" w:styleId="Deltagare">
    <w:name w:val="Deltagare"/>
    <w:basedOn w:val="Normal"/>
    <w:next w:val="Normal"/>
    <w:rsid w:val="00B9317A"/>
    <w:pPr>
      <w:keepLines/>
      <w:spacing w:before="500" w:line="200" w:lineRule="exact"/>
    </w:pPr>
    <w:rPr>
      <w:noProof/>
    </w:rPr>
  </w:style>
  <w:style w:type="paragraph" w:styleId="Fotnotstext">
    <w:name w:val="footnote text"/>
    <w:basedOn w:val="Normal"/>
    <w:next w:val="Fotnotstextindrag"/>
    <w:link w:val="FotnotstextChar"/>
    <w:uiPriority w:val="99"/>
    <w:qFormat/>
    <w:rsid w:val="00B9317A"/>
    <w:pPr>
      <w:spacing w:before="0" w:line="170" w:lineRule="exact"/>
    </w:pPr>
    <w:rPr>
      <w:sz w:val="17"/>
    </w:rPr>
  </w:style>
  <w:style w:type="paragraph" w:customStyle="1" w:styleId="Innehll">
    <w:name w:val="Innehåll"/>
    <w:basedOn w:val="Rubrik1"/>
    <w:next w:val="Normal"/>
    <w:rsid w:val="00B9317A"/>
  </w:style>
  <w:style w:type="paragraph" w:styleId="Innehll1">
    <w:name w:val="toc 1"/>
    <w:basedOn w:val="Normal"/>
    <w:uiPriority w:val="39"/>
    <w:rsid w:val="00B9317A"/>
    <w:pPr>
      <w:tabs>
        <w:tab w:val="right" w:leader="dot" w:pos="5954"/>
      </w:tabs>
      <w:spacing w:before="0"/>
      <w:ind w:right="567"/>
      <w:jc w:val="left"/>
    </w:pPr>
  </w:style>
  <w:style w:type="paragraph" w:styleId="Innehll2">
    <w:name w:val="toc 2"/>
    <w:basedOn w:val="Innehll1"/>
    <w:uiPriority w:val="39"/>
    <w:rsid w:val="00B9317A"/>
    <w:pPr>
      <w:ind w:left="568" w:hanging="284"/>
    </w:pPr>
  </w:style>
  <w:style w:type="paragraph" w:styleId="Innehll3">
    <w:name w:val="toc 3"/>
    <w:basedOn w:val="Innehll1"/>
    <w:uiPriority w:val="39"/>
    <w:rsid w:val="00B9317A"/>
    <w:pPr>
      <w:ind w:left="851" w:hanging="284"/>
    </w:pPr>
  </w:style>
  <w:style w:type="paragraph" w:styleId="Innehll4">
    <w:name w:val="toc 4"/>
    <w:basedOn w:val="Innehll1"/>
    <w:semiHidden/>
    <w:rsid w:val="00B9317A"/>
    <w:pPr>
      <w:ind w:left="1135" w:hanging="284"/>
    </w:pPr>
  </w:style>
  <w:style w:type="paragraph" w:styleId="Innehll5">
    <w:name w:val="toc 5"/>
    <w:basedOn w:val="Innehll4"/>
    <w:next w:val="Normal"/>
    <w:semiHidden/>
    <w:rsid w:val="00B9317A"/>
    <w:pPr>
      <w:ind w:left="907"/>
    </w:pPr>
  </w:style>
  <w:style w:type="paragraph" w:styleId="Innehll6">
    <w:name w:val="toc 6"/>
    <w:basedOn w:val="Innehll5"/>
    <w:next w:val="Normal"/>
    <w:semiHidden/>
    <w:rsid w:val="00B9317A"/>
    <w:pPr>
      <w:ind w:left="1134"/>
    </w:pPr>
  </w:style>
  <w:style w:type="paragraph" w:styleId="Innehll7">
    <w:name w:val="toc 7"/>
    <w:basedOn w:val="Innehll6"/>
    <w:next w:val="Normal"/>
    <w:semiHidden/>
    <w:rsid w:val="00B9317A"/>
    <w:pPr>
      <w:ind w:left="1361"/>
    </w:pPr>
  </w:style>
  <w:style w:type="paragraph" w:styleId="Innehll8">
    <w:name w:val="toc 8"/>
    <w:basedOn w:val="Innehll7"/>
    <w:next w:val="Normal"/>
    <w:semiHidden/>
    <w:rsid w:val="00B9317A"/>
    <w:pPr>
      <w:ind w:left="1588"/>
    </w:pPr>
  </w:style>
  <w:style w:type="paragraph" w:styleId="Innehll9">
    <w:name w:val="toc 9"/>
    <w:basedOn w:val="Normal"/>
    <w:next w:val="Normal"/>
    <w:semiHidden/>
    <w:rsid w:val="00B9317A"/>
    <w:pPr>
      <w:tabs>
        <w:tab w:val="right" w:leader="dot" w:pos="5896"/>
      </w:tabs>
      <w:spacing w:before="0"/>
      <w:ind w:left="1814"/>
    </w:pPr>
  </w:style>
  <w:style w:type="character" w:styleId="Kommentarsreferens">
    <w:name w:val="annotation reference"/>
    <w:basedOn w:val="Standardstycketeckensnitt"/>
    <w:semiHidden/>
    <w:rsid w:val="00B9317A"/>
    <w:rPr>
      <w:sz w:val="16"/>
    </w:rPr>
  </w:style>
  <w:style w:type="paragraph" w:customStyle="1" w:styleId="Lagtext">
    <w:name w:val="Lagtext"/>
    <w:basedOn w:val="Normal"/>
    <w:rsid w:val="00B9317A"/>
    <w:pPr>
      <w:spacing w:before="0" w:line="220" w:lineRule="exact"/>
    </w:pPr>
  </w:style>
  <w:style w:type="paragraph" w:customStyle="1" w:styleId="LagtextIndrag">
    <w:name w:val="LagtextIndrag"/>
    <w:basedOn w:val="Lagtext"/>
    <w:rsid w:val="00B9317A"/>
    <w:pPr>
      <w:ind w:firstLine="170"/>
    </w:pPr>
  </w:style>
  <w:style w:type="paragraph" w:styleId="Makrotext">
    <w:name w:val="macro"/>
    <w:semiHidden/>
    <w:rsid w:val="00B9317A"/>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B9317A"/>
    <w:rPr>
      <w:smallCaps/>
      <w:spacing w:val="14"/>
      <w:sz w:val="16"/>
    </w:rPr>
  </w:style>
  <w:style w:type="character" w:customStyle="1" w:styleId="SidhuvudRubrikReferens">
    <w:name w:val="SidhuvudRubrikReferens"/>
    <w:basedOn w:val="Standardstycketeckensnitt"/>
    <w:rsid w:val="00B9317A"/>
    <w:rPr>
      <w:smallCaps/>
      <w:spacing w:val="14"/>
      <w:sz w:val="16"/>
    </w:rPr>
  </w:style>
  <w:style w:type="paragraph" w:customStyle="1" w:styleId="R1">
    <w:name w:val="R1"/>
    <w:basedOn w:val="Normal"/>
    <w:next w:val="Normal"/>
    <w:rsid w:val="00B9317A"/>
    <w:pPr>
      <w:keepNext/>
      <w:keepLines/>
      <w:suppressAutoHyphens/>
      <w:spacing w:before="0" w:after="555"/>
      <w:jc w:val="left"/>
    </w:pPr>
    <w:rPr>
      <w:sz w:val="32"/>
    </w:rPr>
  </w:style>
  <w:style w:type="paragraph" w:customStyle="1" w:styleId="R2">
    <w:name w:val="R2"/>
    <w:basedOn w:val="Normal"/>
    <w:next w:val="Normal"/>
    <w:rsid w:val="00B9317A"/>
    <w:pPr>
      <w:keepNext/>
      <w:keepLines/>
      <w:suppressAutoHyphens/>
      <w:spacing w:before="500" w:after="62"/>
      <w:jc w:val="left"/>
    </w:pPr>
    <w:rPr>
      <w:sz w:val="27"/>
    </w:rPr>
  </w:style>
  <w:style w:type="paragraph" w:customStyle="1" w:styleId="R3">
    <w:name w:val="R3"/>
    <w:basedOn w:val="Normal"/>
    <w:next w:val="Normal"/>
    <w:rsid w:val="00B9317A"/>
    <w:pPr>
      <w:keepNext/>
      <w:keepLines/>
      <w:suppressAutoHyphens/>
      <w:spacing w:before="360" w:line="250" w:lineRule="exact"/>
      <w:jc w:val="left"/>
    </w:pPr>
    <w:rPr>
      <w:b/>
      <w:sz w:val="21"/>
    </w:rPr>
  </w:style>
  <w:style w:type="paragraph" w:customStyle="1" w:styleId="R4">
    <w:name w:val="R4"/>
    <w:basedOn w:val="Normal"/>
    <w:next w:val="Normal"/>
    <w:rsid w:val="00B9317A"/>
    <w:pPr>
      <w:keepNext/>
      <w:keepLines/>
      <w:suppressAutoHyphens/>
      <w:spacing w:before="250" w:line="250" w:lineRule="exact"/>
      <w:jc w:val="left"/>
    </w:pPr>
    <w:rPr>
      <w:i/>
      <w:sz w:val="21"/>
    </w:rPr>
  </w:style>
  <w:style w:type="paragraph" w:styleId="Sidfot">
    <w:name w:val="footer"/>
    <w:basedOn w:val="Normal"/>
    <w:rsid w:val="00B9317A"/>
    <w:pPr>
      <w:tabs>
        <w:tab w:val="center" w:pos="4703"/>
        <w:tab w:val="right" w:pos="9406"/>
      </w:tabs>
      <w:spacing w:before="0"/>
    </w:pPr>
  </w:style>
  <w:style w:type="paragraph" w:customStyle="1" w:styleId="SidfotH">
    <w:name w:val="SidfotH"/>
    <w:basedOn w:val="Normal"/>
    <w:rsid w:val="00B9317A"/>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B9317A"/>
    <w:pPr>
      <w:framePr w:wrap="around"/>
      <w:jc w:val="left"/>
    </w:pPr>
  </w:style>
  <w:style w:type="paragraph" w:customStyle="1" w:styleId="Pxx-utskottetsvgnar">
    <w:name w:val="På xx-utskottets vägnar"/>
    <w:basedOn w:val="Normal"/>
    <w:next w:val="Ordfranden"/>
    <w:rsid w:val="00B9317A"/>
    <w:pPr>
      <w:keepNext/>
      <w:spacing w:before="250"/>
    </w:pPr>
  </w:style>
  <w:style w:type="paragraph" w:customStyle="1" w:styleId="Ordfranden">
    <w:name w:val="Ordföranden"/>
    <w:basedOn w:val="Normal"/>
    <w:next w:val="Deltagare"/>
    <w:rsid w:val="00B9317A"/>
    <w:pPr>
      <w:keepNext/>
      <w:spacing w:before="500"/>
    </w:pPr>
    <w:rPr>
      <w:i/>
      <w:noProof/>
    </w:rPr>
  </w:style>
  <w:style w:type="character" w:styleId="Sidnummer">
    <w:name w:val="page number"/>
    <w:basedOn w:val="Standardstycketeckensnitt"/>
    <w:rsid w:val="00B9317A"/>
    <w:rPr>
      <w:rFonts w:ascii="Times New Roman" w:hAnsi="Times New Roman"/>
      <w:sz w:val="19"/>
    </w:rPr>
  </w:style>
  <w:style w:type="paragraph" w:customStyle="1" w:styleId="Tryckort">
    <w:name w:val="Tryckort"/>
    <w:basedOn w:val="Normal"/>
    <w:rsid w:val="00B9317A"/>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B9317A"/>
  </w:style>
  <w:style w:type="paragraph" w:customStyle="1" w:styleId="LagtextRubrik">
    <w:name w:val="LagtextRubrik"/>
    <w:basedOn w:val="Normal"/>
    <w:next w:val="LagtextIndrag"/>
    <w:rsid w:val="00B9317A"/>
    <w:pPr>
      <w:spacing w:before="0" w:after="220" w:line="220" w:lineRule="exact"/>
    </w:pPr>
    <w:rPr>
      <w:i/>
    </w:rPr>
  </w:style>
  <w:style w:type="character" w:styleId="Fotnotsreferens">
    <w:name w:val="footnote reference"/>
    <w:basedOn w:val="Standardstycketeckensnitt"/>
    <w:uiPriority w:val="99"/>
    <w:qFormat/>
    <w:rsid w:val="00B9317A"/>
    <w:rPr>
      <w:vertAlign w:val="superscript"/>
    </w:rPr>
  </w:style>
  <w:style w:type="paragraph" w:customStyle="1" w:styleId="SidhuvudKantJmn">
    <w:name w:val="SidhuvudKantJämn"/>
    <w:basedOn w:val="SidhuvudKant"/>
    <w:rsid w:val="00B9317A"/>
    <w:pPr>
      <w:framePr w:wrap="around"/>
    </w:pPr>
  </w:style>
  <w:style w:type="character" w:customStyle="1" w:styleId="SidhuvudUtskott">
    <w:name w:val="SidhuvudUtskott"/>
    <w:basedOn w:val="Standardstycketeckensnitt"/>
    <w:rsid w:val="00B9317A"/>
    <w:rPr>
      <w:spacing w:val="14"/>
      <w:sz w:val="16"/>
    </w:rPr>
  </w:style>
  <w:style w:type="paragraph" w:customStyle="1" w:styleId="SidhuvudKantUdda">
    <w:name w:val="SidhuvudKantUdda"/>
    <w:basedOn w:val="SidhuvudKant"/>
    <w:rsid w:val="00B9317A"/>
    <w:pPr>
      <w:framePr w:wrap="around"/>
      <w:jc w:val="right"/>
    </w:pPr>
  </w:style>
  <w:style w:type="paragraph" w:styleId="Dokumentversikt">
    <w:name w:val="Document Map"/>
    <w:basedOn w:val="Normal"/>
    <w:semiHidden/>
    <w:rsid w:val="00B9317A"/>
    <w:pPr>
      <w:shd w:val="clear" w:color="auto" w:fill="000080"/>
    </w:pPr>
    <w:rPr>
      <w:rFonts w:ascii="Tahoma" w:hAnsi="Tahoma"/>
    </w:rPr>
  </w:style>
  <w:style w:type="paragraph" w:customStyle="1" w:styleId="OrtochDatum">
    <w:name w:val="Ort och Datum"/>
    <w:basedOn w:val="Normal"/>
    <w:next w:val="Normal"/>
    <w:rsid w:val="00B9317A"/>
    <w:pPr>
      <w:keepNext/>
      <w:spacing w:before="0"/>
    </w:pPr>
  </w:style>
  <w:style w:type="paragraph" w:customStyle="1" w:styleId="Bilaga">
    <w:name w:val="Bilaga"/>
    <w:basedOn w:val="Rubrik2"/>
    <w:rsid w:val="00B9317A"/>
    <w:pPr>
      <w:spacing w:before="0" w:after="40" w:line="190" w:lineRule="exact"/>
      <w:outlineLvl w:val="9"/>
    </w:pPr>
    <w:rPr>
      <w:caps/>
      <w:sz w:val="19"/>
      <w:u w:val="single"/>
    </w:rPr>
  </w:style>
  <w:style w:type="paragraph" w:customStyle="1" w:styleId="DokumentRubrik">
    <w:name w:val="DokumentRubrik"/>
    <w:basedOn w:val="Normal"/>
    <w:rsid w:val="00B9317A"/>
    <w:pPr>
      <w:spacing w:before="0" w:after="20" w:line="240" w:lineRule="atLeast"/>
      <w:jc w:val="left"/>
    </w:pPr>
    <w:rPr>
      <w:noProof/>
      <w:sz w:val="40"/>
    </w:rPr>
  </w:style>
  <w:style w:type="paragraph" w:customStyle="1" w:styleId="Frslagspunkt">
    <w:name w:val="Förslagspunkt"/>
    <w:basedOn w:val="Rubrik3"/>
    <w:rsid w:val="00B9317A"/>
    <w:pPr>
      <w:spacing w:before="250"/>
      <w:ind w:left="340" w:hanging="340"/>
      <w:outlineLvl w:val="9"/>
    </w:pPr>
  </w:style>
  <w:style w:type="paragraph" w:customStyle="1" w:styleId="Frslagstext">
    <w:name w:val="Förslagstext"/>
    <w:basedOn w:val="Normal"/>
    <w:rsid w:val="00B9317A"/>
    <w:pPr>
      <w:spacing w:before="0"/>
      <w:ind w:left="340"/>
    </w:pPr>
  </w:style>
  <w:style w:type="paragraph" w:styleId="Kommentarer">
    <w:name w:val="annotation text"/>
    <w:basedOn w:val="Normal"/>
    <w:semiHidden/>
    <w:rsid w:val="00B9317A"/>
    <w:pPr>
      <w:spacing w:before="0"/>
    </w:pPr>
    <w:rPr>
      <w:sz w:val="20"/>
    </w:rPr>
  </w:style>
  <w:style w:type="paragraph" w:customStyle="1" w:styleId="Reservanter">
    <w:name w:val="Reservanter"/>
    <w:basedOn w:val="Normaltindrag"/>
    <w:rsid w:val="00B9317A"/>
    <w:pPr>
      <w:ind w:left="340" w:firstLine="0"/>
    </w:pPr>
  </w:style>
  <w:style w:type="paragraph" w:customStyle="1" w:styleId="Reservantfrslag">
    <w:name w:val="Reservantförslag"/>
    <w:basedOn w:val="Normal"/>
    <w:rsid w:val="00B9317A"/>
    <w:pPr>
      <w:spacing w:before="0"/>
    </w:pPr>
  </w:style>
  <w:style w:type="paragraph" w:customStyle="1" w:styleId="Reservationshnvisning">
    <w:name w:val="Reservationshänvisning"/>
    <w:basedOn w:val="Normal"/>
    <w:rsid w:val="00B9317A"/>
    <w:pPr>
      <w:spacing w:before="0"/>
      <w:jc w:val="right"/>
    </w:pPr>
    <w:rPr>
      <w:i/>
    </w:rPr>
  </w:style>
  <w:style w:type="paragraph" w:customStyle="1" w:styleId="Reservationspunkt">
    <w:name w:val="Reservationspunkt"/>
    <w:basedOn w:val="Frslagspunkt"/>
    <w:next w:val="Reservanter"/>
    <w:rsid w:val="00B9317A"/>
    <w:pPr>
      <w:spacing w:before="360"/>
      <w:outlineLvl w:val="1"/>
    </w:pPr>
  </w:style>
  <w:style w:type="paragraph" w:customStyle="1" w:styleId="Rubrik1b">
    <w:name w:val="Rubrik 1b"/>
    <w:basedOn w:val="Rubrik2"/>
    <w:rsid w:val="00B9317A"/>
    <w:rPr>
      <w:b/>
    </w:rPr>
  </w:style>
  <w:style w:type="paragraph" w:customStyle="1" w:styleId="Rubrik2b">
    <w:name w:val="Rubrik 2b"/>
    <w:basedOn w:val="Rubrik2"/>
    <w:rsid w:val="00B9317A"/>
    <w:pPr>
      <w:spacing w:before="360" w:after="0"/>
    </w:pPr>
    <w:rPr>
      <w:sz w:val="25"/>
    </w:rPr>
  </w:style>
  <w:style w:type="paragraph" w:customStyle="1" w:styleId="Rubrik2c">
    <w:name w:val="Rubrik 2c"/>
    <w:basedOn w:val="Rubrik2b"/>
    <w:rsid w:val="00B9317A"/>
    <w:pPr>
      <w:pBdr>
        <w:bottom w:val="single" w:sz="4" w:space="3" w:color="auto"/>
      </w:pBdr>
    </w:pPr>
    <w:rPr>
      <w:i/>
      <w:sz w:val="23"/>
    </w:rPr>
  </w:style>
  <w:style w:type="paragraph" w:customStyle="1" w:styleId="Utskottsfrslagikorthet-Text">
    <w:name w:val="Utskottsförslag i korthet - Text"/>
    <w:basedOn w:val="Normal"/>
    <w:rsid w:val="00B9317A"/>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B9317A"/>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B9317A"/>
    <w:pPr>
      <w:pBdr>
        <w:top w:val="single" w:sz="4" w:space="1" w:color="auto"/>
        <w:bottom w:val="single" w:sz="4" w:space="1" w:color="auto"/>
      </w:pBdr>
    </w:pPr>
  </w:style>
  <w:style w:type="paragraph" w:customStyle="1" w:styleId="Utskriftsdatum">
    <w:name w:val="Utskriftsdatum"/>
    <w:basedOn w:val="Normal"/>
    <w:next w:val="Normal"/>
    <w:rsid w:val="00B9317A"/>
    <w:pPr>
      <w:keepNext/>
      <w:spacing w:before="0" w:after="125"/>
    </w:pPr>
  </w:style>
  <w:style w:type="paragraph" w:customStyle="1" w:styleId="Utskottetsvervganden-RubrikFrslagspunkt">
    <w:name w:val="Utskottets överväganden - Rubrik Förslagspunkt"/>
    <w:basedOn w:val="Rubrik2"/>
    <w:next w:val="Utskottsfrslagikorthet-Rubrik"/>
    <w:rsid w:val="00B9317A"/>
    <w:pPr>
      <w:spacing w:after="0"/>
    </w:pPr>
  </w:style>
  <w:style w:type="paragraph" w:customStyle="1" w:styleId="Motioner">
    <w:name w:val="Motioner"/>
    <w:basedOn w:val="Normal"/>
    <w:rsid w:val="00B9317A"/>
    <w:pPr>
      <w:spacing w:before="188"/>
      <w:jc w:val="left"/>
    </w:pPr>
    <w:rPr>
      <w:i/>
    </w:rPr>
  </w:style>
  <w:style w:type="paragraph" w:customStyle="1" w:styleId="Tabellrubrik">
    <w:name w:val="Tabellrubrik"/>
    <w:basedOn w:val="Normal"/>
    <w:next w:val="Tabelltext"/>
    <w:rsid w:val="00B9317A"/>
    <w:pPr>
      <w:spacing w:before="250" w:line="200" w:lineRule="atLeast"/>
      <w:ind w:left="851" w:hanging="851"/>
      <w:jc w:val="left"/>
    </w:pPr>
    <w:rPr>
      <w:caps/>
      <w:spacing w:val="8"/>
      <w:sz w:val="14"/>
    </w:rPr>
  </w:style>
  <w:style w:type="paragraph" w:customStyle="1" w:styleId="Bildrubrik">
    <w:name w:val="Bildrubrik"/>
    <w:basedOn w:val="Tabellrubrik"/>
    <w:next w:val="Normal"/>
    <w:rsid w:val="00B9317A"/>
  </w:style>
  <w:style w:type="paragraph" w:customStyle="1" w:styleId="Diagramrubrik">
    <w:name w:val="Diagramrubrik"/>
    <w:basedOn w:val="Tabellrubrik"/>
    <w:next w:val="Normal"/>
    <w:rsid w:val="00B9317A"/>
  </w:style>
  <w:style w:type="paragraph" w:styleId="Figurfrteckning">
    <w:name w:val="table of figures"/>
    <w:basedOn w:val="Normal"/>
    <w:next w:val="Normal"/>
    <w:semiHidden/>
    <w:rsid w:val="00B9317A"/>
    <w:pPr>
      <w:ind w:left="380" w:hanging="380"/>
    </w:pPr>
  </w:style>
  <w:style w:type="paragraph" w:styleId="Oformateradtext">
    <w:name w:val="Plain Text"/>
    <w:basedOn w:val="Normal"/>
    <w:rsid w:val="00B9317A"/>
    <w:pPr>
      <w:widowControl w:val="0"/>
      <w:spacing w:line="240" w:lineRule="auto"/>
      <w:jc w:val="left"/>
    </w:pPr>
    <w:rPr>
      <w:rFonts w:ascii="Courier New" w:hAnsi="Courier New"/>
      <w:sz w:val="20"/>
    </w:rPr>
  </w:style>
  <w:style w:type="character" w:styleId="Radnummer">
    <w:name w:val="line number"/>
    <w:basedOn w:val="Standardstycketeckensnitt"/>
    <w:rsid w:val="00B9317A"/>
  </w:style>
  <w:style w:type="paragraph" w:customStyle="1" w:styleId="RubrikBetNrDeldokument">
    <w:name w:val="Rubrik BetNr Deldokument"/>
    <w:basedOn w:val="Normal"/>
    <w:rsid w:val="00B9317A"/>
    <w:pPr>
      <w:spacing w:before="0" w:line="240" w:lineRule="auto"/>
      <w:jc w:val="left"/>
    </w:pPr>
    <w:rPr>
      <w:sz w:val="28"/>
    </w:rPr>
  </w:style>
  <w:style w:type="paragraph" w:customStyle="1" w:styleId="Tabelltext">
    <w:name w:val="Tabelltext"/>
    <w:basedOn w:val="Normal"/>
    <w:rsid w:val="00B9317A"/>
    <w:pPr>
      <w:spacing w:before="0" w:line="200" w:lineRule="exact"/>
      <w:jc w:val="left"/>
    </w:pPr>
    <w:rPr>
      <w:sz w:val="16"/>
    </w:rPr>
  </w:style>
  <w:style w:type="paragraph" w:customStyle="1" w:styleId="TabellNot">
    <w:name w:val="TabellNot"/>
    <w:basedOn w:val="Tabelltext"/>
    <w:rsid w:val="00B9317A"/>
    <w:rPr>
      <w:sz w:val="12"/>
    </w:rPr>
  </w:style>
  <w:style w:type="paragraph" w:customStyle="1" w:styleId="Formatmall1">
    <w:name w:val="Formatmall1"/>
    <w:basedOn w:val="Reservationspunkt"/>
    <w:next w:val="Reservanter"/>
    <w:rsid w:val="00B9317A"/>
  </w:style>
  <w:style w:type="paragraph" w:customStyle="1" w:styleId="Fotnotstextindrag">
    <w:name w:val="Fotnotstext indrag"/>
    <w:basedOn w:val="Fotnotstext"/>
    <w:rsid w:val="00B9317A"/>
    <w:pPr>
      <w:ind w:left="113"/>
    </w:pPr>
  </w:style>
  <w:style w:type="paragraph" w:customStyle="1" w:styleId="Yttrandepunkt">
    <w:name w:val="Yttrandepunkt"/>
    <w:basedOn w:val="Reservationspunkt"/>
    <w:next w:val="Reservanter"/>
    <w:rsid w:val="00B9317A"/>
  </w:style>
  <w:style w:type="paragraph" w:customStyle="1" w:styleId="normalmedindrag">
    <w:name w:val="normalmedindrag"/>
    <w:basedOn w:val="Normal"/>
    <w:link w:val="normalmedindragChar"/>
    <w:qFormat/>
    <w:rsid w:val="001547A4"/>
    <w:pPr>
      <w:spacing w:before="40" w:line="280" w:lineRule="atLeast"/>
      <w:ind w:firstLine="227"/>
      <w:jc w:val="left"/>
    </w:pPr>
    <w:rPr>
      <w:sz w:val="22"/>
      <w:lang w:eastAsia="en-US"/>
    </w:rPr>
  </w:style>
  <w:style w:type="character" w:customStyle="1" w:styleId="FotnotstextChar">
    <w:name w:val="Fotnotstext Char"/>
    <w:basedOn w:val="Standardstycketeckensnitt"/>
    <w:link w:val="Fotnotstext"/>
    <w:uiPriority w:val="99"/>
    <w:rsid w:val="001547A4"/>
    <w:rPr>
      <w:sz w:val="17"/>
    </w:rPr>
  </w:style>
  <w:style w:type="character" w:customStyle="1" w:styleId="normalmedindragChar">
    <w:name w:val="normalmedindrag Char"/>
    <w:basedOn w:val="Standardstycketeckensnitt"/>
    <w:link w:val="normalmedindrag"/>
    <w:locked/>
    <w:rsid w:val="001547A4"/>
    <w:rPr>
      <w:sz w:val="22"/>
      <w:lang w:eastAsia="en-US"/>
    </w:rPr>
  </w:style>
  <w:style w:type="table" w:styleId="Tabellrutnt">
    <w:name w:val="Table Grid"/>
    <w:basedOn w:val="Normaltabell"/>
    <w:uiPriority w:val="59"/>
    <w:rsid w:val="00CF1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F36BB0"/>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36B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12973</Words>
  <Characters>84589</Characters>
  <Application>Microsoft Office Word</Application>
  <DocSecurity>4</DocSecurity>
  <Lines>1537</Lines>
  <Paragraphs>437</Paragraphs>
  <ScaleCrop>false</ScaleCrop>
  <HeadingPairs>
    <vt:vector size="6" baseType="variant">
      <vt:variant>
        <vt:lpstr>Rubrik</vt:lpstr>
      </vt:variant>
      <vt:variant>
        <vt:i4>1</vt:i4>
      </vt:variant>
      <vt:variant>
        <vt:lpstr>Rubriker</vt:lpstr>
      </vt:variant>
      <vt:variant>
        <vt:i4>33</vt:i4>
      </vt:variant>
      <vt:variant>
        <vt:lpstr>Title</vt:lpstr>
      </vt:variant>
      <vt:variant>
        <vt:i4>1</vt:i4>
      </vt:variant>
    </vt:vector>
  </HeadingPairs>
  <TitlesOfParts>
    <vt:vector size="35" baseType="lpstr">
      <vt:lpstr>1999/2000:T1</vt:lpstr>
      <vt:lpstr>Innehållsförteckning</vt:lpstr>
      <vt:lpstr>Riksrevisorernas årliga rapport 2011</vt:lpstr>
      <vt:lpstr>Inledning     </vt:lpstr>
      <vt:lpstr>Utmaningar för transfereringssystemen</vt:lpstr>
      <vt:lpstr>    Vägen tillbaka till arbete – statens stöd</vt:lpstr>
      <vt:lpstr>    Försäkringsmässigheten i de allmänna försäkringarna</vt:lpstr>
      <vt:lpstr>    Rättssäkerhet – likabehandling</vt:lpstr>
      <vt:lpstr>    Förutsättningar för en effektivare ärendehantering</vt:lpstr>
      <vt:lpstr>Långt kvar till en effektiv IT-förvaltning</vt:lpstr>
      <vt:lpstr>    Regeringen behöver skaffa ett helikopterperspektiv över e-förvaltningen</vt:lpstr>
      <vt:lpstr>    Staten behöver bli vassare som beställare </vt:lpstr>
      <vt:lpstr>    Personlig integritet och rättssäkerhet även viktigt vid omställning till e-förva</vt:lpstr>
      <vt:lpstr>Den årliga revisionen - våra viktigaste iakttagelser </vt:lpstr>
      <vt:lpstr>    Revisionen av 2010 års årsredovisningar </vt:lpstr>
      <vt:lpstr>    Myndigheter med modifierat uttalande</vt:lpstr>
      <vt:lpstr>    Myndigheter med upplysning i revisionsberättelsen</vt:lpstr>
      <vt:lpstr>    Resultatredovisning i årsredovisningarna</vt:lpstr>
      <vt:lpstr>    Förvaltningsutgifter på sakanslag</vt:lpstr>
      <vt:lpstr>    Informationssäkerhet vid myndigheterna</vt:lpstr>
      <vt:lpstr>Effektivitetsrevisionens rapporter – våra viktigaste iakttagelser</vt:lpstr>
      <vt:lpstr>    Finansutskottet (FiU) </vt:lpstr>
      <vt:lpstr>    Skatteutskottet (SkU) </vt:lpstr>
      <vt:lpstr>    Justitieutskottet (JuU)</vt:lpstr>
      <vt:lpstr>    Civilutskottet (CU) </vt:lpstr>
      <vt:lpstr>    Försvarsutskottet (FöU) </vt:lpstr>
      <vt:lpstr>    Socialförsäkringsutskottet (SfU) </vt:lpstr>
      <vt:lpstr>    Socialutskottet (SoU) </vt:lpstr>
      <vt:lpstr>    Kulturutskottet (KrU) </vt:lpstr>
      <vt:lpstr>    Utbildningsutskottet (UbU) </vt:lpstr>
      <vt:lpstr>    Trafikutskottet (TU) </vt:lpstr>
      <vt:lpstr>    Miljö- och jordbruksutskottet (MJU) </vt:lpstr>
      <vt:lpstr>    Näringsutskottet (NU) </vt:lpstr>
      <vt:lpstr>    Arbetsmarknadsutskottet (AU) </vt:lpstr>
      <vt:lpstr/>
    </vt:vector>
  </TitlesOfParts>
  <Company>Riksdagen</Company>
  <LinksUpToDate>false</LinksUpToDate>
  <CharactersWithSpaces>97125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2011-05-20T08:31:00Z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RR</vt:lpwstr>
  </property>
  <property fmtid="{D5CDD505-2E9C-101B-9397-08002B2CF9AE}" pid="4" name="BetänkandeÅr">
    <vt:lpwstr>2010/11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