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38069" w14:textId="77777777" w:rsidR="00FB32B9" w:rsidRDefault="009349F8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2583806A" w14:textId="77777777" w:rsidR="00FB32B9" w:rsidRDefault="009349F8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2583806B" w14:textId="77777777" w:rsidR="00FB32B9" w:rsidRDefault="009349F8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2583806C" w14:textId="77777777" w:rsidR="00FB32B9" w:rsidRDefault="009349F8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2583806D" w14:textId="24D23DF6" w:rsidR="00FB32B9" w:rsidRDefault="00B45A3E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 xml:space="preserve">Trolig A-punkt inför kommande rådsmöten som </w:t>
      </w:r>
      <w:r w:rsidR="00355610">
        <w:rPr>
          <w:rFonts w:cs="Arial"/>
          <w:sz w:val="28"/>
        </w:rPr>
        <w:t>godkändes vid Särskilda jordbrukskommittén den 28 november 2016.</w:t>
      </w:r>
      <w:bookmarkStart w:id="0" w:name="_GoBack"/>
      <w:bookmarkEnd w:id="0"/>
    </w:p>
    <w:p w14:paraId="2583806E" w14:textId="77777777" w:rsidR="00FB32B9" w:rsidRDefault="009349F8" w:rsidP="00FB32B9">
      <w:pPr>
        <w:pStyle w:val="Brdtext"/>
      </w:pPr>
    </w:p>
    <w:p w14:paraId="25838070" w14:textId="77777777" w:rsidR="00FB32B9" w:rsidRDefault="00B45A3E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5838071" w14:textId="77777777" w:rsidR="00D957FB" w:rsidRPr="00283DF3" w:rsidRDefault="00B45A3E">
          <w:pPr>
            <w:pStyle w:val="Innehllsfrteckningsrubrik"/>
            <w:rPr>
              <w:color w:val="auto"/>
              <w:lang w:val="sv-SE"/>
            </w:rPr>
          </w:pPr>
          <w:r w:rsidRPr="00283DF3">
            <w:rPr>
              <w:color w:val="auto"/>
              <w:lang w:val="sv-SE"/>
            </w:rPr>
            <w:t>Innehållsförteckning</w:t>
          </w:r>
        </w:p>
        <w:p w14:paraId="25838072" w14:textId="77777777" w:rsidR="00DA7250" w:rsidRPr="00283DF3" w:rsidRDefault="009349F8" w:rsidP="00DA7250">
          <w:pPr>
            <w:rPr>
              <w:lang w:eastAsia="ja-JP"/>
            </w:rPr>
          </w:pPr>
        </w:p>
        <w:p w14:paraId="25838073" w14:textId="77777777" w:rsidR="00162398" w:rsidRDefault="00B45A3E">
          <w:pPr>
            <w:pStyle w:val="Innehll1"/>
            <w:tabs>
              <w:tab w:val="left" w:pos="440"/>
              <w:tab w:val="right" w:leader="dot" w:pos="9062"/>
            </w:tabs>
            <w:rPr>
              <w:rFonts w:ascii="Calibri" w:hAnsi="Calibri"/>
              <w:noProof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r>
            <w:rPr>
              <w:b/>
              <w:bCs/>
              <w:noProof/>
            </w:rPr>
            <w:fldChar w:fldCharType="begin"/>
          </w:r>
          <w:r>
            <w:rPr>
              <w:rStyle w:val="Hyperlnk"/>
              <w:b/>
              <w:bCs/>
              <w:noProof/>
            </w:rPr>
            <w:instrText xml:space="preserve"> HYPERLINK \l "_Toc256000003" 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rStyle w:val="Hyperlnk"/>
            </w:rPr>
            <w:t>1.</w:t>
          </w:r>
          <w:r>
            <w:rPr>
              <w:rStyle w:val="Hyperlnk"/>
              <w:rFonts w:ascii="Calibri" w:hAnsi="Calibri"/>
              <w:noProof/>
            </w:rPr>
            <w:tab/>
          </w:r>
          <w:r>
            <w:rPr>
              <w:rStyle w:val="Hyperlnk"/>
              <w:noProof/>
            </w:rPr>
            <w:t>Förslag till RÅDETS FÖRORDNING om ändring av förordning (EU) nr 1370/2013 om fastställande av vissa stöd och bidrag inom ramen för den samlade marknadsordningen för jordbruksprodukter</w:t>
          </w:r>
          <w:r>
            <w:rPr>
              <w:rStyle w:val="Hyperlnk"/>
            </w:rPr>
            <w:tab/>
          </w:r>
          <w:r>
            <w:fldChar w:fldCharType="begin"/>
          </w:r>
          <w:r>
            <w:rPr>
              <w:rStyle w:val="Hyperlnk"/>
            </w:rPr>
            <w:instrText xml:space="preserve"> PAGEREF _Toc256000003 \h </w:instrText>
          </w:r>
          <w:r>
            <w:fldChar w:fldCharType="separate"/>
          </w:r>
          <w:r>
            <w:rPr>
              <w:rStyle w:val="Hyperlnk"/>
            </w:rPr>
            <w:t>3</w:t>
          </w:r>
          <w:r>
            <w:fldChar w:fldCharType="end"/>
          </w:r>
        </w:p>
        <w:p w14:paraId="25838074" w14:textId="77777777" w:rsidR="00D957FB" w:rsidRDefault="00B45A3E">
          <w:r>
            <w:rPr>
              <w:b/>
              <w:bCs/>
              <w:noProof/>
            </w:rPr>
            <w:fldChar w:fldCharType="end"/>
          </w:r>
          <w:r>
            <w:rPr>
              <w:b/>
              <w:bCs/>
              <w:noProof/>
            </w:rPr>
            <w:fldChar w:fldCharType="end"/>
          </w:r>
        </w:p>
      </w:sdtContent>
    </w:sdt>
    <w:p w14:paraId="25838075" w14:textId="77777777" w:rsidR="00D957FB" w:rsidRDefault="00B45A3E">
      <w:pPr>
        <w:ind w:left="0"/>
      </w:pPr>
      <w:r>
        <w:br w:type="page"/>
      </w:r>
    </w:p>
    <w:p w14:paraId="25838077" w14:textId="77777777" w:rsidR="00643D86" w:rsidRDefault="00B45A3E" w:rsidP="00643D86">
      <w:pPr>
        <w:pStyle w:val="Rubrik1"/>
      </w:pPr>
      <w:bookmarkStart w:id="1" w:name="_Toc256000003"/>
      <w:bookmarkStart w:id="2" w:name="_Toc364854645"/>
      <w:r>
        <w:rPr>
          <w:noProof/>
        </w:rPr>
        <w:lastRenderedPageBreak/>
        <w:t>Förslag till RÅDETS FÖRORDNING om ändring av förordning (EU) nr 1370/2013 om fastställande av vissa stöd och bidrag inom ramen för den samlade marknadsordningen för jordbruksprodukter</w:t>
      </w:r>
      <w:bookmarkEnd w:id="1"/>
    </w:p>
    <w:p w14:paraId="25838079" w14:textId="36B703B0" w:rsidR="00643D86" w:rsidRDefault="00B45A3E" w:rsidP="00643D86">
      <w:pPr>
        <w:rPr>
          <w:lang w:val="en-US"/>
        </w:rPr>
      </w:pPr>
      <w:r>
        <w:rPr>
          <w:noProof/>
          <w:lang w:val="en-US"/>
        </w:rPr>
        <w:t>–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Antagande</w:t>
      </w:r>
      <w:proofErr w:type="spellEnd"/>
      <w:r>
        <w:rPr>
          <w:lang w:val="en-US"/>
        </w:rPr>
        <w:br/>
      </w:r>
      <w:r>
        <w:rPr>
          <w:noProof/>
          <w:lang w:val="en-US"/>
        </w:rPr>
        <w:t>14987</w:t>
      </w:r>
      <w:r>
        <w:rPr>
          <w:lang w:val="en-US"/>
        </w:rPr>
        <w:t>/16</w:t>
      </w:r>
      <w:r>
        <w:rPr>
          <w:lang w:val="en-US"/>
        </w:rPr>
        <w:br/>
        <w:t>12884/16</w:t>
      </w:r>
    </w:p>
    <w:p w14:paraId="2583807A" w14:textId="77777777" w:rsidR="00643D86" w:rsidRDefault="00B45A3E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Sven-Erik</w:t>
      </w:r>
      <w:r>
        <w:t xml:space="preserve"> Bucht</w:t>
      </w:r>
    </w:p>
    <w:p w14:paraId="2583807B" w14:textId="77777777" w:rsidR="00E0653A" w:rsidRDefault="00B45A3E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2583807C" w14:textId="77777777" w:rsidR="00E0653A" w:rsidRDefault="00B45A3E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2583807D" w14:textId="77777777" w:rsidR="00E0653A" w:rsidRDefault="00B45A3E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2583807E" w14:textId="77777777" w:rsidR="00E0653A" w:rsidRDefault="00B45A3E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2583807F" w14:textId="77777777" w:rsidR="00E0653A" w:rsidRDefault="00B45A3E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25838080" w14:textId="77777777" w:rsidR="00E0653A" w:rsidRDefault="00B45A3E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25838081" w14:textId="77777777" w:rsidR="00E0653A" w:rsidRDefault="00B45A3E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25838082" w14:textId="77777777" w:rsidR="00E0653A" w:rsidRDefault="00B45A3E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25838083" w14:textId="77777777" w:rsidR="00E0653A" w:rsidRDefault="00B45A3E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5D773D1A" w14:textId="77777777" w:rsidR="00B45A3E" w:rsidRDefault="00B45A3E" w:rsidP="00643D86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 w:rsidRPr="00B45A3E">
        <w:rPr>
          <w:b/>
        </w:rPr>
        <w:t>Avsikt med behandlingen i rådet:</w:t>
      </w:r>
      <w:r>
        <w:t xml:space="preserve"> Rådet föreslås anta rådets förordning om ändring av förordning (EU) nr 1370/2013 om fastställande av vissa stöd och bidrag inom ramen för den samlade marknadsordningen för jordbruksprodukter. </w:t>
      </w:r>
    </w:p>
    <w:p w14:paraId="4EDA7256" w14:textId="77777777" w:rsidR="00B45A3E" w:rsidRDefault="00B45A3E" w:rsidP="00643D86">
      <w:r w:rsidRPr="00B45A3E">
        <w:rPr>
          <w:b/>
        </w:rPr>
        <w:t>Hur regeringen ställer sig till den blivande A-punkten:</w:t>
      </w:r>
      <w:r>
        <w:t xml:space="preserve"> Regeringen avser rösta ja till att rådet antar rådets förordning om ändring av förordning (EU) nr 1370/2013 om fastställande av vissa stöd och bidrag inom ramen för den samlade marknadsordningen för jordbruksprodukter. </w:t>
      </w:r>
    </w:p>
    <w:p w14:paraId="25838084" w14:textId="2D611D31" w:rsidR="00643D86" w:rsidRDefault="00B45A3E" w:rsidP="00643D86">
      <w:r w:rsidRPr="00B45A3E">
        <w:rPr>
          <w:b/>
        </w:rPr>
        <w:t>Bakgrund:</w:t>
      </w:r>
      <w:r>
        <w:t xml:space="preserve"> Förslaget följer av domslutet från EU-domstolen i fall C-113/14. Förslaget innebär inga substantiella ändringar i prisnivån av vissa stöd och bidrag (referenströsklar och interventionspriser) utan är en teknisk uppdatering av lagstiftningen i ljuset av EU-domslutet. Domslutet ogiltigförklarar de gamla bestämmelserna i den samlade marknadsordningen för jordbruksprodukter (art. 7 i förordning (EU) 1308/2013 och art. 2 i förordning (EU) 1370/2013) och ändrar deras rättsliga grund från art. 43(2) till art. 43(3) FEUF.</w:t>
      </w:r>
    </w:p>
    <w:bookmarkEnd w:id="2"/>
    <w:sectPr w:rsidR="00643D86" w:rsidSect="002C27B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3809F" w14:textId="77777777" w:rsidR="00C97AC6" w:rsidRDefault="00B45A3E">
      <w:pPr>
        <w:spacing w:after="0" w:line="240" w:lineRule="auto"/>
      </w:pPr>
      <w:r>
        <w:separator/>
      </w:r>
    </w:p>
  </w:endnote>
  <w:endnote w:type="continuationSeparator" w:id="0">
    <w:p w14:paraId="258380A1" w14:textId="77777777" w:rsidR="00C97AC6" w:rsidRDefault="00B4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482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3808A" w14:textId="77777777" w:rsidR="00283DF3" w:rsidRDefault="009349F8">
        <w:pPr>
          <w:pStyle w:val="Sidfot"/>
          <w:jc w:val="right"/>
        </w:pPr>
      </w:p>
    </w:sdtContent>
  </w:sdt>
  <w:p w14:paraId="2583808B" w14:textId="77777777" w:rsidR="00283DF3" w:rsidRDefault="009349F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38099" w14:textId="77777777" w:rsidR="00283DF3" w:rsidRDefault="009349F8">
    <w:pPr>
      <w:pStyle w:val="Sidfot"/>
      <w:jc w:val="right"/>
    </w:pPr>
  </w:p>
  <w:p w14:paraId="2583809A" w14:textId="77777777" w:rsidR="00283DF3" w:rsidRDefault="009349F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3809B" w14:textId="77777777" w:rsidR="00C97AC6" w:rsidRDefault="00B45A3E">
      <w:pPr>
        <w:spacing w:after="0" w:line="240" w:lineRule="auto"/>
      </w:pPr>
      <w:r>
        <w:separator/>
      </w:r>
    </w:p>
  </w:footnote>
  <w:footnote w:type="continuationSeparator" w:id="0">
    <w:p w14:paraId="2583809D" w14:textId="77777777" w:rsidR="00C97AC6" w:rsidRDefault="00B4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812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838087" w14:textId="77777777" w:rsidR="002F3A5A" w:rsidRDefault="00B45A3E" w:rsidP="002F3A5A">
        <w:pPr>
          <w:pStyle w:val="Sidhuvu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9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838088" w14:textId="77777777" w:rsidR="006F1C0D" w:rsidRDefault="009349F8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162398" w14:paraId="25838093" w14:textId="77777777" w:rsidTr="006E71D7">
      <w:tc>
        <w:tcPr>
          <w:tcW w:w="4606" w:type="dxa"/>
        </w:tcPr>
        <w:p w14:paraId="2583808C" w14:textId="77777777" w:rsidR="006E71D7" w:rsidRDefault="00B45A3E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2583809B" wp14:editId="2583809C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2583808D" w14:textId="77777777" w:rsidR="00FB32B9" w:rsidRDefault="009349F8" w:rsidP="00FB32B9">
          <w:pPr>
            <w:ind w:right="916"/>
            <w:rPr>
              <w:rFonts w:ascii="TradeGothic" w:hAnsi="TradeGothic"/>
              <w:b/>
            </w:rPr>
          </w:pPr>
        </w:p>
        <w:tbl>
          <w:tblPr>
            <w:tblStyle w:val="Tabellrutnt"/>
            <w:tblW w:w="0" w:type="auto"/>
            <w:tblInd w:w="714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ook w:val="0600" w:firstRow="0" w:lastRow="0" w:firstColumn="0" w:lastColumn="0" w:noHBand="1" w:noVBand="1"/>
          </w:tblPr>
          <w:tblGrid>
            <w:gridCol w:w="1833"/>
            <w:gridCol w:w="1833"/>
          </w:tblGrid>
          <w:tr w:rsidR="00162398" w14:paraId="25838090" w14:textId="77777777" w:rsidTr="00623763">
            <w:tc>
              <w:tcPr>
                <w:tcW w:w="1833" w:type="dxa"/>
              </w:tcPr>
              <w:p w14:paraId="2583808E" w14:textId="77777777" w:rsidR="00623763" w:rsidRPr="00623763" w:rsidRDefault="00B45A3E" w:rsidP="00623763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Promemoria</w:t>
                </w:r>
              </w:p>
            </w:tc>
            <w:tc>
              <w:tcPr>
                <w:tcW w:w="1833" w:type="dxa"/>
              </w:tcPr>
              <w:p w14:paraId="2583808F" w14:textId="7A3BA6B4" w:rsidR="00623763" w:rsidRPr="00623763" w:rsidRDefault="00B45A3E" w:rsidP="00B8340F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Vecka</w:t>
                </w:r>
                <w:r>
                  <w:rPr>
                    <w:rFonts w:ascii="TradeGothic" w:hAnsi="TradeGothic"/>
                    <w:b/>
                  </w:rPr>
                  <w:t xml:space="preserve"> </w:t>
                </w:r>
                <w:r>
                  <w:rPr>
                    <w:rFonts w:ascii="TradeGothic" w:hAnsi="TradeGothic"/>
                    <w:b/>
                    <w:noProof/>
                  </w:rPr>
                  <w:t>48</w:t>
                </w:r>
              </w:p>
            </w:tc>
          </w:tr>
        </w:tbl>
        <w:p w14:paraId="25838091" w14:textId="77777777" w:rsidR="00FB32B9" w:rsidRDefault="009349F8" w:rsidP="00FB32B9">
          <w:pPr>
            <w:jc w:val="right"/>
          </w:pPr>
        </w:p>
        <w:p w14:paraId="25838092" w14:textId="77777777" w:rsidR="006E71D7" w:rsidRDefault="00B45A3E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2016-11-30</w:t>
          </w:r>
          <w:r w:rsidRPr="00934953">
            <w:t xml:space="preserve"> </w:t>
          </w:r>
        </w:p>
      </w:tc>
    </w:tr>
  </w:tbl>
  <w:p w14:paraId="25838094" w14:textId="77777777" w:rsidR="00FB32B9" w:rsidRDefault="009349F8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25838095" w14:textId="77777777" w:rsidR="00FB32B9" w:rsidRDefault="00B45A3E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25838096" w14:textId="77777777" w:rsidR="00FB32B9" w:rsidRDefault="009349F8" w:rsidP="00FB32B9">
    <w:pPr>
      <w:pStyle w:val="Avsndare"/>
      <w:framePr w:w="0" w:hRule="auto" w:hSpace="0" w:wrap="auto" w:vAnchor="margin" w:hAnchor="text" w:xAlign="left" w:yAlign="inline"/>
    </w:pPr>
  </w:p>
  <w:p w14:paraId="25838097" w14:textId="77777777" w:rsidR="00FB32B9" w:rsidRDefault="00B45A3E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25838098" w14:textId="77777777" w:rsidR="0012376B" w:rsidRDefault="009349F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0AE9"/>
    <w:multiLevelType w:val="hybridMultilevel"/>
    <w:tmpl w:val="5E0C4660"/>
    <w:lvl w:ilvl="0" w:tplc="0AE09BAA">
      <w:start w:val="1"/>
      <w:numFmt w:val="decimal"/>
      <w:pStyle w:val="Rubrik1"/>
      <w:lvlText w:val="%1."/>
      <w:lvlJc w:val="left"/>
      <w:pPr>
        <w:ind w:left="720" w:hanging="360"/>
      </w:pPr>
    </w:lvl>
    <w:lvl w:ilvl="1" w:tplc="4AC26CAC" w:tentative="1">
      <w:start w:val="1"/>
      <w:numFmt w:val="lowerLetter"/>
      <w:lvlText w:val="%2."/>
      <w:lvlJc w:val="left"/>
      <w:pPr>
        <w:ind w:left="1440" w:hanging="360"/>
      </w:pPr>
    </w:lvl>
    <w:lvl w:ilvl="2" w:tplc="5B9CC4CE" w:tentative="1">
      <w:start w:val="1"/>
      <w:numFmt w:val="lowerRoman"/>
      <w:lvlText w:val="%3."/>
      <w:lvlJc w:val="right"/>
      <w:pPr>
        <w:ind w:left="2160" w:hanging="180"/>
      </w:pPr>
    </w:lvl>
    <w:lvl w:ilvl="3" w:tplc="B48CD176" w:tentative="1">
      <w:start w:val="1"/>
      <w:numFmt w:val="decimal"/>
      <w:lvlText w:val="%4."/>
      <w:lvlJc w:val="left"/>
      <w:pPr>
        <w:ind w:left="2880" w:hanging="360"/>
      </w:pPr>
    </w:lvl>
    <w:lvl w:ilvl="4" w:tplc="333253A8" w:tentative="1">
      <w:start w:val="1"/>
      <w:numFmt w:val="lowerLetter"/>
      <w:lvlText w:val="%5."/>
      <w:lvlJc w:val="left"/>
      <w:pPr>
        <w:ind w:left="3600" w:hanging="360"/>
      </w:pPr>
    </w:lvl>
    <w:lvl w:ilvl="5" w:tplc="BE18525E" w:tentative="1">
      <w:start w:val="1"/>
      <w:numFmt w:val="lowerRoman"/>
      <w:lvlText w:val="%6."/>
      <w:lvlJc w:val="right"/>
      <w:pPr>
        <w:ind w:left="4320" w:hanging="180"/>
      </w:pPr>
    </w:lvl>
    <w:lvl w:ilvl="6" w:tplc="41E2CEDA" w:tentative="1">
      <w:start w:val="1"/>
      <w:numFmt w:val="decimal"/>
      <w:lvlText w:val="%7."/>
      <w:lvlJc w:val="left"/>
      <w:pPr>
        <w:ind w:left="5040" w:hanging="360"/>
      </w:pPr>
    </w:lvl>
    <w:lvl w:ilvl="7" w:tplc="21B444CE" w:tentative="1">
      <w:start w:val="1"/>
      <w:numFmt w:val="lowerLetter"/>
      <w:lvlText w:val="%8."/>
      <w:lvlJc w:val="left"/>
      <w:pPr>
        <w:ind w:left="5760" w:hanging="360"/>
      </w:pPr>
    </w:lvl>
    <w:lvl w:ilvl="8" w:tplc="0CCEA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0993"/>
    <w:multiLevelType w:val="hybridMultilevel"/>
    <w:tmpl w:val="3BD822EE"/>
    <w:lvl w:ilvl="0" w:tplc="823CB7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F241858" w:tentative="1">
      <w:start w:val="1"/>
      <w:numFmt w:val="lowerLetter"/>
      <w:lvlText w:val="%2."/>
      <w:lvlJc w:val="left"/>
      <w:pPr>
        <w:ind w:left="1080" w:hanging="360"/>
      </w:pPr>
    </w:lvl>
    <w:lvl w:ilvl="2" w:tplc="506CD7CA" w:tentative="1">
      <w:start w:val="1"/>
      <w:numFmt w:val="lowerRoman"/>
      <w:lvlText w:val="%3."/>
      <w:lvlJc w:val="right"/>
      <w:pPr>
        <w:ind w:left="1800" w:hanging="180"/>
      </w:pPr>
    </w:lvl>
    <w:lvl w:ilvl="3" w:tplc="E1E837BE" w:tentative="1">
      <w:start w:val="1"/>
      <w:numFmt w:val="decimal"/>
      <w:lvlText w:val="%4."/>
      <w:lvlJc w:val="left"/>
      <w:pPr>
        <w:ind w:left="2520" w:hanging="360"/>
      </w:pPr>
    </w:lvl>
    <w:lvl w:ilvl="4" w:tplc="C45220E2" w:tentative="1">
      <w:start w:val="1"/>
      <w:numFmt w:val="lowerLetter"/>
      <w:lvlText w:val="%5."/>
      <w:lvlJc w:val="left"/>
      <w:pPr>
        <w:ind w:left="3240" w:hanging="360"/>
      </w:pPr>
    </w:lvl>
    <w:lvl w:ilvl="5" w:tplc="F92475EE" w:tentative="1">
      <w:start w:val="1"/>
      <w:numFmt w:val="lowerRoman"/>
      <w:lvlText w:val="%6."/>
      <w:lvlJc w:val="right"/>
      <w:pPr>
        <w:ind w:left="3960" w:hanging="180"/>
      </w:pPr>
    </w:lvl>
    <w:lvl w:ilvl="6" w:tplc="A5EE24F0" w:tentative="1">
      <w:start w:val="1"/>
      <w:numFmt w:val="decimal"/>
      <w:lvlText w:val="%7."/>
      <w:lvlJc w:val="left"/>
      <w:pPr>
        <w:ind w:left="4680" w:hanging="360"/>
      </w:pPr>
    </w:lvl>
    <w:lvl w:ilvl="7" w:tplc="9202E136" w:tentative="1">
      <w:start w:val="1"/>
      <w:numFmt w:val="lowerLetter"/>
      <w:lvlText w:val="%8."/>
      <w:lvlJc w:val="left"/>
      <w:pPr>
        <w:ind w:left="5400" w:hanging="360"/>
      </w:pPr>
    </w:lvl>
    <w:lvl w:ilvl="8" w:tplc="55F8A66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98"/>
    <w:rsid w:val="00162398"/>
    <w:rsid w:val="00355610"/>
    <w:rsid w:val="009349F8"/>
    <w:rsid w:val="00B45A3E"/>
    <w:rsid w:val="00C9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8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Nyckelord xmlns="8b66ae41-1ec6-402e-b662-35d1932ca064" xsi:nil="true"/>
    <c9cd366cc722410295b9eacffbd73909 xmlns="8b66ae41-1ec6-402e-b662-35d1932ca064">
      <Terms xmlns="http://schemas.microsoft.com/office/infopath/2007/PartnerControls"/>
    </c9cd366cc722410295b9eacffbd73909>
    <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_dlc_DocId xmlns="8b66ae41-1ec6-402e-b662-35d1932ca064">JE6N4JFJXNNF-17-42140</_dlc_DocId>
    <_dlc_DocIdUrl xmlns="8b66ae41-1ec6-402e-b662-35d1932ca064">
      <Url>http://rkdhs-sb/enhet/EUKansli/_layouts/DocIdRedir.aspx?ID=JE6N4JFJXNNF-17-42140</Url>
      <Description>JE6N4JFJXNNF-17-42140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9017DC294006940A5E1A533CB3AF164" ma:contentTypeVersion="7" ma:contentTypeDescription="Skapa ett nytt dokument." ma:contentTypeScope="" ma:versionID="10e1420496762d255556536affbfd1b4">
  <xsd:schema xmlns:xsd="http://www.w3.org/2001/XMLSchema" xmlns:xs="http://www.w3.org/2001/XMLSchema" xmlns:p="http://schemas.microsoft.com/office/2006/metadata/properties" xmlns:ns2="8b66ae41-1ec6-402e-b662-35d1932ca064" targetNamespace="http://schemas.microsoft.com/office/2006/metadata/properties" ma:root="true" ma:fieldsID="a5ae2dae2bee870761725952b863dcd1" ns2:_=""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C790E-F552-4BFF-8657-FF2E43721C93}"/>
</file>

<file path=customXml/itemProps2.xml><?xml version="1.0" encoding="utf-8"?>
<ds:datastoreItem xmlns:ds="http://schemas.openxmlformats.org/officeDocument/2006/customXml" ds:itemID="{EEE83A69-8B9E-45CF-BE0C-756E9D158B53}"/>
</file>

<file path=customXml/itemProps3.xml><?xml version="1.0" encoding="utf-8"?>
<ds:datastoreItem xmlns:ds="http://schemas.openxmlformats.org/officeDocument/2006/customXml" ds:itemID="{ABB9BD3C-098D-496B-9CD8-1EB52D6DECAD}"/>
</file>

<file path=customXml/itemProps4.xml><?xml version="1.0" encoding="utf-8"?>
<ds:datastoreItem xmlns:ds="http://schemas.openxmlformats.org/officeDocument/2006/customXml" ds:itemID="{4F0BDC0F-280D-4EBE-A65E-E431D4791A58}"/>
</file>

<file path=customXml/itemProps5.xml><?xml version="1.0" encoding="utf-8"?>
<ds:datastoreItem xmlns:ds="http://schemas.openxmlformats.org/officeDocument/2006/customXml" ds:itemID="{ADE2823F-DA9B-421A-9436-926BC2A9FDC5}"/>
</file>

<file path=customXml/itemProps6.xml><?xml version="1.0" encoding="utf-8"?>
<ds:datastoreItem xmlns:ds="http://schemas.openxmlformats.org/officeDocument/2006/customXml" ds:itemID="{AD163C8D-C31B-4E70-A705-1BE4021AC02E}"/>
</file>

<file path=customXml/itemProps7.xml><?xml version="1.0" encoding="utf-8"?>
<ds:datastoreItem xmlns:ds="http://schemas.openxmlformats.org/officeDocument/2006/customXml" ds:itemID="{3F0AB738-5FF5-4F18-BE7C-5A93B647C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Loka Grimlund Rothstein</cp:lastModifiedBy>
  <cp:revision>2</cp:revision>
  <dcterms:created xsi:type="dcterms:W3CDTF">2016-11-30T12:56:00Z</dcterms:created>
  <dcterms:modified xsi:type="dcterms:W3CDTF">2016-11-30T12:56:00Z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0x01010053E1D612BA3F4E21AA250ECD751942B30049017DC294006940A5E1A533CB3AF164</vt:lpwstr>
  </property>
  <property fmtid="{D5CDD505-2E9C-101B-9397-08002B2CF9AE}" pid="3" name="MCreatorEmail">
    <vt:lpwstr>loka.grimlund.rothstein@regeringskansliet.se</vt:lpwstr>
  </property>
  <property fmtid="{D5CDD505-2E9C-101B-9397-08002B2CF9AE}" pid="4" name="MRelatedAgendaItemIds">
    <vt:lpwstr>21</vt:lpwstr>
  </property>
  <property fmtid="{D5CDD505-2E9C-101B-9397-08002B2CF9AE}" pid="5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68d274a8-1b47-4d59-9155-5aa69bb19ea8</vt:lpwstr>
  </property>
</Properties>
</file>