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236A8DC9BE488E92886C23CA684263"/>
        </w:placeholder>
        <w:text/>
      </w:sdtPr>
      <w:sdtEndPr/>
      <w:sdtContent>
        <w:p w:rsidRPr="009B062B" w:rsidR="00AF30DD" w:rsidP="007828E9" w:rsidRDefault="00AF30DD" w14:paraId="75E86112" w14:textId="77777777">
          <w:pPr>
            <w:pStyle w:val="Rubrik1"/>
            <w:spacing w:after="300"/>
          </w:pPr>
          <w:r w:rsidRPr="009B062B">
            <w:t>Förslag till riksdagsbeslut</w:t>
          </w:r>
        </w:p>
      </w:sdtContent>
    </w:sdt>
    <w:sdt>
      <w:sdtPr>
        <w:alias w:val="Yrkande 1"/>
        <w:tag w:val="f040d3c8-0ce4-4006-a590-bca487161ff9"/>
        <w:id w:val="292959280"/>
        <w:lock w:val="sdtLocked"/>
      </w:sdtPr>
      <w:sdtEndPr/>
      <w:sdtContent>
        <w:p w:rsidR="001E6D4A" w:rsidRDefault="00137C4D" w14:paraId="094A7E83" w14:textId="77777777">
          <w:pPr>
            <w:pStyle w:val="Frslagstext"/>
            <w:numPr>
              <w:ilvl w:val="0"/>
              <w:numId w:val="0"/>
            </w:numPr>
          </w:pPr>
          <w:r>
            <w:t>Riksdagen ställer sig bakom det som anförs i motionen om att brottsprovokation som en möjlig arbetsmetod ska tillämpas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AB0AC62D90426AA008EF11E5611C1C"/>
        </w:placeholder>
        <w:text/>
      </w:sdtPr>
      <w:sdtEndPr/>
      <w:sdtContent>
        <w:p w:rsidRPr="009B062B" w:rsidR="006D79C9" w:rsidP="00333E95" w:rsidRDefault="006D79C9" w14:paraId="75E86114" w14:textId="77777777">
          <w:pPr>
            <w:pStyle w:val="Rubrik1"/>
          </w:pPr>
          <w:r>
            <w:t>Motivering</w:t>
          </w:r>
        </w:p>
      </w:sdtContent>
    </w:sdt>
    <w:p w:rsidR="002E3079" w:rsidP="005C7CF2" w:rsidRDefault="003F319D" w14:paraId="75E86115" w14:textId="44BC1759">
      <w:pPr>
        <w:pStyle w:val="Normalutanindragellerluft"/>
      </w:pPr>
      <w:bookmarkStart w:name="_Hlk51934553" w:id="1"/>
      <w:r w:rsidRPr="005C7CF2">
        <w:rPr>
          <w:spacing w:val="-2"/>
        </w:rPr>
        <w:t>Sedan 2015 har 30</w:t>
      </w:r>
      <w:r w:rsidRPr="005C7CF2" w:rsidR="009823BA">
        <w:rPr>
          <w:spacing w:val="-2"/>
        </w:rPr>
        <w:t>–</w:t>
      </w:r>
      <w:r w:rsidRPr="005C7CF2">
        <w:rPr>
          <w:spacing w:val="-2"/>
        </w:rPr>
        <w:t xml:space="preserve">40 personer skjutits till döds per år. Mer än en fördubbling än åren </w:t>
      </w:r>
      <w:r w:rsidRPr="005C7CF2">
        <w:rPr>
          <w:spacing w:val="-3"/>
        </w:rPr>
        <w:t>in</w:t>
      </w:r>
      <w:r w:rsidR="005C7CF2">
        <w:rPr>
          <w:spacing w:val="-3"/>
        </w:rPr>
        <w:softHyphen/>
      </w:r>
      <w:r w:rsidRPr="005C7CF2">
        <w:rPr>
          <w:spacing w:val="-3"/>
        </w:rPr>
        <w:t xml:space="preserve">nan. </w:t>
      </w:r>
      <w:r w:rsidRPr="005C7CF2">
        <w:rPr>
          <w:spacing w:val="-2"/>
        </w:rPr>
        <w:t>Skjutningar på öppen gata, sprängningar, påverkanshot, misshandel, rån etc. Sverige</w:t>
      </w:r>
      <w:r w:rsidRPr="005C7CF2">
        <w:rPr>
          <w:spacing w:val="-3"/>
        </w:rPr>
        <w:t xml:space="preserve"> avviker kraftig från övriga Europa när det gäller </w:t>
      </w:r>
      <w:bookmarkStart w:name="_GoBack" w:id="2"/>
      <w:bookmarkEnd w:id="2"/>
      <w:r w:rsidRPr="005C7CF2">
        <w:rPr>
          <w:spacing w:val="-3"/>
        </w:rPr>
        <w:t>organiserad brottslighet/gängkriminalitet, sett till de nyckeltal som man använder.</w:t>
      </w:r>
      <w:r w:rsidR="007C17A6">
        <w:t xml:space="preserve"> U</w:t>
      </w:r>
      <w:r w:rsidRPr="007C17A6" w:rsidR="007C17A6">
        <w:t>tveckli</w:t>
      </w:r>
      <w:r w:rsidR="007C17A6">
        <w:t>n</w:t>
      </w:r>
      <w:r w:rsidRPr="007C17A6" w:rsidR="007C17A6">
        <w:t xml:space="preserve">gen i </w:t>
      </w:r>
      <w:r w:rsidR="007C17A6">
        <w:t>S</w:t>
      </w:r>
      <w:r w:rsidRPr="007C17A6" w:rsidR="007C17A6">
        <w:t>verige med skjutningar</w:t>
      </w:r>
      <w:r w:rsidR="007C17A6">
        <w:t>, spräng</w:t>
      </w:r>
      <w:r w:rsidR="005C7CF2">
        <w:softHyphen/>
      </w:r>
      <w:r w:rsidR="007C17A6">
        <w:t xml:space="preserve">ningar, </w:t>
      </w:r>
      <w:r w:rsidRPr="007C17A6" w:rsidR="007C17A6">
        <w:t>saknar internationell motsvarighet</w:t>
      </w:r>
      <w:r w:rsidR="007C17A6">
        <w:t xml:space="preserve">. </w:t>
      </w:r>
      <w:r w:rsidRPr="003F319D">
        <w:t>Regeringens punktinsatser hjälper föga, bevis för det utgörs av dagliga rapporter från media men framförallt brottsstatistiken. Gängkriminaliteten och dess revirkrig har inte bromsats. Socialarbetare och blåljus</w:t>
      </w:r>
      <w:r w:rsidR="005C7CF2">
        <w:softHyphen/>
      </w:r>
      <w:r w:rsidRPr="003F319D">
        <w:t>personal trycks ut från utsatta områden, där de utsätts för hot och våld av kriminella gäng som är verksamma där. Arbetsmiljön är under all kritik, och man kan fråga sig hur mycket våra samhällsbärande tjänstepersoner och deras nära och kära ska behöva stå ut med. För att krossa gängkriminaliteten som utvecklats i Sverige</w:t>
      </w:r>
      <w:r w:rsidR="009823BA">
        <w:t xml:space="preserve"> de</w:t>
      </w:r>
      <w:r w:rsidRPr="003F319D">
        <w:t xml:space="preserve"> senaste åren måste vi först och främst börja resonera utifrån aspekten att gängkriminalitet är en lukrativ affärsmodell och att </w:t>
      </w:r>
      <w:r>
        <w:t>vissa</w:t>
      </w:r>
      <w:r w:rsidRPr="003F319D">
        <w:t xml:space="preserve"> gängkriminella vill leva enligt denna modell. Vi måste se till att statusen de bär på, kör omkring i och bor i avlägsnas. Deras lojala nätverk måste luckras upp och deras möjligheter till inkomst ska </w:t>
      </w:r>
      <w:r w:rsidR="00972FF7">
        <w:t>stoppas</w:t>
      </w:r>
      <w:r w:rsidRPr="003F319D">
        <w:t>.</w:t>
      </w:r>
      <w:r>
        <w:t xml:space="preserve"> </w:t>
      </w:r>
      <w:r w:rsidRPr="002E3079" w:rsidR="002E3079">
        <w:t xml:space="preserve">Brottsprovokation som arbetsmetod </w:t>
      </w:r>
      <w:r w:rsidR="00972FF7">
        <w:t>bör</w:t>
      </w:r>
      <w:r w:rsidRPr="002E3079" w:rsidR="002E3079">
        <w:t xml:space="preserve"> tillåtas</w:t>
      </w:r>
      <w:r w:rsidR="004F3E24">
        <w:t>.</w:t>
      </w:r>
    </w:p>
    <w:bookmarkEnd w:id="1"/>
    <w:p w:rsidRPr="005C7CF2" w:rsidR="00BB6339" w:rsidP="005C7CF2" w:rsidRDefault="00E55968" w14:paraId="75E86116" w14:textId="288615B3">
      <w:pPr>
        <w:rPr>
          <w:spacing w:val="-1"/>
        </w:rPr>
      </w:pPr>
      <w:r w:rsidRPr="005C7CF2">
        <w:rPr>
          <w:spacing w:val="-1"/>
        </w:rPr>
        <w:t>F</w:t>
      </w:r>
      <w:r w:rsidRPr="005C7CF2" w:rsidR="00990561">
        <w:rPr>
          <w:spacing w:val="-1"/>
        </w:rPr>
        <w:t>ör poliser är det förbjudet med brottsprovokation medan bevisprovokation är tillåtet.</w:t>
      </w:r>
      <w:r w:rsidRPr="005C7CF2">
        <w:rPr>
          <w:spacing w:val="-1"/>
        </w:rPr>
        <w:t xml:space="preserve"> För att skapa kraftfulla insatser mot gängkriminaliteten måste detta ändras</w:t>
      </w:r>
      <w:r w:rsidRPr="005C7CF2" w:rsidR="00972FF7">
        <w:rPr>
          <w:spacing w:val="-1"/>
        </w:rPr>
        <w:t>. B</w:t>
      </w:r>
      <w:r w:rsidRPr="005C7CF2">
        <w:rPr>
          <w:spacing w:val="-1"/>
        </w:rPr>
        <w:t>rottsprovo</w:t>
      </w:r>
      <w:r w:rsidR="005C7CF2">
        <w:rPr>
          <w:spacing w:val="-1"/>
        </w:rPr>
        <w:softHyphen/>
      </w:r>
      <w:r w:rsidRPr="005C7CF2">
        <w:rPr>
          <w:spacing w:val="-1"/>
        </w:rPr>
        <w:t>kation</w:t>
      </w:r>
      <w:r w:rsidRPr="005C7CF2" w:rsidR="00972FF7">
        <w:rPr>
          <w:spacing w:val="-1"/>
        </w:rPr>
        <w:t xml:space="preserve"> </w:t>
      </w:r>
      <w:r w:rsidRPr="005C7CF2" w:rsidR="008131CA">
        <w:rPr>
          <w:spacing w:val="-1"/>
        </w:rPr>
        <w:t>bör</w:t>
      </w:r>
      <w:r w:rsidRPr="005C7CF2" w:rsidR="00972FF7">
        <w:rPr>
          <w:spacing w:val="-1"/>
        </w:rPr>
        <w:t xml:space="preserve"> kunna vara ett möjligt arbetssätt för </w:t>
      </w:r>
      <w:r w:rsidRPr="005C7CF2" w:rsidR="009823BA">
        <w:rPr>
          <w:spacing w:val="-1"/>
        </w:rPr>
        <w:t>po</w:t>
      </w:r>
      <w:r w:rsidRPr="005C7CF2" w:rsidR="00972FF7">
        <w:rPr>
          <w:spacing w:val="-1"/>
        </w:rPr>
        <w:t xml:space="preserve">lisen </w:t>
      </w:r>
      <w:r w:rsidRPr="005C7CF2">
        <w:rPr>
          <w:spacing w:val="-1"/>
        </w:rPr>
        <w:t>i särskilda fall</w:t>
      </w:r>
      <w:r w:rsidRPr="005C7CF2" w:rsidR="00972FF7">
        <w:rPr>
          <w:spacing w:val="-1"/>
        </w:rPr>
        <w:t>. Därför bör</w:t>
      </w:r>
      <w:r w:rsidRPr="005C7CF2" w:rsidR="000C389F">
        <w:rPr>
          <w:spacing w:val="-1"/>
        </w:rPr>
        <w:t xml:space="preserve"> </w:t>
      </w:r>
      <w:r w:rsidRPr="005C7CF2" w:rsidR="00972FF7">
        <w:rPr>
          <w:spacing w:val="-1"/>
        </w:rPr>
        <w:t>en metod</w:t>
      </w:r>
      <w:r w:rsidRPr="005C7CF2" w:rsidR="000C389F">
        <w:rPr>
          <w:spacing w:val="-1"/>
        </w:rPr>
        <w:t xml:space="preserve"> utarbetas </w:t>
      </w:r>
      <w:r w:rsidRPr="005C7CF2" w:rsidR="00972FF7">
        <w:rPr>
          <w:spacing w:val="-1"/>
        </w:rPr>
        <w:t xml:space="preserve">skyndsamt, </w:t>
      </w:r>
      <w:r w:rsidRPr="005C7CF2" w:rsidR="000C389F">
        <w:rPr>
          <w:spacing w:val="-1"/>
        </w:rPr>
        <w:t xml:space="preserve">där man också tittar på länder som använder sig av metoden redan nu. Allt i </w:t>
      </w:r>
      <w:r w:rsidRPr="005C7CF2">
        <w:rPr>
          <w:spacing w:val="-1"/>
        </w:rPr>
        <w:t xml:space="preserve">syfte att bekämpa </w:t>
      </w:r>
      <w:r w:rsidRPr="005C7CF2" w:rsidR="00972FF7">
        <w:rPr>
          <w:spacing w:val="-1"/>
        </w:rPr>
        <w:t xml:space="preserve">grov kriminalitet som </w:t>
      </w:r>
      <w:r w:rsidRPr="005C7CF2">
        <w:rPr>
          <w:spacing w:val="-1"/>
        </w:rPr>
        <w:t>gängkriminalitet</w:t>
      </w:r>
      <w:r w:rsidRPr="005C7CF2" w:rsidR="000C389F">
        <w:rPr>
          <w:spacing w:val="-1"/>
        </w:rPr>
        <w:t xml:space="preserve"> och organiserad brottslighet</w:t>
      </w:r>
      <w:r w:rsidRPr="005C7CF2">
        <w:rPr>
          <w:spacing w:val="-1"/>
        </w:rPr>
        <w:t>.</w:t>
      </w:r>
      <w:r w:rsidRPr="005C7CF2" w:rsidR="000C389F">
        <w:rPr>
          <w:spacing w:val="-1"/>
        </w:rPr>
        <w:t xml:space="preserve"> </w:t>
      </w:r>
    </w:p>
    <w:sdt>
      <w:sdtPr>
        <w:rPr>
          <w:i/>
          <w:noProof/>
        </w:rPr>
        <w:alias w:val="CC_Underskrifter"/>
        <w:tag w:val="CC_Underskrifter"/>
        <w:id w:val="583496634"/>
        <w:lock w:val="sdtContentLocked"/>
        <w:placeholder>
          <w:docPart w:val="FB146384D5A74C0D9D1C7D97267F2C8A"/>
        </w:placeholder>
      </w:sdtPr>
      <w:sdtEndPr>
        <w:rPr>
          <w:i w:val="0"/>
          <w:noProof w:val="0"/>
        </w:rPr>
      </w:sdtEndPr>
      <w:sdtContent>
        <w:p w:rsidR="007828E9" w:rsidP="00021EAB" w:rsidRDefault="007828E9" w14:paraId="41BC5DCF" w14:textId="77777777"/>
        <w:p w:rsidRPr="008E0FE2" w:rsidR="004801AC" w:rsidP="00021EAB" w:rsidRDefault="005C7CF2" w14:paraId="75E8611B" w14:textId="47DAD0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874572" w:rsidRDefault="00874572" w14:paraId="550C208B" w14:textId="77777777"/>
    <w:sectPr w:rsidR="008745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8611E" w14:textId="77777777" w:rsidR="00505E61" w:rsidRDefault="00505E61" w:rsidP="000C1CAD">
      <w:pPr>
        <w:spacing w:line="240" w:lineRule="auto"/>
      </w:pPr>
      <w:r>
        <w:separator/>
      </w:r>
    </w:p>
  </w:endnote>
  <w:endnote w:type="continuationSeparator" w:id="0">
    <w:p w14:paraId="75E8611F" w14:textId="77777777" w:rsidR="00505E61" w:rsidRDefault="00505E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612D" w14:textId="1109D5DC" w:rsidR="00262EA3" w:rsidRPr="00021EAB" w:rsidRDefault="00262EA3" w:rsidP="00021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611C" w14:textId="77777777" w:rsidR="00505E61" w:rsidRDefault="00505E61" w:rsidP="000C1CAD">
      <w:pPr>
        <w:spacing w:line="240" w:lineRule="auto"/>
      </w:pPr>
      <w:r>
        <w:separator/>
      </w:r>
    </w:p>
  </w:footnote>
  <w:footnote w:type="continuationSeparator" w:id="0">
    <w:p w14:paraId="75E8611D" w14:textId="77777777" w:rsidR="00505E61" w:rsidRDefault="00505E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E861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8612F" wp14:anchorId="75E86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7CF2" w14:paraId="75E86132" w14:textId="77777777">
                          <w:pPr>
                            <w:jc w:val="right"/>
                          </w:pPr>
                          <w:sdt>
                            <w:sdtPr>
                              <w:alias w:val="CC_Noformat_Partikod"/>
                              <w:tag w:val="CC_Noformat_Partikod"/>
                              <w:id w:val="-53464382"/>
                              <w:placeholder>
                                <w:docPart w:val="9A28B9D28AEF411EB431C2B2379A8AE7"/>
                              </w:placeholder>
                              <w:text/>
                            </w:sdtPr>
                            <w:sdtEndPr/>
                            <w:sdtContent>
                              <w:r w:rsidR="002E3079">
                                <w:t>M</w:t>
                              </w:r>
                            </w:sdtContent>
                          </w:sdt>
                          <w:sdt>
                            <w:sdtPr>
                              <w:alias w:val="CC_Noformat_Partinummer"/>
                              <w:tag w:val="CC_Noformat_Partinummer"/>
                              <w:id w:val="-1709555926"/>
                              <w:placeholder>
                                <w:docPart w:val="761508E1E1CB42D5898EC51C036264A2"/>
                              </w:placeholder>
                              <w:text/>
                            </w:sdtPr>
                            <w:sdtEndPr/>
                            <w:sdtContent>
                              <w:r w:rsidR="00484C17">
                                <w:t>2264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E861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CF2" w14:paraId="75E86132" w14:textId="77777777">
                    <w:pPr>
                      <w:jc w:val="right"/>
                    </w:pPr>
                    <w:sdt>
                      <w:sdtPr>
                        <w:alias w:val="CC_Noformat_Partikod"/>
                        <w:tag w:val="CC_Noformat_Partikod"/>
                        <w:id w:val="-53464382"/>
                        <w:placeholder>
                          <w:docPart w:val="9A28B9D28AEF411EB431C2B2379A8AE7"/>
                        </w:placeholder>
                        <w:text/>
                      </w:sdtPr>
                      <w:sdtEndPr/>
                      <w:sdtContent>
                        <w:r w:rsidR="002E3079">
                          <w:t>M</w:t>
                        </w:r>
                      </w:sdtContent>
                    </w:sdt>
                    <w:sdt>
                      <w:sdtPr>
                        <w:alias w:val="CC_Noformat_Partinummer"/>
                        <w:tag w:val="CC_Noformat_Partinummer"/>
                        <w:id w:val="-1709555926"/>
                        <w:placeholder>
                          <w:docPart w:val="761508E1E1CB42D5898EC51C036264A2"/>
                        </w:placeholder>
                        <w:text/>
                      </w:sdtPr>
                      <w:sdtEndPr/>
                      <w:sdtContent>
                        <w:r w:rsidR="00484C17">
                          <w:t>2264</w:t>
                        </w:r>
                      </w:sdtContent>
                    </w:sdt>
                  </w:p>
                </w:txbxContent>
              </v:textbox>
              <w10:wrap anchorx="page"/>
            </v:shape>
          </w:pict>
        </mc:Fallback>
      </mc:AlternateContent>
    </w:r>
  </w:p>
  <w:p w:rsidRPr="00293C4F" w:rsidR="00262EA3" w:rsidP="00776B74" w:rsidRDefault="00262EA3" w14:paraId="75E861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E86122" w14:textId="77777777">
    <w:pPr>
      <w:jc w:val="right"/>
    </w:pPr>
  </w:p>
  <w:p w:rsidR="00262EA3" w:rsidP="00776B74" w:rsidRDefault="00262EA3" w14:paraId="75E861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7CF2" w14:paraId="75E861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E86131" wp14:anchorId="75E861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7CF2" w14:paraId="75E861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3079">
          <w:t>M</w:t>
        </w:r>
      </w:sdtContent>
    </w:sdt>
    <w:sdt>
      <w:sdtPr>
        <w:alias w:val="CC_Noformat_Partinummer"/>
        <w:tag w:val="CC_Noformat_Partinummer"/>
        <w:id w:val="-2014525982"/>
        <w:text/>
      </w:sdtPr>
      <w:sdtEndPr/>
      <w:sdtContent>
        <w:r w:rsidR="00484C17">
          <w:t>2264</w:t>
        </w:r>
      </w:sdtContent>
    </w:sdt>
  </w:p>
  <w:p w:rsidRPr="008227B3" w:rsidR="00262EA3" w:rsidP="008227B3" w:rsidRDefault="005C7CF2" w14:paraId="75E861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7CF2" w14:paraId="75E861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:2619</w:t>
        </w:r>
      </w:sdtContent>
    </w:sdt>
  </w:p>
  <w:p w:rsidR="00262EA3" w:rsidP="00E03A3D" w:rsidRDefault="005C7CF2" w14:paraId="75E8612A"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0C2598" w14:paraId="75E8612B" w14:textId="2587B3A1">
        <w:pPr>
          <w:pStyle w:val="FSHRub2"/>
        </w:pPr>
        <w:r>
          <w:t>Brottsprovokation som möjlig arbetsmetod</w:t>
        </w:r>
      </w:p>
    </w:sdtContent>
  </w:sdt>
  <w:sdt>
    <w:sdtPr>
      <w:alias w:val="CC_Boilerplate_3"/>
      <w:tag w:val="CC_Boilerplate_3"/>
      <w:id w:val="1606463544"/>
      <w:lock w:val="sdtContentLocked"/>
      <w15:appearance w15:val="hidden"/>
      <w:text w:multiLine="1"/>
    </w:sdtPr>
    <w:sdtEndPr/>
    <w:sdtContent>
      <w:p w:rsidR="00262EA3" w:rsidP="00283E0F" w:rsidRDefault="00262EA3" w14:paraId="75E861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3079"/>
    <w:rsid w:val="000000E0"/>
    <w:rsid w:val="00000761"/>
    <w:rsid w:val="000014AF"/>
    <w:rsid w:val="00002310"/>
    <w:rsid w:val="00002CB4"/>
    <w:rsid w:val="000030B6"/>
    <w:rsid w:val="00003CCB"/>
    <w:rsid w:val="00003F79"/>
    <w:rsid w:val="0000412E"/>
    <w:rsid w:val="00004250"/>
    <w:rsid w:val="000043C1"/>
    <w:rsid w:val="000044B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A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2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98"/>
    <w:rsid w:val="000C25D7"/>
    <w:rsid w:val="000C2779"/>
    <w:rsid w:val="000C28AB"/>
    <w:rsid w:val="000C2EF9"/>
    <w:rsid w:val="000C34E6"/>
    <w:rsid w:val="000C389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C4D"/>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4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07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B8"/>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FEF"/>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9D"/>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47"/>
    <w:rsid w:val="004801AC"/>
    <w:rsid w:val="00480455"/>
    <w:rsid w:val="00480957"/>
    <w:rsid w:val="00480D74"/>
    <w:rsid w:val="004822AA"/>
    <w:rsid w:val="0048365E"/>
    <w:rsid w:val="004836FD"/>
    <w:rsid w:val="00483D90"/>
    <w:rsid w:val="00483FB9"/>
    <w:rsid w:val="004840CE"/>
    <w:rsid w:val="004843B4"/>
    <w:rsid w:val="00484B1B"/>
    <w:rsid w:val="00484C17"/>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36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33B"/>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24"/>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61"/>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F2"/>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A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91"/>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C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E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A6"/>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4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C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57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1F9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F7"/>
    <w:rsid w:val="009733BD"/>
    <w:rsid w:val="00973AC0"/>
    <w:rsid w:val="00974566"/>
    <w:rsid w:val="00974758"/>
    <w:rsid w:val="0097703A"/>
    <w:rsid w:val="00977E01"/>
    <w:rsid w:val="009806B2"/>
    <w:rsid w:val="00980BA4"/>
    <w:rsid w:val="0098142A"/>
    <w:rsid w:val="009818AD"/>
    <w:rsid w:val="00981A13"/>
    <w:rsid w:val="00982399"/>
    <w:rsid w:val="009823BA"/>
    <w:rsid w:val="0098267A"/>
    <w:rsid w:val="0098312F"/>
    <w:rsid w:val="0098383F"/>
    <w:rsid w:val="00983AC8"/>
    <w:rsid w:val="009841A7"/>
    <w:rsid w:val="009855B9"/>
    <w:rsid w:val="00985A0F"/>
    <w:rsid w:val="00986368"/>
    <w:rsid w:val="00986688"/>
    <w:rsid w:val="009869DB"/>
    <w:rsid w:val="00987077"/>
    <w:rsid w:val="00987083"/>
    <w:rsid w:val="00987369"/>
    <w:rsid w:val="0099056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6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E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E"/>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68"/>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1FE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257"/>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E86111"/>
  <w15:chartTrackingRefBased/>
  <w15:docId w15:val="{2B4A22BB-CDA9-4A8F-9E29-12E41EFF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36A8DC9BE488E92886C23CA684263"/>
        <w:category>
          <w:name w:val="Allmänt"/>
          <w:gallery w:val="placeholder"/>
        </w:category>
        <w:types>
          <w:type w:val="bbPlcHdr"/>
        </w:types>
        <w:behaviors>
          <w:behavior w:val="content"/>
        </w:behaviors>
        <w:guid w:val="{0B1AD769-F5FD-42C0-BE5A-4E98909651F6}"/>
      </w:docPartPr>
      <w:docPartBody>
        <w:p w:rsidR="001B354D" w:rsidRDefault="001B354D">
          <w:pPr>
            <w:pStyle w:val="7C236A8DC9BE488E92886C23CA684263"/>
          </w:pPr>
          <w:r w:rsidRPr="005A0A93">
            <w:rPr>
              <w:rStyle w:val="Platshllartext"/>
            </w:rPr>
            <w:t>Förslag till riksdagsbeslut</w:t>
          </w:r>
        </w:p>
      </w:docPartBody>
    </w:docPart>
    <w:docPart>
      <w:docPartPr>
        <w:name w:val="52AB0AC62D90426AA008EF11E5611C1C"/>
        <w:category>
          <w:name w:val="Allmänt"/>
          <w:gallery w:val="placeholder"/>
        </w:category>
        <w:types>
          <w:type w:val="bbPlcHdr"/>
        </w:types>
        <w:behaviors>
          <w:behavior w:val="content"/>
        </w:behaviors>
        <w:guid w:val="{E63ABDAF-6EAB-41B9-A50F-88B80348C7A6}"/>
      </w:docPartPr>
      <w:docPartBody>
        <w:p w:rsidR="001B354D" w:rsidRDefault="001B354D">
          <w:pPr>
            <w:pStyle w:val="52AB0AC62D90426AA008EF11E5611C1C"/>
          </w:pPr>
          <w:r w:rsidRPr="005A0A93">
            <w:rPr>
              <w:rStyle w:val="Platshllartext"/>
            </w:rPr>
            <w:t>Motivering</w:t>
          </w:r>
        </w:p>
      </w:docPartBody>
    </w:docPart>
    <w:docPart>
      <w:docPartPr>
        <w:name w:val="9A28B9D28AEF411EB431C2B2379A8AE7"/>
        <w:category>
          <w:name w:val="Allmänt"/>
          <w:gallery w:val="placeholder"/>
        </w:category>
        <w:types>
          <w:type w:val="bbPlcHdr"/>
        </w:types>
        <w:behaviors>
          <w:behavior w:val="content"/>
        </w:behaviors>
        <w:guid w:val="{A9F693FE-9820-4D10-A9F5-BEA1F0AAE509}"/>
      </w:docPartPr>
      <w:docPartBody>
        <w:p w:rsidR="001B354D" w:rsidRDefault="001B354D">
          <w:pPr>
            <w:pStyle w:val="9A28B9D28AEF411EB431C2B2379A8AE7"/>
          </w:pPr>
          <w:r>
            <w:rPr>
              <w:rStyle w:val="Platshllartext"/>
            </w:rPr>
            <w:t xml:space="preserve"> </w:t>
          </w:r>
        </w:p>
      </w:docPartBody>
    </w:docPart>
    <w:docPart>
      <w:docPartPr>
        <w:name w:val="761508E1E1CB42D5898EC51C036264A2"/>
        <w:category>
          <w:name w:val="Allmänt"/>
          <w:gallery w:val="placeholder"/>
        </w:category>
        <w:types>
          <w:type w:val="bbPlcHdr"/>
        </w:types>
        <w:behaviors>
          <w:behavior w:val="content"/>
        </w:behaviors>
        <w:guid w:val="{8D0BFD29-49AC-44B0-B4DD-B935B346106B}"/>
      </w:docPartPr>
      <w:docPartBody>
        <w:p w:rsidR="001B354D" w:rsidRDefault="001B354D">
          <w:pPr>
            <w:pStyle w:val="761508E1E1CB42D5898EC51C036264A2"/>
          </w:pPr>
          <w:r>
            <w:t xml:space="preserve"> </w:t>
          </w:r>
        </w:p>
      </w:docPartBody>
    </w:docPart>
    <w:docPart>
      <w:docPartPr>
        <w:name w:val="FB146384D5A74C0D9D1C7D97267F2C8A"/>
        <w:category>
          <w:name w:val="Allmänt"/>
          <w:gallery w:val="placeholder"/>
        </w:category>
        <w:types>
          <w:type w:val="bbPlcHdr"/>
        </w:types>
        <w:behaviors>
          <w:behavior w:val="content"/>
        </w:behaviors>
        <w:guid w:val="{A3B3428C-7214-4BE4-BA70-DC599EB516A4}"/>
      </w:docPartPr>
      <w:docPartBody>
        <w:p w:rsidR="0085719B" w:rsidRDefault="008571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4D"/>
    <w:rsid w:val="001B354D"/>
    <w:rsid w:val="005103C2"/>
    <w:rsid w:val="00857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36A8DC9BE488E92886C23CA684263">
    <w:name w:val="7C236A8DC9BE488E92886C23CA684263"/>
  </w:style>
  <w:style w:type="paragraph" w:customStyle="1" w:styleId="9AC3DB6F67EA4A66B933A26107354C53">
    <w:name w:val="9AC3DB6F67EA4A66B933A26107354C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D57C29A534402A901519910FFD1FC2">
    <w:name w:val="C7D57C29A534402A901519910FFD1FC2"/>
  </w:style>
  <w:style w:type="paragraph" w:customStyle="1" w:styleId="52AB0AC62D90426AA008EF11E5611C1C">
    <w:name w:val="52AB0AC62D90426AA008EF11E5611C1C"/>
  </w:style>
  <w:style w:type="paragraph" w:customStyle="1" w:styleId="DD705A685C9D4E32818574B0BD14E21D">
    <w:name w:val="DD705A685C9D4E32818574B0BD14E21D"/>
  </w:style>
  <w:style w:type="paragraph" w:customStyle="1" w:styleId="9396867DAD8D4EBEB4EAE11E3E494327">
    <w:name w:val="9396867DAD8D4EBEB4EAE11E3E494327"/>
  </w:style>
  <w:style w:type="paragraph" w:customStyle="1" w:styleId="9A28B9D28AEF411EB431C2B2379A8AE7">
    <w:name w:val="9A28B9D28AEF411EB431C2B2379A8AE7"/>
  </w:style>
  <w:style w:type="paragraph" w:customStyle="1" w:styleId="761508E1E1CB42D5898EC51C036264A2">
    <w:name w:val="761508E1E1CB42D5898EC51C03626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F4A1E-1A42-4CD6-B4AD-E8B7EB0AC761}"/>
</file>

<file path=customXml/itemProps2.xml><?xml version="1.0" encoding="utf-8"?>
<ds:datastoreItem xmlns:ds="http://schemas.openxmlformats.org/officeDocument/2006/customXml" ds:itemID="{4947FD8C-A704-4B78-9048-8E45777D0AD9}"/>
</file>

<file path=customXml/itemProps3.xml><?xml version="1.0" encoding="utf-8"?>
<ds:datastoreItem xmlns:ds="http://schemas.openxmlformats.org/officeDocument/2006/customXml" ds:itemID="{6CC85680-AAEE-4584-BFB3-66452451BD03}"/>
</file>

<file path=docProps/app.xml><?xml version="1.0" encoding="utf-8"?>
<Properties xmlns="http://schemas.openxmlformats.org/officeDocument/2006/extended-properties" xmlns:vt="http://schemas.openxmlformats.org/officeDocument/2006/docPropsVTypes">
  <Template>Normal</Template>
  <TotalTime>9</TotalTime>
  <Pages>2</Pages>
  <Words>290</Words>
  <Characters>1739</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M2264 Brottsprovokation behöver tillåtas vid gängkriminalitet och organiserad brottslighet</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