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2A3067">
        <w:tc>
          <w:tcPr>
            <w:tcW w:w="2268" w:type="dxa"/>
          </w:tcPr>
          <w:p w:rsidR="002A3067" w:rsidRDefault="002A3067">
            <w:pPr>
              <w:framePr w:w="4400" w:h="1644" w:wrap="notBeside" w:vAnchor="page" w:hAnchor="page" w:x="6573" w:y="721"/>
              <w:rPr>
                <w:rFonts w:ascii="TradeGothic" w:hAnsi="TradeGothic"/>
                <w:i/>
                <w:sz w:val="18"/>
              </w:rPr>
            </w:pPr>
          </w:p>
        </w:tc>
        <w:tc>
          <w:tcPr>
            <w:tcW w:w="2347" w:type="dxa"/>
            <w:gridSpan w:val="2"/>
          </w:tcPr>
          <w:p w:rsidR="002A3067" w:rsidRDefault="002A3067">
            <w:pPr>
              <w:framePr w:w="4400" w:h="1644" w:wrap="notBeside" w:vAnchor="page" w:hAnchor="page" w:x="6573" w:y="721"/>
              <w:rPr>
                <w:rFonts w:ascii="TradeGothic" w:hAnsi="TradeGothic"/>
                <w:i/>
                <w:sz w:val="18"/>
              </w:rPr>
            </w:pPr>
          </w:p>
        </w:tc>
      </w:tr>
      <w:tr w:rsidR="002A3067">
        <w:tc>
          <w:tcPr>
            <w:tcW w:w="2268" w:type="dxa"/>
          </w:tcPr>
          <w:p w:rsidR="002A3067" w:rsidRDefault="002A3067">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2A3067" w:rsidRDefault="002A3067">
            <w:pPr>
              <w:framePr w:w="4400" w:h="1644" w:wrap="notBeside" w:vAnchor="page" w:hAnchor="page" w:x="6573" w:y="721"/>
              <w:rPr>
                <w:rFonts w:ascii="TradeGothic" w:hAnsi="TradeGothic"/>
                <w:b/>
                <w:sz w:val="22"/>
              </w:rPr>
            </w:pPr>
          </w:p>
        </w:tc>
      </w:tr>
      <w:tr w:rsidR="002A3067">
        <w:trPr>
          <w:trHeight w:val="343"/>
        </w:trPr>
        <w:tc>
          <w:tcPr>
            <w:tcW w:w="3402" w:type="dxa"/>
            <w:gridSpan w:val="2"/>
          </w:tcPr>
          <w:p w:rsidR="002A3067" w:rsidRDefault="002A3067">
            <w:pPr>
              <w:framePr w:w="4400" w:h="1644" w:wrap="notBeside" w:vAnchor="page" w:hAnchor="page" w:x="6573" w:y="721"/>
            </w:pPr>
          </w:p>
        </w:tc>
        <w:tc>
          <w:tcPr>
            <w:tcW w:w="1213" w:type="dxa"/>
          </w:tcPr>
          <w:p w:rsidR="002A3067" w:rsidRDefault="002A3067">
            <w:pPr>
              <w:framePr w:w="4400" w:h="1644" w:wrap="notBeside" w:vAnchor="page" w:hAnchor="page" w:x="6573" w:y="721"/>
            </w:pPr>
          </w:p>
        </w:tc>
      </w:tr>
      <w:tr w:rsidR="002A3067">
        <w:tc>
          <w:tcPr>
            <w:tcW w:w="2268" w:type="dxa"/>
          </w:tcPr>
          <w:p w:rsidR="002A3067" w:rsidRDefault="002A3067">
            <w:pPr>
              <w:framePr w:w="4400" w:h="1644" w:wrap="notBeside" w:vAnchor="page" w:hAnchor="page" w:x="6573" w:y="721"/>
            </w:pPr>
            <w:fldSimple w:instr=" CREATEDATE  \@ &quot;yyyy-MM-dd&quot;  \* MERGEFORMAT ">
              <w:r>
                <w:rPr>
                  <w:noProof/>
                </w:rPr>
                <w:t>2012-12-19</w:t>
              </w:r>
            </w:fldSimple>
          </w:p>
        </w:tc>
        <w:tc>
          <w:tcPr>
            <w:tcW w:w="2347" w:type="dxa"/>
            <w:gridSpan w:val="2"/>
          </w:tcPr>
          <w:p w:rsidR="002A3067" w:rsidRDefault="002A3067">
            <w:pPr>
              <w:framePr w:w="4400" w:h="1644" w:wrap="notBeside" w:vAnchor="page" w:hAnchor="page" w:x="6573" w:y="721"/>
            </w:pPr>
          </w:p>
        </w:tc>
      </w:tr>
      <w:tr w:rsidR="002A3067">
        <w:tc>
          <w:tcPr>
            <w:tcW w:w="2268" w:type="dxa"/>
          </w:tcPr>
          <w:p w:rsidR="002A3067" w:rsidRDefault="002A3067">
            <w:pPr>
              <w:framePr w:w="4400" w:h="1644" w:wrap="notBeside" w:vAnchor="page" w:hAnchor="page" w:x="6573" w:y="721"/>
            </w:pPr>
          </w:p>
        </w:tc>
        <w:tc>
          <w:tcPr>
            <w:tcW w:w="2347" w:type="dxa"/>
            <w:gridSpan w:val="2"/>
          </w:tcPr>
          <w:p w:rsidR="002A3067" w:rsidRDefault="002A3067">
            <w:pPr>
              <w:framePr w:w="4400" w:h="1644" w:wrap="notBeside" w:vAnchor="page" w:hAnchor="page" w:x="6573" w:y="721"/>
            </w:pPr>
          </w:p>
        </w:tc>
      </w:tr>
    </w:tbl>
    <w:tbl>
      <w:tblPr>
        <w:tblW w:w="0" w:type="auto"/>
        <w:tblLayout w:type="fixed"/>
        <w:tblLook w:val="0000"/>
      </w:tblPr>
      <w:tblGrid>
        <w:gridCol w:w="4911"/>
      </w:tblGrid>
      <w:tr w:rsidR="002A3067">
        <w:trPr>
          <w:trHeight w:val="2400"/>
        </w:trPr>
        <w:tc>
          <w:tcPr>
            <w:tcW w:w="4911" w:type="dxa"/>
          </w:tcPr>
          <w:p w:rsidR="002A3067" w:rsidRDefault="002A3067">
            <w:pPr>
              <w:pStyle w:val="Avsndare"/>
              <w:framePr w:h="2483" w:wrap="notBeside" w:x="1504"/>
              <w:rPr>
                <w:b/>
                <w:i w:val="0"/>
                <w:sz w:val="22"/>
              </w:rPr>
            </w:pPr>
            <w:r>
              <w:rPr>
                <w:b/>
                <w:i w:val="0"/>
                <w:sz w:val="22"/>
              </w:rPr>
              <w:t>Statsrådsberedningen</w:t>
            </w:r>
          </w:p>
          <w:p w:rsidR="002A3067" w:rsidRDefault="002A3067">
            <w:pPr>
              <w:pStyle w:val="Avsndare"/>
              <w:framePr w:h="2483" w:wrap="notBeside" w:x="1504"/>
            </w:pPr>
          </w:p>
          <w:p w:rsidR="002A3067" w:rsidRDefault="002A3067">
            <w:pPr>
              <w:pStyle w:val="Avsndare"/>
              <w:framePr w:h="2483" w:wrap="notBeside" w:x="1504"/>
            </w:pPr>
            <w:r>
              <w:t>EU-kansliet</w:t>
            </w:r>
          </w:p>
          <w:p w:rsidR="002A3067" w:rsidRDefault="002A3067">
            <w:pPr>
              <w:pStyle w:val="Avsndare"/>
              <w:framePr w:h="2483" w:wrap="notBeside" w:x="1504"/>
            </w:pPr>
          </w:p>
          <w:p w:rsidR="002A3067" w:rsidRDefault="002A3067">
            <w:pPr>
              <w:pStyle w:val="Avsndare"/>
              <w:framePr w:h="2483" w:wrap="notBeside" w:x="1504"/>
            </w:pPr>
          </w:p>
          <w:p w:rsidR="002A3067" w:rsidRDefault="002A3067">
            <w:pPr>
              <w:pStyle w:val="Avsndare"/>
              <w:framePr w:h="2483" w:wrap="notBeside" w:x="1504"/>
            </w:pPr>
          </w:p>
          <w:p w:rsidR="002A3067" w:rsidRDefault="002A3067">
            <w:pPr>
              <w:pStyle w:val="Avsndare"/>
              <w:framePr w:h="2483" w:wrap="notBeside" w:x="1504"/>
              <w:rPr>
                <w:b/>
                <w:i w:val="0"/>
                <w:sz w:val="22"/>
              </w:rPr>
            </w:pPr>
          </w:p>
        </w:tc>
      </w:tr>
    </w:tbl>
    <w:p w:rsidR="002A3067" w:rsidRDefault="002A3067">
      <w:pPr>
        <w:framePr w:w="4400" w:h="2523" w:wrap="notBeside" w:vAnchor="page" w:hAnchor="page" w:x="6453" w:y="2445"/>
        <w:ind w:left="142"/>
      </w:pPr>
    </w:p>
    <w:p w:rsidR="002A3067" w:rsidRPr="00760CD2" w:rsidRDefault="002A3067" w:rsidP="00264AB0">
      <w:pPr>
        <w:pStyle w:val="Heading1"/>
      </w:pPr>
      <w:bookmarkStart w:id="0" w:name="_Toc67391946"/>
      <w:bookmarkStart w:id="1" w:name="_Toc70473239"/>
      <w:bookmarkStart w:id="2" w:name="_Toc343699840"/>
      <w:r>
        <w:rPr>
          <w:rFonts w:cs="Arial"/>
        </w:rPr>
        <w:t>Troliga A-punkter inför kommande rådsmöten som förväntas godkännas vid Coreper I och Coreper II</w:t>
      </w:r>
      <w:bookmarkEnd w:id="0"/>
      <w:bookmarkEnd w:id="1"/>
      <w:r>
        <w:rPr>
          <w:rFonts w:cs="Arial"/>
        </w:rPr>
        <w:t xml:space="preserve"> vecka 51. </w:t>
      </w:r>
      <w:r>
        <w:t>Färdigförhandlad</w:t>
      </w:r>
      <w:r w:rsidRPr="00760CD2">
        <w:t xml:space="preserve"> II-punkt från möte i Coreper I 2012-12-04 som kan tas som A-punkt vid kommande rådsmöte</w:t>
      </w:r>
      <w:r>
        <w:t>.</w:t>
      </w:r>
      <w:bookmarkEnd w:id="2"/>
    </w:p>
    <w:p w:rsidR="002A3067" w:rsidRDefault="002A3067" w:rsidP="006861F0">
      <w:pPr>
        <w:pStyle w:val="BodyText"/>
      </w:pPr>
    </w:p>
    <w:p w:rsidR="002A3067" w:rsidRDefault="002A3067" w:rsidP="006861F0">
      <w:pPr>
        <w:pStyle w:val="BodyText"/>
      </w:pPr>
      <w:r>
        <w:t>Överlämnas för skriftligt samråd till torsdagen den 20 december 2012, kl 08.30.</w:t>
      </w:r>
    </w:p>
    <w:p w:rsidR="002A3067" w:rsidRDefault="002A3067">
      <w:pPr>
        <w:spacing w:line="240" w:lineRule="auto"/>
        <w:rPr>
          <w:rFonts w:ascii="Garamond" w:hAnsi="Garamond"/>
        </w:rPr>
      </w:pPr>
      <w:r>
        <w:br w:type="page"/>
      </w:r>
    </w:p>
    <w:p w:rsidR="002A3067" w:rsidRPr="006861F0" w:rsidRDefault="002A3067" w:rsidP="006861F0">
      <w:pPr>
        <w:pStyle w:val="BodyText"/>
      </w:pPr>
    </w:p>
    <w:p w:rsidR="002A3067" w:rsidRDefault="002A3067">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bookmarkStart w:id="17" w:name="_GoBack"/>
    <w:bookmarkEnd w:id="17"/>
    <w:p w:rsidR="002A3067" w:rsidRDefault="002A3067">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43699840" w:history="1">
        <w:r w:rsidRPr="00A34C50">
          <w:rPr>
            <w:rStyle w:val="Hyperlink"/>
            <w:rFonts w:cs="Arial"/>
            <w:noProof/>
          </w:rPr>
          <w:t xml:space="preserve">Troliga A-punkter inför kommande rådsmöten som förväntas godkännas vid Coreper I och Coreper II vecka 51. </w:t>
        </w:r>
        <w:r w:rsidRPr="00A34C50">
          <w:rPr>
            <w:rStyle w:val="Hyperlink"/>
            <w:noProof/>
          </w:rPr>
          <w:t>Färdigförhandlad II-punkt från möte i Coreper I 2012-12-04 som kan tas som A-punkt vid kommande rådsmöte.</w:t>
        </w:r>
        <w:r>
          <w:rPr>
            <w:noProof/>
            <w:webHidden/>
          </w:rPr>
          <w:tab/>
        </w:r>
        <w:r>
          <w:rPr>
            <w:noProof/>
            <w:webHidden/>
          </w:rPr>
          <w:fldChar w:fldCharType="begin"/>
        </w:r>
        <w:r>
          <w:rPr>
            <w:noProof/>
            <w:webHidden/>
          </w:rPr>
          <w:instrText xml:space="preserve"> PAGEREF _Toc343699840 \h </w:instrText>
        </w:r>
        <w:r>
          <w:rPr>
            <w:noProof/>
            <w:webHidden/>
          </w:rPr>
        </w:r>
        <w:r>
          <w:rPr>
            <w:noProof/>
            <w:webHidden/>
          </w:rPr>
          <w:fldChar w:fldCharType="separate"/>
        </w:r>
        <w:r>
          <w:rPr>
            <w:noProof/>
            <w:webHidden/>
          </w:rPr>
          <w:t>1</w:t>
        </w:r>
        <w:r>
          <w:rPr>
            <w:noProof/>
            <w:webHidden/>
          </w:rPr>
          <w:fldChar w:fldCharType="end"/>
        </w:r>
      </w:hyperlink>
    </w:p>
    <w:p w:rsidR="002A3067" w:rsidRDefault="002A3067">
      <w:pPr>
        <w:pStyle w:val="TOC1"/>
        <w:tabs>
          <w:tab w:val="right" w:leader="dot" w:pos="7644"/>
        </w:tabs>
        <w:rPr>
          <w:rFonts w:ascii="Calibri" w:hAnsi="Calibri"/>
          <w:b w:val="0"/>
          <w:bCs w:val="0"/>
          <w:caps w:val="0"/>
          <w:noProof/>
          <w:sz w:val="22"/>
          <w:szCs w:val="22"/>
          <w:lang w:eastAsia="sv-SE"/>
        </w:rPr>
      </w:pPr>
      <w:hyperlink w:anchor="_Toc343699841" w:history="1">
        <w:r w:rsidRPr="00A34C50">
          <w:rPr>
            <w:rStyle w:val="Hyperlink"/>
            <w:noProof/>
          </w:rPr>
          <w:t>Frågor som lösts i förberedande instanser</w:t>
        </w:r>
        <w:r>
          <w:rPr>
            <w:noProof/>
            <w:webHidden/>
          </w:rPr>
          <w:tab/>
        </w:r>
        <w:r>
          <w:rPr>
            <w:noProof/>
            <w:webHidden/>
          </w:rPr>
          <w:fldChar w:fldCharType="begin"/>
        </w:r>
        <w:r>
          <w:rPr>
            <w:noProof/>
            <w:webHidden/>
          </w:rPr>
          <w:instrText xml:space="preserve"> PAGEREF _Toc343699841 \h </w:instrText>
        </w:r>
        <w:r>
          <w:rPr>
            <w:noProof/>
            <w:webHidden/>
          </w:rPr>
        </w:r>
        <w:r>
          <w:rPr>
            <w:noProof/>
            <w:webHidden/>
          </w:rPr>
          <w:fldChar w:fldCharType="separate"/>
        </w:r>
        <w:r>
          <w:rPr>
            <w:noProof/>
            <w:webHidden/>
          </w:rPr>
          <w:t>6</w:t>
        </w:r>
        <w:r>
          <w:rPr>
            <w:noProof/>
            <w:webHidden/>
          </w:rPr>
          <w:fldChar w:fldCharType="end"/>
        </w:r>
      </w:hyperlink>
    </w:p>
    <w:p w:rsidR="002A3067" w:rsidRDefault="002A3067">
      <w:pPr>
        <w:pStyle w:val="TOC1"/>
        <w:tabs>
          <w:tab w:val="right" w:leader="dot" w:pos="7644"/>
        </w:tabs>
        <w:rPr>
          <w:rFonts w:ascii="Calibri" w:hAnsi="Calibri"/>
          <w:b w:val="0"/>
          <w:bCs w:val="0"/>
          <w:caps w:val="0"/>
          <w:noProof/>
          <w:sz w:val="22"/>
          <w:szCs w:val="22"/>
          <w:lang w:eastAsia="sv-SE"/>
        </w:rPr>
      </w:pPr>
      <w:hyperlink w:anchor="_Toc343699842" w:history="1">
        <w:r w:rsidRPr="00A34C50">
          <w:rPr>
            <w:rStyle w:val="Hyperlink"/>
            <w:noProof/>
          </w:rPr>
          <w:t>Troliga A-punkter inför kommande rådsmöten som förväntas godkännas vid Coreper II 2012-12-19.</w:t>
        </w:r>
        <w:r>
          <w:rPr>
            <w:noProof/>
            <w:webHidden/>
          </w:rPr>
          <w:tab/>
        </w:r>
        <w:r>
          <w:rPr>
            <w:noProof/>
            <w:webHidden/>
          </w:rPr>
          <w:fldChar w:fldCharType="begin"/>
        </w:r>
        <w:r>
          <w:rPr>
            <w:noProof/>
            <w:webHidden/>
          </w:rPr>
          <w:instrText xml:space="preserve"> PAGEREF _Toc343699842 \h </w:instrText>
        </w:r>
        <w:r>
          <w:rPr>
            <w:noProof/>
            <w:webHidden/>
          </w:rPr>
        </w:r>
        <w:r>
          <w:rPr>
            <w:noProof/>
            <w:webHidden/>
          </w:rPr>
          <w:fldChar w:fldCharType="separate"/>
        </w:r>
        <w:r>
          <w:rPr>
            <w:noProof/>
            <w:webHidden/>
          </w:rPr>
          <w:t>6</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43" w:history="1">
        <w:r w:rsidRPr="00A34C50">
          <w:rPr>
            <w:rStyle w:val="Hyperlink"/>
            <w:noProof/>
          </w:rPr>
          <w:t>1. Case before the General Court= Case T-431/12 (Distillerie Bonollo SPA and Others v. Council)</w:t>
        </w:r>
        <w:r>
          <w:rPr>
            <w:noProof/>
            <w:webHidden/>
          </w:rPr>
          <w:tab/>
        </w:r>
        <w:r>
          <w:rPr>
            <w:noProof/>
            <w:webHidden/>
          </w:rPr>
          <w:fldChar w:fldCharType="begin"/>
        </w:r>
        <w:r>
          <w:rPr>
            <w:noProof/>
            <w:webHidden/>
          </w:rPr>
          <w:instrText xml:space="preserve"> PAGEREF _Toc343699843 \h </w:instrText>
        </w:r>
        <w:r>
          <w:rPr>
            <w:noProof/>
            <w:webHidden/>
          </w:rPr>
        </w:r>
        <w:r>
          <w:rPr>
            <w:noProof/>
            <w:webHidden/>
          </w:rPr>
          <w:fldChar w:fldCharType="separate"/>
        </w:r>
        <w:r>
          <w:rPr>
            <w:noProof/>
            <w:webHidden/>
          </w:rPr>
          <w:t>6</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44" w:history="1">
        <w:r w:rsidRPr="00A34C50">
          <w:rPr>
            <w:rStyle w:val="Hyperlink"/>
            <w:noProof/>
          </w:rPr>
          <w:t>2. Case before the General Court= Case T-432/12 (Volzskij trubnyi zavod OAO (VTZ OAO) and Others v. Council)</w:t>
        </w:r>
        <w:r>
          <w:rPr>
            <w:noProof/>
            <w:webHidden/>
          </w:rPr>
          <w:tab/>
        </w:r>
        <w:r>
          <w:rPr>
            <w:noProof/>
            <w:webHidden/>
          </w:rPr>
          <w:fldChar w:fldCharType="begin"/>
        </w:r>
        <w:r>
          <w:rPr>
            <w:noProof/>
            <w:webHidden/>
          </w:rPr>
          <w:instrText xml:space="preserve"> PAGEREF _Toc343699844 \h </w:instrText>
        </w:r>
        <w:r>
          <w:rPr>
            <w:noProof/>
            <w:webHidden/>
          </w:rPr>
        </w:r>
        <w:r>
          <w:rPr>
            <w:noProof/>
            <w:webHidden/>
          </w:rPr>
          <w:fldChar w:fldCharType="separate"/>
        </w:r>
        <w:r>
          <w:rPr>
            <w:noProof/>
            <w:webHidden/>
          </w:rPr>
          <w:t>6</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45" w:history="1">
        <w:r w:rsidRPr="00A34C50">
          <w:rPr>
            <w:rStyle w:val="Hyperlink"/>
            <w:noProof/>
          </w:rPr>
          <w:t>3. Case before the General Court= Case T-442/12 (Changmao Biochemical Engineering Ltd. v. Council)</w:t>
        </w:r>
        <w:r>
          <w:rPr>
            <w:noProof/>
            <w:webHidden/>
          </w:rPr>
          <w:tab/>
        </w:r>
        <w:r>
          <w:rPr>
            <w:noProof/>
            <w:webHidden/>
          </w:rPr>
          <w:fldChar w:fldCharType="begin"/>
        </w:r>
        <w:r>
          <w:rPr>
            <w:noProof/>
            <w:webHidden/>
          </w:rPr>
          <w:instrText xml:space="preserve"> PAGEREF _Toc343699845 \h </w:instrText>
        </w:r>
        <w:r>
          <w:rPr>
            <w:noProof/>
            <w:webHidden/>
          </w:rPr>
        </w:r>
        <w:r>
          <w:rPr>
            <w:noProof/>
            <w:webHidden/>
          </w:rPr>
          <w:fldChar w:fldCharType="separate"/>
        </w:r>
        <w:r>
          <w:rPr>
            <w:noProof/>
            <w:webHidden/>
          </w:rPr>
          <w:t>7</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46" w:history="1">
        <w:r w:rsidRPr="00A34C50">
          <w:rPr>
            <w:rStyle w:val="Hyperlink"/>
            <w:noProof/>
          </w:rPr>
          <w:t>4. Monthly list of acts adopted under the written procedure a) August 2012 b) September 2012c) October 2012</w:t>
        </w:r>
        <w:r>
          <w:rPr>
            <w:noProof/>
            <w:webHidden/>
          </w:rPr>
          <w:tab/>
        </w:r>
        <w:r>
          <w:rPr>
            <w:noProof/>
            <w:webHidden/>
          </w:rPr>
          <w:fldChar w:fldCharType="begin"/>
        </w:r>
        <w:r>
          <w:rPr>
            <w:noProof/>
            <w:webHidden/>
          </w:rPr>
          <w:instrText xml:space="preserve"> PAGEREF _Toc343699846 \h </w:instrText>
        </w:r>
        <w:r>
          <w:rPr>
            <w:noProof/>
            <w:webHidden/>
          </w:rPr>
        </w:r>
        <w:r>
          <w:rPr>
            <w:noProof/>
            <w:webHidden/>
          </w:rPr>
          <w:fldChar w:fldCharType="separate"/>
        </w:r>
        <w:r>
          <w:rPr>
            <w:noProof/>
            <w:webHidden/>
          </w:rPr>
          <w:t>7</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47" w:history="1">
        <w:r w:rsidRPr="00A34C50">
          <w:rPr>
            <w:rStyle w:val="Hyperlink"/>
            <w:noProof/>
          </w:rPr>
          <w:t>5. Recommendation to the Council concerning the acceptance of NATO's approval procedures for cryptographic products</w:t>
        </w:r>
        <w:r>
          <w:rPr>
            <w:noProof/>
            <w:webHidden/>
          </w:rPr>
          <w:tab/>
        </w:r>
        <w:r>
          <w:rPr>
            <w:noProof/>
            <w:webHidden/>
          </w:rPr>
          <w:fldChar w:fldCharType="begin"/>
        </w:r>
        <w:r>
          <w:rPr>
            <w:noProof/>
            <w:webHidden/>
          </w:rPr>
          <w:instrText xml:space="preserve"> PAGEREF _Toc343699847 \h </w:instrText>
        </w:r>
        <w:r>
          <w:rPr>
            <w:noProof/>
            <w:webHidden/>
          </w:rPr>
        </w:r>
        <w:r>
          <w:rPr>
            <w:noProof/>
            <w:webHidden/>
          </w:rPr>
          <w:fldChar w:fldCharType="separate"/>
        </w:r>
        <w:r>
          <w:rPr>
            <w:noProof/>
            <w:webHidden/>
          </w:rPr>
          <w:t>7</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48" w:history="1">
        <w:r w:rsidRPr="00A34C50">
          <w:rPr>
            <w:rStyle w:val="Hyperlink"/>
            <w:noProof/>
          </w:rPr>
          <w:t>6. Proposal for a Regulation of the European Parliament and of the Council on a European Union energy-efficiency labelling programme for office equipment amending Regulation (EC)  106/2008 on a Community energy-efficiency labelling programme for office equipment [First reading] (LA) = Adoption of the legislative act</w:t>
        </w:r>
        <w:r>
          <w:rPr>
            <w:noProof/>
            <w:webHidden/>
          </w:rPr>
          <w:tab/>
        </w:r>
        <w:r>
          <w:rPr>
            <w:noProof/>
            <w:webHidden/>
          </w:rPr>
          <w:fldChar w:fldCharType="begin"/>
        </w:r>
        <w:r>
          <w:rPr>
            <w:noProof/>
            <w:webHidden/>
          </w:rPr>
          <w:instrText xml:space="preserve"> PAGEREF _Toc343699848 \h </w:instrText>
        </w:r>
        <w:r>
          <w:rPr>
            <w:noProof/>
            <w:webHidden/>
          </w:rPr>
        </w:r>
        <w:r>
          <w:rPr>
            <w:noProof/>
            <w:webHidden/>
          </w:rPr>
          <w:fldChar w:fldCharType="separate"/>
        </w:r>
        <w:r>
          <w:rPr>
            <w:noProof/>
            <w:webHidden/>
          </w:rPr>
          <w:t>8</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49" w:history="1">
        <w:r w:rsidRPr="00A34C50">
          <w:rPr>
            <w:rStyle w:val="Hyperlink"/>
            <w:noProof/>
          </w:rPr>
          <w:t>7. Proposal for a Regulation of the European Parliament and of the Council on the European statistical programme 2013-2017 [First reading] (LA) = Adoption of the legislative act</w:t>
        </w:r>
        <w:r>
          <w:rPr>
            <w:noProof/>
            <w:webHidden/>
          </w:rPr>
          <w:tab/>
        </w:r>
        <w:r>
          <w:rPr>
            <w:noProof/>
            <w:webHidden/>
          </w:rPr>
          <w:fldChar w:fldCharType="begin"/>
        </w:r>
        <w:r>
          <w:rPr>
            <w:noProof/>
            <w:webHidden/>
          </w:rPr>
          <w:instrText xml:space="preserve"> PAGEREF _Toc343699849 \h </w:instrText>
        </w:r>
        <w:r>
          <w:rPr>
            <w:noProof/>
            <w:webHidden/>
          </w:rPr>
        </w:r>
        <w:r>
          <w:rPr>
            <w:noProof/>
            <w:webHidden/>
          </w:rPr>
          <w:fldChar w:fldCharType="separate"/>
        </w:r>
        <w:r>
          <w:rPr>
            <w:noProof/>
            <w:webHidden/>
          </w:rPr>
          <w:t>9</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50" w:history="1">
        <w:r w:rsidRPr="00A34C50">
          <w:rPr>
            <w:rStyle w:val="Hyperlink"/>
            <w:noProof/>
          </w:rPr>
          <w:t>8. Proposal for a Regulation of the European Parliament and of the Council Implementing the bilateral safeguard clause and the stabilisation mechanism for bananas of the Trade Agreement between the European Union and its Member States, of the one part, and Colombia and Peru, of the other part [First reading] (LA + S) = Adoption of the legislative act</w:t>
        </w:r>
        <w:r>
          <w:rPr>
            <w:noProof/>
            <w:webHidden/>
          </w:rPr>
          <w:tab/>
        </w:r>
        <w:r>
          <w:rPr>
            <w:noProof/>
            <w:webHidden/>
          </w:rPr>
          <w:fldChar w:fldCharType="begin"/>
        </w:r>
        <w:r>
          <w:rPr>
            <w:noProof/>
            <w:webHidden/>
          </w:rPr>
          <w:instrText xml:space="preserve"> PAGEREF _Toc343699850 \h </w:instrText>
        </w:r>
        <w:r>
          <w:rPr>
            <w:noProof/>
            <w:webHidden/>
          </w:rPr>
        </w:r>
        <w:r>
          <w:rPr>
            <w:noProof/>
            <w:webHidden/>
          </w:rPr>
          <w:fldChar w:fldCharType="separate"/>
        </w:r>
        <w:r>
          <w:rPr>
            <w:noProof/>
            <w:webHidden/>
          </w:rPr>
          <w:t>10</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51" w:history="1">
        <w:r w:rsidRPr="00A34C50">
          <w:rPr>
            <w:rStyle w:val="Hyperlink"/>
            <w:noProof/>
          </w:rPr>
          <w:t>9. Proposal for a Regulation of the European Parliament and of the Council Implementing the bilateral safeguard clause and the stabilisation mechanism for bananas of the Agreement establishing an Association between the European Union and its Member States on the one hand, and Central America on the other [First reading] (LA + S)= Adoption of the legislative act</w:t>
        </w:r>
        <w:r>
          <w:rPr>
            <w:noProof/>
            <w:webHidden/>
          </w:rPr>
          <w:tab/>
        </w:r>
        <w:r>
          <w:rPr>
            <w:noProof/>
            <w:webHidden/>
          </w:rPr>
          <w:fldChar w:fldCharType="begin"/>
        </w:r>
        <w:r>
          <w:rPr>
            <w:noProof/>
            <w:webHidden/>
          </w:rPr>
          <w:instrText xml:space="preserve"> PAGEREF _Toc343699851 \h </w:instrText>
        </w:r>
        <w:r>
          <w:rPr>
            <w:noProof/>
            <w:webHidden/>
          </w:rPr>
        </w:r>
        <w:r>
          <w:rPr>
            <w:noProof/>
            <w:webHidden/>
          </w:rPr>
          <w:fldChar w:fldCharType="separate"/>
        </w:r>
        <w:r>
          <w:rPr>
            <w:noProof/>
            <w:webHidden/>
          </w:rPr>
          <w:t>10</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52" w:history="1">
        <w:r w:rsidRPr="00A34C50">
          <w:rPr>
            <w:rStyle w:val="Hyperlink"/>
            <w:noProof/>
          </w:rPr>
          <w:t>10. Special report No 15/2012: Management of conflict of interest in selected EU Agencies = Draft Council conclusions</w:t>
        </w:r>
        <w:r>
          <w:rPr>
            <w:noProof/>
            <w:webHidden/>
          </w:rPr>
          <w:tab/>
        </w:r>
        <w:r>
          <w:rPr>
            <w:noProof/>
            <w:webHidden/>
          </w:rPr>
          <w:fldChar w:fldCharType="begin"/>
        </w:r>
        <w:r>
          <w:rPr>
            <w:noProof/>
            <w:webHidden/>
          </w:rPr>
          <w:instrText xml:space="preserve"> PAGEREF _Toc343699852 \h </w:instrText>
        </w:r>
        <w:r>
          <w:rPr>
            <w:noProof/>
            <w:webHidden/>
          </w:rPr>
        </w:r>
        <w:r>
          <w:rPr>
            <w:noProof/>
            <w:webHidden/>
          </w:rPr>
          <w:fldChar w:fldCharType="separate"/>
        </w:r>
        <w:r>
          <w:rPr>
            <w:noProof/>
            <w:webHidden/>
          </w:rPr>
          <w:t>11</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53" w:history="1">
        <w:r w:rsidRPr="00A34C50">
          <w:rPr>
            <w:rStyle w:val="Hyperlink"/>
            <w:noProof/>
          </w:rPr>
          <w:t>11. Proposal for a Regulation of the European Parliament and of the Council on the European system of national and regional accounts in the European Union (ESA 2010) [First reading] = Approval of the final compromise text</w:t>
        </w:r>
        <w:r>
          <w:rPr>
            <w:noProof/>
            <w:webHidden/>
          </w:rPr>
          <w:tab/>
        </w:r>
        <w:r>
          <w:rPr>
            <w:noProof/>
            <w:webHidden/>
          </w:rPr>
          <w:fldChar w:fldCharType="begin"/>
        </w:r>
        <w:r>
          <w:rPr>
            <w:noProof/>
            <w:webHidden/>
          </w:rPr>
          <w:instrText xml:space="preserve"> PAGEREF _Toc343699853 \h </w:instrText>
        </w:r>
        <w:r>
          <w:rPr>
            <w:noProof/>
            <w:webHidden/>
          </w:rPr>
        </w:r>
        <w:r>
          <w:rPr>
            <w:noProof/>
            <w:webHidden/>
          </w:rPr>
          <w:fldChar w:fldCharType="separate"/>
        </w:r>
        <w:r>
          <w:rPr>
            <w:noProof/>
            <w:webHidden/>
          </w:rPr>
          <w:t>12</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54" w:history="1">
        <w:r w:rsidRPr="00A34C50">
          <w:rPr>
            <w:rStyle w:val="Hyperlink"/>
            <w:noProof/>
          </w:rPr>
          <w:t>12. Revised rules for markets in financial instruments [First reading] (LA)a) Proposal for a Directive of the European Parliament and of the Council on markets in financial instruments repealing  2004/39/EC of the European Parliament and of the Council (Recast) (MiFID)'b) Proposal for a Regulation of the European Parliament and of the Council on markets in financial instruments and amending Regulation [EMIR] on OTC derivatives, central counterparties and trade repositories (MiFIR)- Progress report</w:t>
        </w:r>
        <w:r>
          <w:rPr>
            <w:noProof/>
            <w:webHidden/>
          </w:rPr>
          <w:tab/>
        </w:r>
        <w:r>
          <w:rPr>
            <w:noProof/>
            <w:webHidden/>
          </w:rPr>
          <w:fldChar w:fldCharType="begin"/>
        </w:r>
        <w:r>
          <w:rPr>
            <w:noProof/>
            <w:webHidden/>
          </w:rPr>
          <w:instrText xml:space="preserve"> PAGEREF _Toc343699854 \h </w:instrText>
        </w:r>
        <w:r>
          <w:rPr>
            <w:noProof/>
            <w:webHidden/>
          </w:rPr>
        </w:r>
        <w:r>
          <w:rPr>
            <w:noProof/>
            <w:webHidden/>
          </w:rPr>
          <w:fldChar w:fldCharType="separate"/>
        </w:r>
        <w:r>
          <w:rPr>
            <w:noProof/>
            <w:webHidden/>
          </w:rPr>
          <w:t>13</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55" w:history="1">
        <w:r w:rsidRPr="00A34C50">
          <w:rPr>
            <w:rStyle w:val="Hyperlink"/>
            <w:noProof/>
          </w:rPr>
          <w:t>13. Proposal for a Council Regulation fixing for 2013 and 2014 the fishing opportunities for EU vessels for certain deep-sea fish stocks = Adoption</w:t>
        </w:r>
        <w:r>
          <w:rPr>
            <w:noProof/>
            <w:webHidden/>
          </w:rPr>
          <w:tab/>
        </w:r>
        <w:r>
          <w:rPr>
            <w:noProof/>
            <w:webHidden/>
          </w:rPr>
          <w:fldChar w:fldCharType="begin"/>
        </w:r>
        <w:r>
          <w:rPr>
            <w:noProof/>
            <w:webHidden/>
          </w:rPr>
          <w:instrText xml:space="preserve"> PAGEREF _Toc343699855 \h </w:instrText>
        </w:r>
        <w:r>
          <w:rPr>
            <w:noProof/>
            <w:webHidden/>
          </w:rPr>
        </w:r>
        <w:r>
          <w:rPr>
            <w:noProof/>
            <w:webHidden/>
          </w:rPr>
          <w:fldChar w:fldCharType="separate"/>
        </w:r>
        <w:r>
          <w:rPr>
            <w:noProof/>
            <w:webHidden/>
          </w:rPr>
          <w:t>14</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56" w:history="1">
        <w:r w:rsidRPr="00A34C50">
          <w:rPr>
            <w:rStyle w:val="Hyperlink"/>
            <w:noProof/>
          </w:rPr>
          <w:t>14. Council Recommendation on the validation of non-formal and informal learning</w:t>
        </w:r>
        <w:r>
          <w:rPr>
            <w:noProof/>
            <w:webHidden/>
          </w:rPr>
          <w:tab/>
        </w:r>
        <w:r>
          <w:rPr>
            <w:noProof/>
            <w:webHidden/>
          </w:rPr>
          <w:fldChar w:fldCharType="begin"/>
        </w:r>
        <w:r>
          <w:rPr>
            <w:noProof/>
            <w:webHidden/>
          </w:rPr>
          <w:instrText xml:space="preserve"> PAGEREF _Toc343699856 \h </w:instrText>
        </w:r>
        <w:r>
          <w:rPr>
            <w:noProof/>
            <w:webHidden/>
          </w:rPr>
        </w:r>
        <w:r>
          <w:rPr>
            <w:noProof/>
            <w:webHidden/>
          </w:rPr>
          <w:fldChar w:fldCharType="separate"/>
        </w:r>
        <w:r>
          <w:rPr>
            <w:noProof/>
            <w:webHidden/>
          </w:rPr>
          <w:t>15</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57" w:history="1">
        <w:r w:rsidRPr="00A34C50">
          <w:rPr>
            <w:rStyle w:val="Hyperlink"/>
            <w:noProof/>
          </w:rPr>
          <w:t>15. Proposal for a Council directive on consular protection for citizens of the Union abroad = State of play</w:t>
        </w:r>
        <w:r>
          <w:rPr>
            <w:noProof/>
            <w:webHidden/>
          </w:rPr>
          <w:tab/>
        </w:r>
        <w:r>
          <w:rPr>
            <w:noProof/>
            <w:webHidden/>
          </w:rPr>
          <w:fldChar w:fldCharType="begin"/>
        </w:r>
        <w:r>
          <w:rPr>
            <w:noProof/>
            <w:webHidden/>
          </w:rPr>
          <w:instrText xml:space="preserve"> PAGEREF _Toc343699857 \h </w:instrText>
        </w:r>
        <w:r>
          <w:rPr>
            <w:noProof/>
            <w:webHidden/>
          </w:rPr>
        </w:r>
        <w:r>
          <w:rPr>
            <w:noProof/>
            <w:webHidden/>
          </w:rPr>
          <w:fldChar w:fldCharType="separate"/>
        </w:r>
        <w:r>
          <w:rPr>
            <w:noProof/>
            <w:webHidden/>
          </w:rPr>
          <w:t>16</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58" w:history="1">
        <w:r w:rsidRPr="00A34C50">
          <w:rPr>
            <w:rStyle w:val="Hyperlink"/>
            <w:noProof/>
          </w:rPr>
          <w:t>16. CCA Review Process: Presidency Report on "Arrangements for Crisis Coordination at EU political level"</w:t>
        </w:r>
        <w:r>
          <w:rPr>
            <w:noProof/>
            <w:webHidden/>
          </w:rPr>
          <w:tab/>
        </w:r>
        <w:r>
          <w:rPr>
            <w:noProof/>
            <w:webHidden/>
          </w:rPr>
          <w:fldChar w:fldCharType="begin"/>
        </w:r>
        <w:r>
          <w:rPr>
            <w:noProof/>
            <w:webHidden/>
          </w:rPr>
          <w:instrText xml:space="preserve"> PAGEREF _Toc343699858 \h </w:instrText>
        </w:r>
        <w:r>
          <w:rPr>
            <w:noProof/>
            <w:webHidden/>
          </w:rPr>
        </w:r>
        <w:r>
          <w:rPr>
            <w:noProof/>
            <w:webHidden/>
          </w:rPr>
          <w:fldChar w:fldCharType="separate"/>
        </w:r>
        <w:r>
          <w:rPr>
            <w:noProof/>
            <w:webHidden/>
          </w:rPr>
          <w:t>16</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59" w:history="1">
        <w:r w:rsidRPr="00A34C50">
          <w:rPr>
            <w:rStyle w:val="Hyperlink"/>
            <w:noProof/>
          </w:rPr>
          <w:t>17. EU Support for Sustainable Change in Transition Societies = Draft Council Conclusions</w:t>
        </w:r>
        <w:r>
          <w:rPr>
            <w:noProof/>
            <w:webHidden/>
          </w:rPr>
          <w:tab/>
        </w:r>
        <w:r>
          <w:rPr>
            <w:noProof/>
            <w:webHidden/>
          </w:rPr>
          <w:fldChar w:fldCharType="begin"/>
        </w:r>
        <w:r>
          <w:rPr>
            <w:noProof/>
            <w:webHidden/>
          </w:rPr>
          <w:instrText xml:space="preserve"> PAGEREF _Toc343699859 \h </w:instrText>
        </w:r>
        <w:r>
          <w:rPr>
            <w:noProof/>
            <w:webHidden/>
          </w:rPr>
        </w:r>
        <w:r>
          <w:rPr>
            <w:noProof/>
            <w:webHidden/>
          </w:rPr>
          <w:fldChar w:fldCharType="separate"/>
        </w:r>
        <w:r>
          <w:rPr>
            <w:noProof/>
            <w:webHidden/>
          </w:rPr>
          <w:t>17</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60" w:history="1">
        <w:r w:rsidRPr="00A34C50">
          <w:rPr>
            <w:rStyle w:val="Hyperlink"/>
            <w:noProof/>
          </w:rPr>
          <w:t>18. Draft Council Conclusions on the European Court of Auditors' Special Report No 13/2012: "European Union Development Assistance for Drinking-Water Supply and Basic Sanitation in Sub-Saharan Countries" = Adoption</w:t>
        </w:r>
        <w:r>
          <w:rPr>
            <w:noProof/>
            <w:webHidden/>
          </w:rPr>
          <w:tab/>
        </w:r>
        <w:r>
          <w:rPr>
            <w:noProof/>
            <w:webHidden/>
          </w:rPr>
          <w:fldChar w:fldCharType="begin"/>
        </w:r>
        <w:r>
          <w:rPr>
            <w:noProof/>
            <w:webHidden/>
          </w:rPr>
          <w:instrText xml:space="preserve"> PAGEREF _Toc343699860 \h </w:instrText>
        </w:r>
        <w:r>
          <w:rPr>
            <w:noProof/>
            <w:webHidden/>
          </w:rPr>
        </w:r>
        <w:r>
          <w:rPr>
            <w:noProof/>
            <w:webHidden/>
          </w:rPr>
          <w:fldChar w:fldCharType="separate"/>
        </w:r>
        <w:r>
          <w:rPr>
            <w:noProof/>
            <w:webHidden/>
          </w:rPr>
          <w:t>18</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61" w:history="1">
        <w:r w:rsidRPr="00A34C50">
          <w:rPr>
            <w:rStyle w:val="Hyperlink"/>
            <w:noProof/>
          </w:rPr>
          <w:t>19. Draft Council conclusions on EU relations with the Principality of Andorra, the Principality of Monaco and the Republic of San Marino</w:t>
        </w:r>
        <w:r>
          <w:rPr>
            <w:noProof/>
            <w:webHidden/>
          </w:rPr>
          <w:tab/>
        </w:r>
        <w:r>
          <w:rPr>
            <w:noProof/>
            <w:webHidden/>
          </w:rPr>
          <w:fldChar w:fldCharType="begin"/>
        </w:r>
        <w:r>
          <w:rPr>
            <w:noProof/>
            <w:webHidden/>
          </w:rPr>
          <w:instrText xml:space="preserve"> PAGEREF _Toc343699861 \h </w:instrText>
        </w:r>
        <w:r>
          <w:rPr>
            <w:noProof/>
            <w:webHidden/>
          </w:rPr>
        </w:r>
        <w:r>
          <w:rPr>
            <w:noProof/>
            <w:webHidden/>
          </w:rPr>
          <w:fldChar w:fldCharType="separate"/>
        </w:r>
        <w:r>
          <w:rPr>
            <w:noProof/>
            <w:webHidden/>
          </w:rPr>
          <w:t>19</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62" w:history="1">
        <w:r w:rsidRPr="00A34C50">
          <w:rPr>
            <w:rStyle w:val="Hyperlink"/>
            <w:noProof/>
          </w:rPr>
          <w:t>20. Council Decision amending Common Position 2003/495/CFSP on Iraq</w:t>
        </w:r>
        <w:r>
          <w:rPr>
            <w:noProof/>
            <w:webHidden/>
          </w:rPr>
          <w:tab/>
        </w:r>
        <w:r>
          <w:rPr>
            <w:noProof/>
            <w:webHidden/>
          </w:rPr>
          <w:fldChar w:fldCharType="begin"/>
        </w:r>
        <w:r>
          <w:rPr>
            <w:noProof/>
            <w:webHidden/>
          </w:rPr>
          <w:instrText xml:space="preserve"> PAGEREF _Toc343699862 \h </w:instrText>
        </w:r>
        <w:r>
          <w:rPr>
            <w:noProof/>
            <w:webHidden/>
          </w:rPr>
        </w:r>
        <w:r>
          <w:rPr>
            <w:noProof/>
            <w:webHidden/>
          </w:rPr>
          <w:fldChar w:fldCharType="separate"/>
        </w:r>
        <w:r>
          <w:rPr>
            <w:noProof/>
            <w:webHidden/>
          </w:rPr>
          <w:t>19</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63" w:history="1">
        <w:r w:rsidRPr="00A34C50">
          <w:rPr>
            <w:rStyle w:val="Hyperlink"/>
            <w:noProof/>
          </w:rPr>
          <w:t>21. Council Decision amending and extending Decision 2010/96/CFSP on a European Union military mission to contribute to the training of Somali security forces</w:t>
        </w:r>
        <w:r>
          <w:rPr>
            <w:noProof/>
            <w:webHidden/>
          </w:rPr>
          <w:tab/>
        </w:r>
        <w:r>
          <w:rPr>
            <w:noProof/>
            <w:webHidden/>
          </w:rPr>
          <w:fldChar w:fldCharType="begin"/>
        </w:r>
        <w:r>
          <w:rPr>
            <w:noProof/>
            <w:webHidden/>
          </w:rPr>
          <w:instrText xml:space="preserve"> PAGEREF _Toc343699863 \h </w:instrText>
        </w:r>
        <w:r>
          <w:rPr>
            <w:noProof/>
            <w:webHidden/>
          </w:rPr>
        </w:r>
        <w:r>
          <w:rPr>
            <w:noProof/>
            <w:webHidden/>
          </w:rPr>
          <w:fldChar w:fldCharType="separate"/>
        </w:r>
        <w:r>
          <w:rPr>
            <w:noProof/>
            <w:webHidden/>
          </w:rPr>
          <w:t>20</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64" w:history="1">
        <w:r w:rsidRPr="00A34C50">
          <w:rPr>
            <w:rStyle w:val="Hyperlink"/>
            <w:noProof/>
          </w:rPr>
          <w:t>22. Proposal for a Regulation of the European Parliament and of the Council amending Council Regulation (EC) No 562/2006 of the European Parliament and of the Council establishing a Community Code on the rules governing the movement of persons across borders (Schengen Borders Code) and the Convention implementing the Schengen Agreement [First reading] = Approval of the final compromise text with a view to an agreement at first reading</w:t>
        </w:r>
        <w:r>
          <w:rPr>
            <w:noProof/>
            <w:webHidden/>
          </w:rPr>
          <w:tab/>
        </w:r>
        <w:r>
          <w:rPr>
            <w:noProof/>
            <w:webHidden/>
          </w:rPr>
          <w:fldChar w:fldCharType="begin"/>
        </w:r>
        <w:r>
          <w:rPr>
            <w:noProof/>
            <w:webHidden/>
          </w:rPr>
          <w:instrText xml:space="preserve"> PAGEREF _Toc343699864 \h </w:instrText>
        </w:r>
        <w:r>
          <w:rPr>
            <w:noProof/>
            <w:webHidden/>
          </w:rPr>
        </w:r>
        <w:r>
          <w:rPr>
            <w:noProof/>
            <w:webHidden/>
          </w:rPr>
          <w:fldChar w:fldCharType="separate"/>
        </w:r>
        <w:r>
          <w:rPr>
            <w:noProof/>
            <w:webHidden/>
          </w:rPr>
          <w:t>21</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65" w:history="1">
        <w:r w:rsidRPr="00A34C50">
          <w:rPr>
            <w:rStyle w:val="Hyperlink"/>
            <w:noProof/>
          </w:rPr>
          <w:t>23. (poss.) Council Directive amending Directive 93/109/EC as regards certain detailed arrangements for the exercise of the right to stand as a candidate in elections to the European Parliament for citizens of the Union residing in a Member State of which they are not nationals = Adoption</w:t>
        </w:r>
        <w:r>
          <w:rPr>
            <w:noProof/>
            <w:webHidden/>
          </w:rPr>
          <w:tab/>
        </w:r>
        <w:r>
          <w:rPr>
            <w:noProof/>
            <w:webHidden/>
          </w:rPr>
          <w:fldChar w:fldCharType="begin"/>
        </w:r>
        <w:r>
          <w:rPr>
            <w:noProof/>
            <w:webHidden/>
          </w:rPr>
          <w:instrText xml:space="preserve"> PAGEREF _Toc343699865 \h </w:instrText>
        </w:r>
        <w:r>
          <w:rPr>
            <w:noProof/>
            <w:webHidden/>
          </w:rPr>
        </w:r>
        <w:r>
          <w:rPr>
            <w:noProof/>
            <w:webHidden/>
          </w:rPr>
          <w:fldChar w:fldCharType="separate"/>
        </w:r>
        <w:r>
          <w:rPr>
            <w:noProof/>
            <w:webHidden/>
          </w:rPr>
          <w:t>22</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66" w:history="1">
        <w:r w:rsidRPr="00A34C50">
          <w:rPr>
            <w:rStyle w:val="Hyperlink"/>
            <w:noProof/>
          </w:rPr>
          <w:t>24. Council conclusions on a request to the European Union Agency for Fundamental Rights in accordance with Article 4 (1) c) and d) of the Council Regulation (EC) No 168/2007 of 15 February 2007 establishing a European Union Agency for Fundamental Rights = Adoption</w:t>
        </w:r>
        <w:r>
          <w:rPr>
            <w:noProof/>
            <w:webHidden/>
          </w:rPr>
          <w:tab/>
        </w:r>
        <w:r>
          <w:rPr>
            <w:noProof/>
            <w:webHidden/>
          </w:rPr>
          <w:fldChar w:fldCharType="begin"/>
        </w:r>
        <w:r>
          <w:rPr>
            <w:noProof/>
            <w:webHidden/>
          </w:rPr>
          <w:instrText xml:space="preserve"> PAGEREF _Toc343699866 \h </w:instrText>
        </w:r>
        <w:r>
          <w:rPr>
            <w:noProof/>
            <w:webHidden/>
          </w:rPr>
        </w:r>
        <w:r>
          <w:rPr>
            <w:noProof/>
            <w:webHidden/>
          </w:rPr>
          <w:fldChar w:fldCharType="separate"/>
        </w:r>
        <w:r>
          <w:rPr>
            <w:noProof/>
            <w:webHidden/>
          </w:rPr>
          <w:t>23</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67" w:history="1">
        <w:r w:rsidRPr="00A34C50">
          <w:rPr>
            <w:rStyle w:val="Hyperlink"/>
            <w:noProof/>
          </w:rPr>
          <w:t>25. Draft Council Decision on the launch of automated data exchange with regard to DNA data in the Republic of Poland</w:t>
        </w:r>
        <w:r>
          <w:rPr>
            <w:noProof/>
            <w:webHidden/>
          </w:rPr>
          <w:tab/>
        </w:r>
        <w:r>
          <w:rPr>
            <w:noProof/>
            <w:webHidden/>
          </w:rPr>
          <w:fldChar w:fldCharType="begin"/>
        </w:r>
        <w:r>
          <w:rPr>
            <w:noProof/>
            <w:webHidden/>
          </w:rPr>
          <w:instrText xml:space="preserve"> PAGEREF _Toc343699867 \h </w:instrText>
        </w:r>
        <w:r>
          <w:rPr>
            <w:noProof/>
            <w:webHidden/>
          </w:rPr>
        </w:r>
        <w:r>
          <w:rPr>
            <w:noProof/>
            <w:webHidden/>
          </w:rPr>
          <w:fldChar w:fldCharType="separate"/>
        </w:r>
        <w:r>
          <w:rPr>
            <w:noProof/>
            <w:webHidden/>
          </w:rPr>
          <w:t>24</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68" w:history="1">
        <w:r w:rsidRPr="00A34C50">
          <w:rPr>
            <w:rStyle w:val="Hyperlink"/>
            <w:noProof/>
          </w:rPr>
          <w:t>26. Draft Council Act laying down the mortality tables</w:t>
        </w:r>
        <w:r>
          <w:rPr>
            <w:noProof/>
            <w:webHidden/>
          </w:rPr>
          <w:tab/>
        </w:r>
        <w:r>
          <w:rPr>
            <w:noProof/>
            <w:webHidden/>
          </w:rPr>
          <w:fldChar w:fldCharType="begin"/>
        </w:r>
        <w:r>
          <w:rPr>
            <w:noProof/>
            <w:webHidden/>
          </w:rPr>
          <w:instrText xml:space="preserve"> PAGEREF _Toc343699868 \h </w:instrText>
        </w:r>
        <w:r>
          <w:rPr>
            <w:noProof/>
            <w:webHidden/>
          </w:rPr>
        </w:r>
        <w:r>
          <w:rPr>
            <w:noProof/>
            <w:webHidden/>
          </w:rPr>
          <w:fldChar w:fldCharType="separate"/>
        </w:r>
        <w:r>
          <w:rPr>
            <w:noProof/>
            <w:webHidden/>
          </w:rPr>
          <w:t>24</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69" w:history="1">
        <w:r w:rsidRPr="00A34C50">
          <w:rPr>
            <w:rStyle w:val="Hyperlink"/>
            <w:noProof/>
          </w:rPr>
          <w:t>27. Libya a) Council Decision amending Decision 2011/137/CFSP concerning restrictive measures in view of the situation in Libya b) Council Regulation amending Regulation (EU) No 204/2011 concerning restrictive measures in view of the situation in Libya</w:t>
        </w:r>
        <w:r>
          <w:rPr>
            <w:noProof/>
            <w:webHidden/>
          </w:rPr>
          <w:tab/>
        </w:r>
        <w:r>
          <w:rPr>
            <w:noProof/>
            <w:webHidden/>
          </w:rPr>
          <w:fldChar w:fldCharType="begin"/>
        </w:r>
        <w:r>
          <w:rPr>
            <w:noProof/>
            <w:webHidden/>
          </w:rPr>
          <w:instrText xml:space="preserve"> PAGEREF _Toc343699869 \h </w:instrText>
        </w:r>
        <w:r>
          <w:rPr>
            <w:noProof/>
            <w:webHidden/>
          </w:rPr>
        </w:r>
        <w:r>
          <w:rPr>
            <w:noProof/>
            <w:webHidden/>
          </w:rPr>
          <w:fldChar w:fldCharType="separate"/>
        </w:r>
        <w:r>
          <w:rPr>
            <w:noProof/>
            <w:webHidden/>
          </w:rPr>
          <w:t>25</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70" w:history="1">
        <w:r w:rsidRPr="00A34C50">
          <w:rPr>
            <w:rStyle w:val="Hyperlink"/>
            <w:noProof/>
          </w:rPr>
          <w:t>28. (poss.) Council Decision on a European Union military mission to contribute to the training of the Malian Armed Forces (EUTM Mali)</w:t>
        </w:r>
        <w:r>
          <w:rPr>
            <w:noProof/>
            <w:webHidden/>
          </w:rPr>
          <w:tab/>
        </w:r>
        <w:r>
          <w:rPr>
            <w:noProof/>
            <w:webHidden/>
          </w:rPr>
          <w:fldChar w:fldCharType="begin"/>
        </w:r>
        <w:r>
          <w:rPr>
            <w:noProof/>
            <w:webHidden/>
          </w:rPr>
          <w:instrText xml:space="preserve"> PAGEREF _Toc343699870 \h </w:instrText>
        </w:r>
        <w:r>
          <w:rPr>
            <w:noProof/>
            <w:webHidden/>
          </w:rPr>
        </w:r>
        <w:r>
          <w:rPr>
            <w:noProof/>
            <w:webHidden/>
          </w:rPr>
          <w:fldChar w:fldCharType="separate"/>
        </w:r>
        <w:r>
          <w:rPr>
            <w:noProof/>
            <w:webHidden/>
          </w:rPr>
          <w:t>26</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71" w:history="1">
        <w:r w:rsidRPr="00A34C50">
          <w:rPr>
            <w:rStyle w:val="Hyperlink"/>
            <w:noProof/>
          </w:rPr>
          <w:t>29. Access arrangements for meetings of the Council and its preparatory bodies</w:t>
        </w:r>
        <w:r>
          <w:rPr>
            <w:noProof/>
            <w:webHidden/>
          </w:rPr>
          <w:tab/>
        </w:r>
        <w:r>
          <w:rPr>
            <w:noProof/>
            <w:webHidden/>
          </w:rPr>
          <w:fldChar w:fldCharType="begin"/>
        </w:r>
        <w:r>
          <w:rPr>
            <w:noProof/>
            <w:webHidden/>
          </w:rPr>
          <w:instrText xml:space="preserve"> PAGEREF _Toc343699871 \h </w:instrText>
        </w:r>
        <w:r>
          <w:rPr>
            <w:noProof/>
            <w:webHidden/>
          </w:rPr>
        </w:r>
        <w:r>
          <w:rPr>
            <w:noProof/>
            <w:webHidden/>
          </w:rPr>
          <w:fldChar w:fldCharType="separate"/>
        </w:r>
        <w:r>
          <w:rPr>
            <w:noProof/>
            <w:webHidden/>
          </w:rPr>
          <w:t>27</w:t>
        </w:r>
        <w:r>
          <w:rPr>
            <w:noProof/>
            <w:webHidden/>
          </w:rPr>
          <w:fldChar w:fldCharType="end"/>
        </w:r>
      </w:hyperlink>
    </w:p>
    <w:p w:rsidR="002A3067" w:rsidRDefault="002A3067">
      <w:pPr>
        <w:pStyle w:val="TOC1"/>
        <w:tabs>
          <w:tab w:val="right" w:leader="dot" w:pos="7644"/>
        </w:tabs>
        <w:rPr>
          <w:rFonts w:ascii="Calibri" w:hAnsi="Calibri"/>
          <w:b w:val="0"/>
          <w:bCs w:val="0"/>
          <w:caps w:val="0"/>
          <w:noProof/>
          <w:sz w:val="22"/>
          <w:szCs w:val="22"/>
          <w:lang w:eastAsia="sv-SE"/>
        </w:rPr>
      </w:pPr>
      <w:hyperlink w:anchor="_Toc343699872" w:history="1">
        <w:r w:rsidRPr="00A34C50">
          <w:rPr>
            <w:rStyle w:val="Hyperlink"/>
            <w:noProof/>
          </w:rPr>
          <w:t>Troliga A-punkter inför kommande rådsmöten som förväntas godkännas vid Coreper I 2012-12-21.</w:t>
        </w:r>
        <w:r>
          <w:rPr>
            <w:noProof/>
            <w:webHidden/>
          </w:rPr>
          <w:tab/>
        </w:r>
        <w:r>
          <w:rPr>
            <w:noProof/>
            <w:webHidden/>
          </w:rPr>
          <w:fldChar w:fldCharType="begin"/>
        </w:r>
        <w:r>
          <w:rPr>
            <w:noProof/>
            <w:webHidden/>
          </w:rPr>
          <w:instrText xml:space="preserve"> PAGEREF _Toc343699872 \h </w:instrText>
        </w:r>
        <w:r>
          <w:rPr>
            <w:noProof/>
            <w:webHidden/>
          </w:rPr>
        </w:r>
        <w:r>
          <w:rPr>
            <w:noProof/>
            <w:webHidden/>
          </w:rPr>
          <w:fldChar w:fldCharType="separate"/>
        </w:r>
        <w:r>
          <w:rPr>
            <w:noProof/>
            <w:webHidden/>
          </w:rPr>
          <w:t>27</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73" w:history="1">
        <w:r w:rsidRPr="00A34C50">
          <w:rPr>
            <w:rStyle w:val="Hyperlink"/>
            <w:noProof/>
          </w:rPr>
          <w:t>30. Replies to written questions put to the Council by Members of the European Parliament (+)</w:t>
        </w:r>
        <w:r>
          <w:rPr>
            <w:noProof/>
            <w:webHidden/>
          </w:rPr>
          <w:tab/>
        </w:r>
        <w:r>
          <w:rPr>
            <w:noProof/>
            <w:webHidden/>
          </w:rPr>
          <w:fldChar w:fldCharType="begin"/>
        </w:r>
        <w:r>
          <w:rPr>
            <w:noProof/>
            <w:webHidden/>
          </w:rPr>
          <w:instrText xml:space="preserve"> PAGEREF _Toc343699873 \h </w:instrText>
        </w:r>
        <w:r>
          <w:rPr>
            <w:noProof/>
            <w:webHidden/>
          </w:rPr>
        </w:r>
        <w:r>
          <w:rPr>
            <w:noProof/>
            <w:webHidden/>
          </w:rPr>
          <w:fldChar w:fldCharType="separate"/>
        </w:r>
        <w:r>
          <w:rPr>
            <w:noProof/>
            <w:webHidden/>
          </w:rPr>
          <w:t>27</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74" w:history="1">
        <w:r w:rsidRPr="00A34C50">
          <w:rPr>
            <w:rStyle w:val="Hyperlink"/>
            <w:noProof/>
          </w:rPr>
          <w:t>31. Proposal for a Regulation of the European Parliament and of the Council amending Regulation (EC) No 1185/2003 on the removal of fins of sharks on board vessels ) (First reading) (Legislative deliberation) = Endorsement of the agreement of the Working Party</w:t>
        </w:r>
        <w:r>
          <w:rPr>
            <w:noProof/>
            <w:webHidden/>
          </w:rPr>
          <w:tab/>
        </w:r>
        <w:r>
          <w:rPr>
            <w:noProof/>
            <w:webHidden/>
          </w:rPr>
          <w:fldChar w:fldCharType="begin"/>
        </w:r>
        <w:r>
          <w:rPr>
            <w:noProof/>
            <w:webHidden/>
          </w:rPr>
          <w:instrText xml:space="preserve"> PAGEREF _Toc343699874 \h </w:instrText>
        </w:r>
        <w:r>
          <w:rPr>
            <w:noProof/>
            <w:webHidden/>
          </w:rPr>
        </w:r>
        <w:r>
          <w:rPr>
            <w:noProof/>
            <w:webHidden/>
          </w:rPr>
          <w:fldChar w:fldCharType="separate"/>
        </w:r>
        <w:r>
          <w:rPr>
            <w:noProof/>
            <w:webHidden/>
          </w:rPr>
          <w:t>28</w:t>
        </w:r>
        <w:r>
          <w:rPr>
            <w:noProof/>
            <w:webHidden/>
          </w:rPr>
          <w:fldChar w:fldCharType="end"/>
        </w:r>
      </w:hyperlink>
    </w:p>
    <w:p w:rsidR="002A3067" w:rsidRDefault="002A3067">
      <w:pPr>
        <w:pStyle w:val="TOC1"/>
        <w:tabs>
          <w:tab w:val="right" w:leader="dot" w:pos="7644"/>
        </w:tabs>
        <w:rPr>
          <w:rFonts w:ascii="Calibri" w:hAnsi="Calibri"/>
          <w:b w:val="0"/>
          <w:bCs w:val="0"/>
          <w:caps w:val="0"/>
          <w:noProof/>
          <w:sz w:val="22"/>
          <w:szCs w:val="22"/>
          <w:lang w:eastAsia="sv-SE"/>
        </w:rPr>
      </w:pPr>
      <w:hyperlink w:anchor="_Toc343699875" w:history="1">
        <w:r w:rsidRPr="00A34C50">
          <w:rPr>
            <w:rStyle w:val="Hyperlink"/>
            <w:noProof/>
          </w:rPr>
          <w:t>Färdigförhandlad II-punkt från möte i Coreper I 2012-12-04 som kan tas som A-punkt vid kommande rådsmöte</w:t>
        </w:r>
        <w:r>
          <w:rPr>
            <w:noProof/>
            <w:webHidden/>
          </w:rPr>
          <w:tab/>
        </w:r>
        <w:r>
          <w:rPr>
            <w:noProof/>
            <w:webHidden/>
          </w:rPr>
          <w:fldChar w:fldCharType="begin"/>
        </w:r>
        <w:r>
          <w:rPr>
            <w:noProof/>
            <w:webHidden/>
          </w:rPr>
          <w:instrText xml:space="preserve"> PAGEREF _Toc343699875 \h </w:instrText>
        </w:r>
        <w:r>
          <w:rPr>
            <w:noProof/>
            <w:webHidden/>
          </w:rPr>
        </w:r>
        <w:r>
          <w:rPr>
            <w:noProof/>
            <w:webHidden/>
          </w:rPr>
          <w:fldChar w:fldCharType="separate"/>
        </w:r>
        <w:r>
          <w:rPr>
            <w:noProof/>
            <w:webHidden/>
          </w:rPr>
          <w:t>29</w:t>
        </w:r>
        <w:r>
          <w:rPr>
            <w:noProof/>
            <w:webHidden/>
          </w:rPr>
          <w:fldChar w:fldCharType="end"/>
        </w:r>
      </w:hyperlink>
    </w:p>
    <w:p w:rsidR="002A3067" w:rsidRDefault="002A3067">
      <w:pPr>
        <w:pStyle w:val="TOC2"/>
        <w:tabs>
          <w:tab w:val="right" w:leader="dot" w:pos="7644"/>
        </w:tabs>
        <w:rPr>
          <w:rFonts w:ascii="Calibri" w:hAnsi="Calibri"/>
          <w:b w:val="0"/>
          <w:bCs w:val="0"/>
          <w:noProof/>
          <w:sz w:val="22"/>
          <w:szCs w:val="22"/>
          <w:lang w:eastAsia="sv-SE"/>
        </w:rPr>
      </w:pPr>
      <w:hyperlink w:anchor="_Toc343699876" w:history="1">
        <w:r w:rsidRPr="00A34C50">
          <w:rPr>
            <w:rStyle w:val="Hyperlink"/>
            <w:noProof/>
          </w:rPr>
          <w:t>Förslag till Europaparlamentet och rådets förordning om livsmedel för spädbarn och småbarn och om livsmedel för särskilda medicinska behov - Politisk överenskommelse</w:t>
        </w:r>
        <w:r>
          <w:rPr>
            <w:noProof/>
            <w:webHidden/>
          </w:rPr>
          <w:tab/>
        </w:r>
        <w:r>
          <w:rPr>
            <w:noProof/>
            <w:webHidden/>
          </w:rPr>
          <w:fldChar w:fldCharType="begin"/>
        </w:r>
        <w:r>
          <w:rPr>
            <w:noProof/>
            <w:webHidden/>
          </w:rPr>
          <w:instrText xml:space="preserve"> PAGEREF _Toc343699876 \h </w:instrText>
        </w:r>
        <w:r>
          <w:rPr>
            <w:noProof/>
            <w:webHidden/>
          </w:rPr>
        </w:r>
        <w:r>
          <w:rPr>
            <w:noProof/>
            <w:webHidden/>
          </w:rPr>
          <w:fldChar w:fldCharType="separate"/>
        </w:r>
        <w:r>
          <w:rPr>
            <w:noProof/>
            <w:webHidden/>
          </w:rPr>
          <w:t>29</w:t>
        </w:r>
        <w:r>
          <w:rPr>
            <w:noProof/>
            <w:webHidden/>
          </w:rPr>
          <w:fldChar w:fldCharType="end"/>
        </w:r>
      </w:hyperlink>
    </w:p>
    <w:p w:rsidR="002A3067" w:rsidRDefault="002A3067">
      <w:pPr>
        <w:pStyle w:val="RKnormal"/>
        <w:ind w:left="0"/>
        <w:rPr>
          <w:b/>
          <w:bCs/>
        </w:rPr>
      </w:pPr>
      <w:r>
        <w:rPr>
          <w:b/>
          <w:bCs/>
        </w:rPr>
        <w:fldChar w:fldCharType="end"/>
      </w:r>
    </w:p>
    <w:p w:rsidR="002A3067" w:rsidRDefault="002A3067">
      <w:pPr>
        <w:spacing w:line="240" w:lineRule="auto"/>
        <w:rPr>
          <w:b/>
          <w:bCs/>
        </w:rPr>
      </w:pPr>
      <w:r>
        <w:rPr>
          <w:b/>
          <w:bCs/>
        </w:rPr>
        <w:br w:type="page"/>
      </w:r>
    </w:p>
    <w:p w:rsidR="002A3067" w:rsidRDefault="002A3067">
      <w:pPr>
        <w:pStyle w:val="RKnormal"/>
        <w:ind w:left="0"/>
        <w:rPr>
          <w:b/>
          <w:bCs/>
        </w:rPr>
      </w:pPr>
    </w:p>
    <w:p w:rsidR="002A3067" w:rsidRDefault="002A3067">
      <w:pPr>
        <w:pStyle w:val="Heading1"/>
        <w:tabs>
          <w:tab w:val="clear" w:pos="1134"/>
          <w:tab w:val="left" w:pos="0"/>
        </w:tabs>
      </w:pPr>
      <w:bookmarkStart w:id="18" w:name="_Toc74025454"/>
      <w:bookmarkStart w:id="19" w:name="_Toc74369297"/>
      <w:bookmarkStart w:id="20" w:name="_Toc76374079"/>
      <w:bookmarkStart w:id="21" w:name="_Toc76376804"/>
      <w:bookmarkStart w:id="22" w:name="_Toc83178390"/>
      <w:bookmarkStart w:id="23" w:name="_Toc83791009"/>
      <w:bookmarkStart w:id="24" w:name="_Toc84329441"/>
      <w:bookmarkStart w:id="25" w:name="_Toc85613233"/>
      <w:bookmarkStart w:id="26" w:name="_Toc86487557"/>
      <w:bookmarkStart w:id="27" w:name="_Toc88295701"/>
      <w:bookmarkStart w:id="28" w:name="_Toc89243342"/>
      <w:bookmarkStart w:id="29" w:name="_Toc89773921"/>
      <w:bookmarkStart w:id="30" w:name="_Toc93308035"/>
      <w:bookmarkStart w:id="31" w:name="_Toc93311799"/>
      <w:bookmarkStart w:id="32" w:name="_Toc93482645"/>
      <w:bookmarkStart w:id="33" w:name="_Toc93991172"/>
      <w:bookmarkStart w:id="34" w:name="_Toc95646802"/>
      <w:bookmarkStart w:id="35" w:name="_Toc97111910"/>
      <w:bookmarkStart w:id="36" w:name="_Toc100567622"/>
      <w:bookmarkStart w:id="37" w:name="_Toc100653979"/>
      <w:bookmarkStart w:id="38" w:name="_Toc100733908"/>
      <w:bookmarkStart w:id="39" w:name="_Toc101081836"/>
      <w:bookmarkStart w:id="40" w:name="_Toc101236322"/>
      <w:bookmarkStart w:id="41" w:name="_Toc102539196"/>
      <w:bookmarkStart w:id="42" w:name="_Toc107297188"/>
      <w:bookmarkStart w:id="43" w:name="_Toc108420766"/>
      <w:bookmarkStart w:id="44" w:name="_Toc113358330"/>
      <w:bookmarkStart w:id="45" w:name="_Toc113951872"/>
      <w:bookmarkStart w:id="46" w:name="_Toc114548315"/>
      <w:bookmarkStart w:id="47" w:name="_Toc115232899"/>
      <w:bookmarkStart w:id="48" w:name="_Toc116372909"/>
      <w:bookmarkStart w:id="49" w:name="_Toc117061714"/>
      <w:bookmarkStart w:id="50" w:name="_Toc119487774"/>
      <w:bookmarkStart w:id="51" w:name="_Toc120606911"/>
      <w:bookmarkStart w:id="52" w:name="_Toc122429206"/>
      <w:bookmarkStart w:id="53" w:name="_Toc127322523"/>
      <w:bookmarkStart w:id="54" w:name="_Toc129590765"/>
      <w:bookmarkStart w:id="55" w:name="_Toc343699841"/>
      <w:r>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2A3067" w:rsidRDefault="002A3067">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2A3067" w:rsidRDefault="002A3067">
      <w:pPr>
        <w:pStyle w:val="RKnormal"/>
        <w:tabs>
          <w:tab w:val="clear" w:pos="1843"/>
          <w:tab w:val="left" w:pos="0"/>
        </w:tabs>
        <w:ind w:left="0"/>
      </w:pPr>
      <w:bookmarkStart w:id="56" w:name="Punkt"/>
      <w:bookmarkEnd w:id="56"/>
      <w:r>
        <w:t xml:space="preserve">  </w:t>
      </w:r>
    </w:p>
    <w:p w:rsidR="002A3067" w:rsidRDefault="002A3067" w:rsidP="006861F0">
      <w:pPr>
        <w:pStyle w:val="Heading1"/>
      </w:pPr>
      <w:bookmarkStart w:id="57" w:name="_Toc343699842"/>
      <w:r>
        <w:t>Troliga A-punkter inför kommande rådsmöten som förväntas godkännas vid Coreper II 2012-12-19.</w:t>
      </w:r>
      <w:bookmarkEnd w:id="57"/>
    </w:p>
    <w:p w:rsidR="002A3067" w:rsidRPr="00FB3955" w:rsidRDefault="002A3067" w:rsidP="00FB3955">
      <w:pPr>
        <w:pStyle w:val="Heading2"/>
      </w:pPr>
      <w:bookmarkStart w:id="58" w:name="_Toc343699843"/>
      <w:r>
        <w:t>1. Case before the General Court= Case T-431/12 (Distillerie Bonollo SPA and Others v. Council)</w:t>
      </w:r>
      <w:bookmarkEnd w:id="58"/>
    </w:p>
    <w:p w:rsidR="002A3067" w:rsidRPr="00FB3955" w:rsidRDefault="002A3067" w:rsidP="00FB3955">
      <w:r>
        <w:t>17234/12</w:t>
      </w:r>
    </w:p>
    <w:p w:rsidR="002A3067" w:rsidRDefault="002A3067">
      <w:pPr>
        <w:pStyle w:val="RKnormal"/>
        <w:tabs>
          <w:tab w:val="clear" w:pos="1843"/>
          <w:tab w:val="left" w:pos="0"/>
        </w:tabs>
        <w:ind w:left="0"/>
      </w:pPr>
    </w:p>
    <w:p w:rsidR="002A3067" w:rsidRPr="00FB3955" w:rsidRDefault="002A3067" w:rsidP="00FB3955">
      <w:r>
        <w:t>Ansvarigt departement: Utrikesdepartementet</w:t>
      </w:r>
    </w:p>
    <w:p w:rsidR="002A3067" w:rsidRDefault="002A3067">
      <w:pPr>
        <w:pStyle w:val="RKnormal"/>
        <w:tabs>
          <w:tab w:val="clear" w:pos="1843"/>
          <w:tab w:val="left" w:pos="0"/>
        </w:tabs>
        <w:ind w:left="0"/>
      </w:pPr>
    </w:p>
    <w:p w:rsidR="002A3067" w:rsidRPr="00FB3955" w:rsidRDefault="002A3067" w:rsidP="00FB3955">
      <w:r>
        <w:t>Ansvarigt statsråd: Birgitta Ohlsson</w:t>
      </w:r>
    </w:p>
    <w:p w:rsidR="002A3067" w:rsidRDefault="002A3067">
      <w:pPr>
        <w:pStyle w:val="RKnormal"/>
        <w:tabs>
          <w:tab w:val="clear" w:pos="1843"/>
          <w:tab w:val="left" w:pos="0"/>
        </w:tabs>
        <w:ind w:left="0"/>
      </w:pPr>
    </w:p>
    <w:p w:rsidR="002A3067" w:rsidRPr="00FB3955" w:rsidRDefault="002A3067" w:rsidP="00FB3955">
      <w:r>
        <w:t>Förväntas godkännas av Coreper II den 19 december 2012</w:t>
      </w:r>
    </w:p>
    <w:p w:rsidR="002A3067" w:rsidRDefault="002A3067">
      <w:pPr>
        <w:pStyle w:val="RKnormal"/>
        <w:tabs>
          <w:tab w:val="clear" w:pos="1843"/>
          <w:tab w:val="left" w:pos="0"/>
        </w:tabs>
        <w:ind w:left="0"/>
      </w:pPr>
    </w:p>
    <w:p w:rsidR="002A3067" w:rsidRDefault="002A3067" w:rsidP="006861F0">
      <w:r>
        <w:t xml:space="preserve">Föranleder ingen annotering. </w:t>
      </w:r>
    </w:p>
    <w:p w:rsidR="002A3067" w:rsidRPr="00FB3955" w:rsidRDefault="002A3067" w:rsidP="00FB3955">
      <w:pPr>
        <w:pStyle w:val="Heading2"/>
      </w:pPr>
      <w:bookmarkStart w:id="59" w:name="_Toc343699844"/>
      <w:r>
        <w:t>2. Case before the General Court= Case T-432/12 (Volzskij trubnyi zavod OAO (VTZ OAO) and Others v. Council)</w:t>
      </w:r>
      <w:bookmarkEnd w:id="59"/>
    </w:p>
    <w:p w:rsidR="002A3067" w:rsidRPr="00FB3955" w:rsidRDefault="002A3067" w:rsidP="00FB3955">
      <w:r>
        <w:t>17238/12</w:t>
      </w:r>
    </w:p>
    <w:p w:rsidR="002A3067" w:rsidRDefault="002A3067">
      <w:pPr>
        <w:pStyle w:val="RKnormal"/>
        <w:tabs>
          <w:tab w:val="clear" w:pos="1843"/>
          <w:tab w:val="left" w:pos="0"/>
        </w:tabs>
        <w:ind w:left="0"/>
      </w:pPr>
    </w:p>
    <w:p w:rsidR="002A3067" w:rsidRPr="00FB3955" w:rsidRDefault="002A3067" w:rsidP="00FB3955">
      <w:r>
        <w:t>Ansvarigt departement: Utrikesdepartementet</w:t>
      </w:r>
    </w:p>
    <w:p w:rsidR="002A3067" w:rsidRDefault="002A3067">
      <w:pPr>
        <w:pStyle w:val="RKnormal"/>
        <w:tabs>
          <w:tab w:val="clear" w:pos="1843"/>
          <w:tab w:val="left" w:pos="0"/>
        </w:tabs>
        <w:ind w:left="0"/>
      </w:pPr>
    </w:p>
    <w:p w:rsidR="002A3067" w:rsidRPr="00FB3955" w:rsidRDefault="002A3067" w:rsidP="00FB3955">
      <w:r>
        <w:t>Ansvarigt statsråd: Birgitta Ohlsson</w:t>
      </w:r>
    </w:p>
    <w:p w:rsidR="002A3067" w:rsidRDefault="002A3067">
      <w:pPr>
        <w:pStyle w:val="RKnormal"/>
        <w:tabs>
          <w:tab w:val="clear" w:pos="1843"/>
          <w:tab w:val="left" w:pos="0"/>
        </w:tabs>
        <w:ind w:left="0"/>
      </w:pPr>
    </w:p>
    <w:p w:rsidR="002A3067" w:rsidRPr="00FB3955" w:rsidRDefault="002A3067" w:rsidP="00FB3955">
      <w:r>
        <w:t>Förväntas godkännas av Coreper II den 19 december 2012</w:t>
      </w:r>
    </w:p>
    <w:p w:rsidR="002A3067" w:rsidRDefault="002A3067">
      <w:pPr>
        <w:pStyle w:val="RKnormal"/>
        <w:tabs>
          <w:tab w:val="clear" w:pos="1843"/>
          <w:tab w:val="left" w:pos="0"/>
        </w:tabs>
        <w:ind w:left="0"/>
      </w:pPr>
    </w:p>
    <w:p w:rsidR="002A3067" w:rsidRPr="00FB3955" w:rsidRDefault="002A3067" w:rsidP="00FB3955">
      <w:r>
        <w:t>Föranleder ingen annotering.</w:t>
      </w:r>
    </w:p>
    <w:p w:rsidR="002A3067" w:rsidRDefault="002A3067">
      <w:pPr>
        <w:pStyle w:val="RKnormal"/>
        <w:tabs>
          <w:tab w:val="clear" w:pos="1843"/>
          <w:tab w:val="left" w:pos="0"/>
        </w:tabs>
        <w:ind w:left="0"/>
      </w:pPr>
      <w:r>
        <w:t xml:space="preserve"> </w:t>
      </w:r>
    </w:p>
    <w:p w:rsidR="002A3067" w:rsidRDefault="002A3067">
      <w:pPr>
        <w:spacing w:line="240" w:lineRule="auto"/>
        <w:rPr>
          <w:rFonts w:ascii="Arial" w:hAnsi="Arial" w:cs="Arial"/>
          <w:b/>
          <w:i/>
          <w:iCs/>
          <w:kern w:val="28"/>
        </w:rPr>
      </w:pPr>
      <w:r>
        <w:br w:type="page"/>
      </w:r>
    </w:p>
    <w:p w:rsidR="002A3067" w:rsidRPr="00FB3955" w:rsidRDefault="002A3067" w:rsidP="00FB3955">
      <w:pPr>
        <w:pStyle w:val="Heading2"/>
      </w:pPr>
      <w:bookmarkStart w:id="60" w:name="_Toc343699845"/>
      <w:r>
        <w:t>3. Case before the General Court= Case T-442/12 (Changmao Biochemical Engineering Ltd. v. Council)</w:t>
      </w:r>
      <w:bookmarkEnd w:id="60"/>
    </w:p>
    <w:p w:rsidR="002A3067" w:rsidRPr="00FB3955" w:rsidRDefault="002A3067" w:rsidP="00FB3955">
      <w:r>
        <w:t>17241/12</w:t>
      </w:r>
    </w:p>
    <w:p w:rsidR="002A3067" w:rsidRDefault="002A3067">
      <w:pPr>
        <w:pStyle w:val="RKnormal"/>
        <w:tabs>
          <w:tab w:val="clear" w:pos="1843"/>
          <w:tab w:val="left" w:pos="0"/>
        </w:tabs>
        <w:ind w:left="0"/>
      </w:pPr>
    </w:p>
    <w:p w:rsidR="002A3067" w:rsidRPr="00FB3955" w:rsidRDefault="002A3067" w:rsidP="00FB3955">
      <w:r>
        <w:t>Ansvarigt departement: Utrikesdepartementet</w:t>
      </w:r>
    </w:p>
    <w:p w:rsidR="002A3067" w:rsidRDefault="002A3067">
      <w:pPr>
        <w:pStyle w:val="RKnormal"/>
        <w:tabs>
          <w:tab w:val="clear" w:pos="1843"/>
          <w:tab w:val="left" w:pos="0"/>
        </w:tabs>
        <w:ind w:left="0"/>
      </w:pPr>
    </w:p>
    <w:p w:rsidR="002A3067" w:rsidRPr="00FB3955" w:rsidRDefault="002A3067" w:rsidP="00FB3955">
      <w:r>
        <w:t>Ansvarigt statsråd: Birgitta Ohlsson</w:t>
      </w:r>
    </w:p>
    <w:p w:rsidR="002A3067" w:rsidRDefault="002A3067">
      <w:pPr>
        <w:pStyle w:val="RKnormal"/>
        <w:tabs>
          <w:tab w:val="clear" w:pos="1843"/>
          <w:tab w:val="left" w:pos="0"/>
        </w:tabs>
        <w:ind w:left="0"/>
      </w:pPr>
    </w:p>
    <w:p w:rsidR="002A3067" w:rsidRPr="00FB3955" w:rsidRDefault="002A3067" w:rsidP="00FB3955">
      <w:r>
        <w:t>Förväntas godkännas av Coreper II den 19 december 2012</w:t>
      </w:r>
    </w:p>
    <w:p w:rsidR="002A3067" w:rsidRDefault="002A3067">
      <w:pPr>
        <w:pStyle w:val="RKnormal"/>
        <w:tabs>
          <w:tab w:val="clear" w:pos="1843"/>
          <w:tab w:val="left" w:pos="0"/>
        </w:tabs>
        <w:ind w:left="0"/>
      </w:pPr>
    </w:p>
    <w:p w:rsidR="002A3067" w:rsidRDefault="002A3067" w:rsidP="006861F0">
      <w:r>
        <w:t xml:space="preserve">Föranleder ingen annotering. </w:t>
      </w:r>
    </w:p>
    <w:p w:rsidR="002A3067" w:rsidRPr="00FB3955" w:rsidRDefault="002A3067" w:rsidP="00FB3955">
      <w:pPr>
        <w:pStyle w:val="Heading2"/>
      </w:pPr>
      <w:bookmarkStart w:id="61" w:name="_Toc343699846"/>
      <w:r>
        <w:t>4. Monthly list of acts adopted under the written procedure a) August 2012 b) September 2012c) October 2012</w:t>
      </w:r>
      <w:bookmarkEnd w:id="61"/>
    </w:p>
    <w:p w:rsidR="002A3067" w:rsidRPr="00FB3955" w:rsidRDefault="002A3067" w:rsidP="00FB3955">
      <w:r>
        <w:t>17270/12, 17273/12, 17278/12</w:t>
      </w:r>
    </w:p>
    <w:p w:rsidR="002A3067" w:rsidRDefault="002A3067">
      <w:pPr>
        <w:pStyle w:val="RKnormal"/>
        <w:tabs>
          <w:tab w:val="clear" w:pos="1843"/>
          <w:tab w:val="left" w:pos="0"/>
        </w:tabs>
        <w:ind w:left="0"/>
      </w:pPr>
    </w:p>
    <w:p w:rsidR="002A3067" w:rsidRPr="00FB3955" w:rsidRDefault="002A3067" w:rsidP="00FB3955">
      <w:r>
        <w:t>Ansvarigt departement: Statsrådsberedningen</w:t>
      </w:r>
    </w:p>
    <w:p w:rsidR="002A3067" w:rsidRDefault="002A3067">
      <w:pPr>
        <w:pStyle w:val="RKnormal"/>
        <w:tabs>
          <w:tab w:val="clear" w:pos="1843"/>
          <w:tab w:val="left" w:pos="0"/>
        </w:tabs>
        <w:ind w:left="0"/>
      </w:pPr>
    </w:p>
    <w:p w:rsidR="002A3067" w:rsidRPr="00FB3955" w:rsidRDefault="002A3067" w:rsidP="00FB3955">
      <w:r>
        <w:t>Ansvarigt statsråd: Birgitta Ohlsson</w:t>
      </w:r>
    </w:p>
    <w:p w:rsidR="002A3067" w:rsidRDefault="002A3067">
      <w:pPr>
        <w:pStyle w:val="RKnormal"/>
        <w:tabs>
          <w:tab w:val="clear" w:pos="1843"/>
          <w:tab w:val="left" w:pos="0"/>
        </w:tabs>
        <w:ind w:left="0"/>
      </w:pPr>
    </w:p>
    <w:p w:rsidR="002A3067" w:rsidRPr="00FB3955" w:rsidRDefault="002A3067" w:rsidP="00FB3955">
      <w:r>
        <w:t>Förväntas godkännas av Coreper II den 19 december 2012</w:t>
      </w:r>
    </w:p>
    <w:p w:rsidR="002A3067" w:rsidRDefault="002A3067">
      <w:pPr>
        <w:pStyle w:val="RKnormal"/>
        <w:tabs>
          <w:tab w:val="clear" w:pos="1843"/>
          <w:tab w:val="left" w:pos="0"/>
        </w:tabs>
        <w:ind w:left="0"/>
      </w:pPr>
    </w:p>
    <w:p w:rsidR="002A3067" w:rsidRDefault="002A3067" w:rsidP="006861F0">
      <w:r>
        <w:t xml:space="preserve">Föranleder ingen annotering. </w:t>
      </w:r>
    </w:p>
    <w:p w:rsidR="002A3067" w:rsidRPr="00FB3955" w:rsidRDefault="002A3067" w:rsidP="00FB3955">
      <w:pPr>
        <w:pStyle w:val="Heading2"/>
      </w:pPr>
      <w:bookmarkStart w:id="62" w:name="_Toc343699847"/>
      <w:r>
        <w:t>5. Recommendation to the Council concerning the acceptance of NATO's approval procedures for cryptographic products</w:t>
      </w:r>
      <w:bookmarkEnd w:id="62"/>
    </w:p>
    <w:p w:rsidR="002A3067" w:rsidRPr="00FB3955" w:rsidRDefault="002A3067" w:rsidP="00FB3955">
      <w:r>
        <w:t>17801/12</w:t>
      </w:r>
    </w:p>
    <w:p w:rsidR="002A3067" w:rsidRDefault="002A3067">
      <w:pPr>
        <w:pStyle w:val="RKnormal"/>
        <w:tabs>
          <w:tab w:val="clear" w:pos="1843"/>
          <w:tab w:val="left" w:pos="0"/>
        </w:tabs>
        <w:ind w:left="0"/>
      </w:pPr>
    </w:p>
    <w:p w:rsidR="002A3067" w:rsidRPr="00FB3955" w:rsidRDefault="002A3067" w:rsidP="00FB3955">
      <w:r>
        <w:t>Ansvarigt departement: Utrikesdepartementet</w:t>
      </w:r>
    </w:p>
    <w:p w:rsidR="002A3067" w:rsidRDefault="002A3067">
      <w:pPr>
        <w:pStyle w:val="RKnormal"/>
        <w:tabs>
          <w:tab w:val="clear" w:pos="1843"/>
          <w:tab w:val="left" w:pos="0"/>
        </w:tabs>
        <w:ind w:left="0"/>
      </w:pPr>
    </w:p>
    <w:p w:rsidR="002A3067" w:rsidRPr="00FB3955" w:rsidRDefault="002A3067" w:rsidP="00FB3955">
      <w:r>
        <w:t>Ansvarigt statsråd: Carl Bildt</w:t>
      </w:r>
    </w:p>
    <w:p w:rsidR="002A3067" w:rsidRDefault="002A3067">
      <w:pPr>
        <w:pStyle w:val="RKnormal"/>
        <w:tabs>
          <w:tab w:val="clear" w:pos="1843"/>
          <w:tab w:val="left" w:pos="0"/>
        </w:tabs>
        <w:ind w:left="0"/>
      </w:pPr>
    </w:p>
    <w:p w:rsidR="002A3067" w:rsidRPr="00FB3955" w:rsidRDefault="002A3067" w:rsidP="00FB3955">
      <w:r>
        <w:t>Förväntas godkännas av Coreper II den 19 december 2012</w:t>
      </w:r>
    </w:p>
    <w:p w:rsidR="002A3067" w:rsidRDefault="002A3067">
      <w:pPr>
        <w:pStyle w:val="RKnormal"/>
        <w:tabs>
          <w:tab w:val="clear" w:pos="1843"/>
          <w:tab w:val="left" w:pos="0"/>
        </w:tabs>
        <w:ind w:left="0"/>
      </w:pPr>
    </w:p>
    <w:p w:rsidR="002A3067" w:rsidRDefault="002A3067" w:rsidP="00FB3955">
      <w:r>
        <w:t xml:space="preserve">EU och Nato har under ett antal år diskuterat interoperabilitet och möjligheter att kunna kommunicera säkert med varandra digitalt vid både gemensamma militära insatser och krishantering. </w:t>
      </w:r>
    </w:p>
    <w:p w:rsidR="002A3067" w:rsidRDefault="002A3067" w:rsidP="00FB3955"/>
    <w:p w:rsidR="002A3067" w:rsidRDefault="002A3067" w:rsidP="00FB3955">
      <w:r>
        <w:t xml:space="preserve">Både Nato och EU har tydliga och klara regler för hur säkerhetsskyddsklassificerad information skall skyddas vid elektronisk distribution, bland annat att informationen måste skyddas av godkända kryptoprodukter.  Enligt nu gällande regelverk måste informationen krypteras med båda organisationernas kryptoprodukter och man har länge sökt efter en lösning för att slippa denna dubbelkryptering. </w:t>
      </w:r>
    </w:p>
    <w:p w:rsidR="002A3067" w:rsidRDefault="002A3067" w:rsidP="00FB3955"/>
    <w:p w:rsidR="002A3067" w:rsidRDefault="002A3067" w:rsidP="00FB3955">
      <w:r>
        <w:t>Den process som nu pågår innebär att EU och Nato granskar processen för godkännande av kryptoprodukter inom respektive organisation och på basis av detta beslutar att ömsesidigt acceptera användningen av kryptoprodukter som godkänts av någon av organisationerna.</w:t>
      </w:r>
    </w:p>
    <w:p w:rsidR="002A3067" w:rsidRDefault="002A3067" w:rsidP="00FB3955"/>
    <w:p w:rsidR="002A3067" w:rsidRDefault="002A3067" w:rsidP="00FB3955">
      <w:r>
        <w:t xml:space="preserve">Rådets säkerhetskommitté har nu tagit del av Natos process för godkännande av kryptoprodukter och utfallet av kommitténs granskning är att COREPER rekommenderas att hänskjuta frågan till rådet för godkännande. Godkännandet innebär att kryptoprodukter som godkänts av Nato kan användas för skydd av säkerhetsklassificerad EU-information upp till och med nivån SECRET UE/EU SECRET som delgivits Nato. Detta gäller i Natos egna IT-system såväl som Nato medlemsstaternas IT-system.  </w:t>
      </w:r>
    </w:p>
    <w:p w:rsidR="002A3067" w:rsidRDefault="002A3067" w:rsidP="00FB3955"/>
    <w:p w:rsidR="002A3067" w:rsidRDefault="002A3067" w:rsidP="006861F0">
      <w:r>
        <w:t xml:space="preserve">Godkännandet villkoras av att Nato fattar ett motsvarande beslut gällande kryptoprodukter som godkänts av EU. Detta är något Sverige har mycket stor nytta av och har stöttat helhjärtat i diskussioner i underliggande grupper och formeringar.  När besluten väl är fattade av båda organisationerna kommer det att underlätta inte bara i de pågående gemensamma insatserna inom ramen för EU utan även för våra bilaterala samarbeten med Nato, exempelvis ISAF.  </w:t>
      </w:r>
    </w:p>
    <w:p w:rsidR="002A3067" w:rsidRPr="00FB3955" w:rsidRDefault="002A3067" w:rsidP="00FB3955">
      <w:pPr>
        <w:pStyle w:val="Heading2"/>
      </w:pPr>
      <w:bookmarkStart w:id="63" w:name="_Toc343699848"/>
      <w:r>
        <w:t>6. Proposal for a Regulation of the European Parliament and of the Council on a European Union energy-efficiency labelling programme for office equipment amending Regulation (EC)  106/2008 on a Community energy-efficiency labelling programme for office equipment [First reading] (LA) = Adoption of the legislative act</w:t>
      </w:r>
      <w:bookmarkEnd w:id="63"/>
    </w:p>
    <w:p w:rsidR="002A3067" w:rsidRPr="00FB3955" w:rsidRDefault="002A3067" w:rsidP="00FB3955">
      <w:r>
        <w:t>16531/12</w:t>
      </w:r>
    </w:p>
    <w:p w:rsidR="002A3067" w:rsidRDefault="002A3067">
      <w:pPr>
        <w:pStyle w:val="RKnormal"/>
        <w:tabs>
          <w:tab w:val="clear" w:pos="1843"/>
          <w:tab w:val="left" w:pos="0"/>
        </w:tabs>
        <w:ind w:left="0"/>
      </w:pPr>
    </w:p>
    <w:p w:rsidR="002A3067" w:rsidRPr="00FB3955" w:rsidRDefault="002A3067" w:rsidP="00FB3955">
      <w:r>
        <w:t>Ansvarigt departement: Näringsdepartementet</w:t>
      </w:r>
    </w:p>
    <w:p w:rsidR="002A3067" w:rsidRDefault="002A3067">
      <w:pPr>
        <w:pStyle w:val="RKnormal"/>
        <w:tabs>
          <w:tab w:val="clear" w:pos="1843"/>
          <w:tab w:val="left" w:pos="0"/>
        </w:tabs>
        <w:ind w:left="0"/>
      </w:pPr>
    </w:p>
    <w:p w:rsidR="002A3067" w:rsidRPr="00FB3955" w:rsidRDefault="002A3067" w:rsidP="00FB3955">
      <w:r>
        <w:t>Ansvarigt statsråd: Anna-Karin Hatt</w:t>
      </w:r>
    </w:p>
    <w:p w:rsidR="002A3067" w:rsidRDefault="002A3067">
      <w:pPr>
        <w:pStyle w:val="RKnormal"/>
        <w:tabs>
          <w:tab w:val="clear" w:pos="1843"/>
          <w:tab w:val="left" w:pos="0"/>
        </w:tabs>
        <w:ind w:left="0"/>
      </w:pPr>
    </w:p>
    <w:p w:rsidR="002A3067" w:rsidRPr="00FB3955" w:rsidRDefault="002A3067" w:rsidP="00FB3955">
      <w:r>
        <w:t>Förväntas godkännas av Coreper II den 19 december 2012</w:t>
      </w:r>
    </w:p>
    <w:p w:rsidR="002A3067" w:rsidRDefault="002A3067">
      <w:pPr>
        <w:pStyle w:val="RKnormal"/>
        <w:tabs>
          <w:tab w:val="clear" w:pos="1843"/>
          <w:tab w:val="left" w:pos="0"/>
        </w:tabs>
        <w:ind w:left="0"/>
      </w:pPr>
    </w:p>
    <w:p w:rsidR="002A3067" w:rsidRDefault="002A3067" w:rsidP="00FB3955">
      <w:r>
        <w:t xml:space="preserve">Avsikt med behandlingen i rådet: </w:t>
      </w:r>
    </w:p>
    <w:p w:rsidR="002A3067" w:rsidRDefault="002A3067" w:rsidP="00FB3955">
      <w:r>
        <w:t xml:space="preserve">Rådet tar ställning till förslag om antagande av ändringsförordning No 106/2008 om program för energieffektiviseringsmärkning av kontorsutrustning. </w:t>
      </w:r>
    </w:p>
    <w:p w:rsidR="002A3067" w:rsidRDefault="002A3067" w:rsidP="00FB3955">
      <w:r>
        <w:t xml:space="preserve">Hur regeringen ställer sig till den blivande A-punkten: </w:t>
      </w:r>
    </w:p>
    <w:p w:rsidR="002A3067" w:rsidRDefault="002A3067" w:rsidP="00FB3955">
      <w:r>
        <w:t>Regeringen stödjer antagandet av ändringsförordningen.</w:t>
      </w:r>
    </w:p>
    <w:p w:rsidR="002A3067" w:rsidRDefault="002A3067" w:rsidP="00FB3955"/>
    <w:p w:rsidR="002A3067" w:rsidRDefault="002A3067" w:rsidP="00FB3955">
      <w:r>
        <w:t xml:space="preserve">Bakgrund: </w:t>
      </w:r>
    </w:p>
    <w:p w:rsidR="002A3067" w:rsidRDefault="002A3067" w:rsidP="006861F0">
      <w:r>
        <w:t xml:space="preserve">Samarbetet mellan EU och USA om ett gemensamt program för att främja energieffektiv kontorsutrustning har pågått i två femårsperioder och den senaste löpte ut i december 2011. Ett nytt avtal om förlängning av samarbetet överenskoms under våren 2012. Sedan dess har frågan behandlats av rådet och Europaparlamentet. Ett rådsbeslut om avtalets undertecknande godkändes av Coreper den 31 oktober. Nästa steg för att avtalets bestämmelser ska gälla inom unionen är antagandet av ändringsförordning (EG) nr 106/2008. Rådet och Europaparlamentet har ställt sig bakom förslaget som kan väntas godkännas utan invändningar.  </w:t>
      </w:r>
    </w:p>
    <w:p w:rsidR="002A3067" w:rsidRPr="00FB3955" w:rsidRDefault="002A3067" w:rsidP="00FB3955">
      <w:pPr>
        <w:pStyle w:val="Heading2"/>
      </w:pPr>
      <w:bookmarkStart w:id="64" w:name="_Toc343699849"/>
      <w:r>
        <w:t>7. Proposal for a Regulation of the European Parliament and of the Council on the European statistical programme 2013-2017 [First reading] (LA) = Adoption of the legislative act</w:t>
      </w:r>
      <w:bookmarkEnd w:id="64"/>
    </w:p>
    <w:p w:rsidR="002A3067" w:rsidRPr="00FB3955" w:rsidRDefault="002A3067" w:rsidP="00FB3955">
      <w:r>
        <w:t>65/12, 16733/12</w:t>
      </w:r>
    </w:p>
    <w:p w:rsidR="002A3067" w:rsidRDefault="002A3067">
      <w:pPr>
        <w:pStyle w:val="RKnormal"/>
        <w:tabs>
          <w:tab w:val="clear" w:pos="1843"/>
          <w:tab w:val="left" w:pos="0"/>
        </w:tabs>
        <w:ind w:left="0"/>
      </w:pPr>
    </w:p>
    <w:p w:rsidR="002A3067" w:rsidRPr="00FB3955" w:rsidRDefault="002A3067" w:rsidP="00FB3955">
      <w:r>
        <w:t>Ansvarigt departement: Finansdepartementet</w:t>
      </w:r>
    </w:p>
    <w:p w:rsidR="002A3067" w:rsidRDefault="002A3067">
      <w:pPr>
        <w:pStyle w:val="RKnormal"/>
        <w:tabs>
          <w:tab w:val="clear" w:pos="1843"/>
          <w:tab w:val="left" w:pos="0"/>
        </w:tabs>
        <w:ind w:left="0"/>
      </w:pPr>
    </w:p>
    <w:p w:rsidR="002A3067" w:rsidRPr="00FB3955" w:rsidRDefault="002A3067" w:rsidP="00FB3955">
      <w:r>
        <w:t>Ansvarigt statsråd: Peter Norman</w:t>
      </w:r>
    </w:p>
    <w:p w:rsidR="002A3067" w:rsidRDefault="002A3067">
      <w:pPr>
        <w:pStyle w:val="RKnormal"/>
        <w:tabs>
          <w:tab w:val="clear" w:pos="1843"/>
          <w:tab w:val="left" w:pos="0"/>
        </w:tabs>
        <w:ind w:left="0"/>
      </w:pPr>
    </w:p>
    <w:p w:rsidR="002A3067" w:rsidRPr="00FB3955" w:rsidRDefault="002A3067" w:rsidP="00FB3955">
      <w:r>
        <w:t>Förväntas godkännas av Coreper II den 19 december 2012</w:t>
      </w:r>
    </w:p>
    <w:p w:rsidR="002A3067" w:rsidRDefault="002A3067">
      <w:pPr>
        <w:pStyle w:val="RKnormal"/>
        <w:tabs>
          <w:tab w:val="clear" w:pos="1843"/>
          <w:tab w:val="left" w:pos="0"/>
        </w:tabs>
        <w:ind w:left="0"/>
      </w:pPr>
    </w:p>
    <w:p w:rsidR="002A3067" w:rsidRDefault="002A3067" w:rsidP="00FB3955">
      <w:r>
        <w:t xml:space="preserve">Avsikt med behandling i rådet: </w:t>
      </w:r>
    </w:p>
    <w:p w:rsidR="002A3067" w:rsidRDefault="002A3067" w:rsidP="00FB3955">
      <w:r>
        <w:t xml:space="preserve">Rådet ska anta rubricerade rättsakt. </w:t>
      </w:r>
    </w:p>
    <w:p w:rsidR="002A3067" w:rsidRDefault="002A3067" w:rsidP="00FB3955"/>
    <w:p w:rsidR="002A3067" w:rsidRDefault="002A3067" w:rsidP="00FB3955">
      <w:r>
        <w:t xml:space="preserve">Hur regeringen ställer sig till den blivande a-punkten: </w:t>
      </w:r>
    </w:p>
    <w:p w:rsidR="002A3067" w:rsidRDefault="002A3067" w:rsidP="00FB3955">
      <w:r>
        <w:t>Regeringen godkänner A-punkten.</w:t>
      </w:r>
    </w:p>
    <w:p w:rsidR="002A3067" w:rsidRDefault="002A3067" w:rsidP="00FB3955"/>
    <w:p w:rsidR="002A3067" w:rsidRDefault="002A3067" w:rsidP="00FB3955">
      <w:r>
        <w:t xml:space="preserve">Bakgrund: </w:t>
      </w:r>
    </w:p>
    <w:p w:rsidR="002A3067" w:rsidRDefault="002A3067" w:rsidP="00F57FBA">
      <w:r>
        <w:t xml:space="preserve">Genom förordningen fastställs dels programplaneringsramen för utveckling, framställning och spridning av europeisk statistik, dels huvudområden och mål för de åtgärder som planeras för perioden 2013-2017, i enlighet med artiklarna 13 och 14 i förordning (EG) nr 223/2009 om europeisk statistik. </w:t>
      </w:r>
    </w:p>
    <w:p w:rsidR="002A3067" w:rsidRDefault="002A3067">
      <w:pPr>
        <w:spacing w:line="240" w:lineRule="auto"/>
        <w:rPr>
          <w:rFonts w:ascii="Arial" w:hAnsi="Arial" w:cs="Arial"/>
          <w:b/>
          <w:i/>
          <w:iCs/>
          <w:kern w:val="28"/>
        </w:rPr>
      </w:pPr>
      <w:r>
        <w:br w:type="page"/>
      </w:r>
    </w:p>
    <w:p w:rsidR="002A3067" w:rsidRPr="00FB3955" w:rsidRDefault="002A3067" w:rsidP="00FB3955">
      <w:pPr>
        <w:pStyle w:val="Heading2"/>
      </w:pPr>
      <w:bookmarkStart w:id="65" w:name="_Toc343699850"/>
      <w:r>
        <w:t>8. Proposal for a Regulation of the European Parliament and of the Council Implementing the bilateral safeguard clause and the stabilisation mechanism for bananas of the Trade Agreement between the European Union and its Member States, of the one part, and Colombia and Peru, of the other part [First reading] (LA + S) = Adoption of the legislative act</w:t>
      </w:r>
      <w:bookmarkEnd w:id="65"/>
    </w:p>
    <w:p w:rsidR="002A3067" w:rsidRPr="00FB3955" w:rsidRDefault="002A3067" w:rsidP="00FB3955">
      <w:r>
        <w:t>17682/12</w:t>
      </w:r>
    </w:p>
    <w:p w:rsidR="002A3067" w:rsidRDefault="002A3067">
      <w:pPr>
        <w:pStyle w:val="RKnormal"/>
        <w:tabs>
          <w:tab w:val="clear" w:pos="1843"/>
          <w:tab w:val="left" w:pos="0"/>
        </w:tabs>
        <w:ind w:left="0"/>
      </w:pPr>
    </w:p>
    <w:p w:rsidR="002A3067" w:rsidRPr="00FB3955" w:rsidRDefault="002A3067" w:rsidP="00FB3955">
      <w:r>
        <w:t>Ansvarigt departement: Utrikesdepartementet</w:t>
      </w:r>
    </w:p>
    <w:p w:rsidR="002A3067" w:rsidRDefault="002A3067">
      <w:pPr>
        <w:pStyle w:val="RKnormal"/>
        <w:tabs>
          <w:tab w:val="clear" w:pos="1843"/>
          <w:tab w:val="left" w:pos="0"/>
        </w:tabs>
        <w:ind w:left="0"/>
      </w:pPr>
    </w:p>
    <w:p w:rsidR="002A3067" w:rsidRPr="00FB3955" w:rsidRDefault="002A3067" w:rsidP="00FB3955">
      <w:r>
        <w:t>Ansvarigt statsråd: Ewa Björling</w:t>
      </w:r>
    </w:p>
    <w:p w:rsidR="002A3067" w:rsidRDefault="002A3067">
      <w:pPr>
        <w:pStyle w:val="RKnormal"/>
        <w:tabs>
          <w:tab w:val="clear" w:pos="1843"/>
          <w:tab w:val="left" w:pos="0"/>
        </w:tabs>
        <w:ind w:left="0"/>
      </w:pPr>
    </w:p>
    <w:p w:rsidR="002A3067" w:rsidRPr="00FB3955" w:rsidRDefault="002A3067" w:rsidP="00FB3955">
      <w:r>
        <w:t>Tidigare behandling vid rådsmöte: Rådet för utrikesfrågor</w:t>
      </w:r>
    </w:p>
    <w:p w:rsidR="002A3067" w:rsidRDefault="002A3067">
      <w:pPr>
        <w:pStyle w:val="RKnormal"/>
        <w:tabs>
          <w:tab w:val="clear" w:pos="1843"/>
          <w:tab w:val="left" w:pos="0"/>
        </w:tabs>
        <w:ind w:left="0"/>
      </w:pPr>
    </w:p>
    <w:p w:rsidR="002A3067" w:rsidRPr="00FB3955" w:rsidRDefault="002A3067" w:rsidP="00FB3955">
      <w:r>
        <w:t>Förväntas godkännas av Coreper II den 19 december 2012</w:t>
      </w:r>
    </w:p>
    <w:p w:rsidR="002A3067" w:rsidRDefault="002A3067">
      <w:pPr>
        <w:pStyle w:val="RKnormal"/>
        <w:tabs>
          <w:tab w:val="clear" w:pos="1843"/>
          <w:tab w:val="left" w:pos="0"/>
        </w:tabs>
        <w:ind w:left="0"/>
      </w:pPr>
    </w:p>
    <w:p w:rsidR="002A3067" w:rsidRDefault="002A3067" w:rsidP="00F57FBA">
      <w:r>
        <w:t xml:space="preserve">Rådet föreslås anta, efter en första läsning, en förordning som gör det möjligt att använda de bilaterala skyddsklausuler som finns i det frihandelsavtalet mellan EU och Colombia och Peru. Enligt förordningen kan företag ansöka om temporärt skydd mot import från Colombia och Peru som skadar EU:s industri. För bananer stadgas en särskild skyddsåtgärdsmöjlighet om importen av bananer skulle stiga över vissa givna nivåer. Det temporära skyddet innebär att EU:s ordinära tullar gäller för importen under en viss tid. Kommissionen ges befogenhet att införa skyddsåtgärder i enlighet med kommittologiförordningens regler om rådgivande förfarande. Sverige kan acceptera förslaget till förordning. </w:t>
      </w:r>
    </w:p>
    <w:p w:rsidR="002A3067" w:rsidRPr="00FB3955" w:rsidRDefault="002A3067" w:rsidP="00FB3955">
      <w:pPr>
        <w:pStyle w:val="Heading2"/>
      </w:pPr>
      <w:bookmarkStart w:id="66" w:name="_Toc343699851"/>
      <w:r>
        <w:t>9. Proposal for a Regulation of the European Parliament and of the Council Implementing the bilateral safeguard clause and the stabilisation mechanism for bananas of the Agreement establishing an Association between the European Union and its Member States on the one hand, and Central America on the other [First reading] (LA + S)= Adoption of the legislative act</w:t>
      </w:r>
      <w:bookmarkEnd w:id="66"/>
    </w:p>
    <w:p w:rsidR="002A3067" w:rsidRPr="00FB3955" w:rsidRDefault="002A3067" w:rsidP="00FB3955">
      <w:r>
        <w:t>17683/12</w:t>
      </w:r>
    </w:p>
    <w:p w:rsidR="002A3067" w:rsidRDefault="002A3067">
      <w:pPr>
        <w:pStyle w:val="RKnormal"/>
        <w:tabs>
          <w:tab w:val="clear" w:pos="1843"/>
          <w:tab w:val="left" w:pos="0"/>
        </w:tabs>
        <w:ind w:left="0"/>
      </w:pPr>
    </w:p>
    <w:p w:rsidR="002A3067" w:rsidRPr="00FB3955" w:rsidRDefault="002A3067" w:rsidP="00FB3955">
      <w:r>
        <w:t>Ansvarigt departement: Utrikesdepartementet</w:t>
      </w:r>
    </w:p>
    <w:p w:rsidR="002A3067" w:rsidRDefault="002A3067">
      <w:pPr>
        <w:pStyle w:val="RKnormal"/>
        <w:tabs>
          <w:tab w:val="clear" w:pos="1843"/>
          <w:tab w:val="left" w:pos="0"/>
        </w:tabs>
        <w:ind w:left="0"/>
      </w:pPr>
    </w:p>
    <w:p w:rsidR="002A3067" w:rsidRPr="00FB3955" w:rsidRDefault="002A3067" w:rsidP="00FB3955">
      <w:r>
        <w:t>Ansvarigt statsråd: Ewa Björling</w:t>
      </w:r>
    </w:p>
    <w:p w:rsidR="002A3067" w:rsidRDefault="002A3067">
      <w:pPr>
        <w:pStyle w:val="RKnormal"/>
        <w:tabs>
          <w:tab w:val="clear" w:pos="1843"/>
          <w:tab w:val="left" w:pos="0"/>
        </w:tabs>
        <w:ind w:left="0"/>
      </w:pPr>
    </w:p>
    <w:p w:rsidR="002A3067" w:rsidRPr="00FB3955" w:rsidRDefault="002A3067" w:rsidP="00FB3955">
      <w:r>
        <w:t>Tidigare behandling vid rådsmöte: Rådet för utrikesfrågor</w:t>
      </w:r>
    </w:p>
    <w:p w:rsidR="002A3067" w:rsidRDefault="002A3067">
      <w:pPr>
        <w:pStyle w:val="RKnormal"/>
        <w:tabs>
          <w:tab w:val="clear" w:pos="1843"/>
          <w:tab w:val="left" w:pos="0"/>
        </w:tabs>
        <w:ind w:left="0"/>
      </w:pPr>
    </w:p>
    <w:p w:rsidR="002A3067" w:rsidRPr="00FB3955" w:rsidRDefault="002A3067" w:rsidP="00FB3955">
      <w:r>
        <w:t>Förväntas godkännas av Coreper II den 19 december 2012</w:t>
      </w:r>
    </w:p>
    <w:p w:rsidR="002A3067" w:rsidRDefault="002A3067">
      <w:pPr>
        <w:pStyle w:val="RKnormal"/>
        <w:tabs>
          <w:tab w:val="clear" w:pos="1843"/>
          <w:tab w:val="left" w:pos="0"/>
        </w:tabs>
        <w:ind w:left="0"/>
      </w:pPr>
    </w:p>
    <w:p w:rsidR="002A3067" w:rsidRDefault="002A3067" w:rsidP="00F57FBA">
      <w:r>
        <w:t xml:space="preserve">Rådet föreslås anta, efter en första läsning, en förordning som gör det möjligt att använda de bilaterala skyddsklausuler som finns i det frihandelsavtalet mellan EU och Centralamerika. Enligt förordningen kan företag ansöka om temporärt skydd mot import från Centralamerika som skadar EU:s industri. För bananer stadgas en särskild skyddsåtgärdsmöjlighet om importen av bananer skulle stiga över vissa givna nivåer. Det temporära skyddet innebär att EU:s ordinära tullar gäller för importen under en viss tid. Kommissionen ges befogenhet att införa skyddsåtgärder i enlighet med kommittologiförordningens regler om rådgivande förfarande. Sverige kan acceptera förslaget till förordning. </w:t>
      </w:r>
    </w:p>
    <w:p w:rsidR="002A3067" w:rsidRPr="00FB3955" w:rsidRDefault="002A3067" w:rsidP="00FB3955">
      <w:pPr>
        <w:pStyle w:val="Heading2"/>
      </w:pPr>
      <w:bookmarkStart w:id="67" w:name="_Toc343699852"/>
      <w:r>
        <w:t>10. Special report No 15/2012: Management of conflict of interest in selected EU Agencies = Draft Council conclusions</w:t>
      </w:r>
      <w:bookmarkEnd w:id="67"/>
    </w:p>
    <w:p w:rsidR="002A3067" w:rsidRPr="00FB3955" w:rsidRDefault="002A3067" w:rsidP="00FB3955">
      <w:r>
        <w:t>17767/12</w:t>
      </w:r>
    </w:p>
    <w:p w:rsidR="002A3067" w:rsidRDefault="002A3067">
      <w:pPr>
        <w:pStyle w:val="RKnormal"/>
        <w:tabs>
          <w:tab w:val="clear" w:pos="1843"/>
          <w:tab w:val="left" w:pos="0"/>
        </w:tabs>
        <w:ind w:left="0"/>
      </w:pPr>
    </w:p>
    <w:p w:rsidR="002A3067" w:rsidRPr="00FB3955" w:rsidRDefault="002A3067" w:rsidP="00FB3955">
      <w:r>
        <w:t>Ansvarigt departement: Finansdepartementet</w:t>
      </w:r>
    </w:p>
    <w:p w:rsidR="002A3067" w:rsidRDefault="002A3067">
      <w:pPr>
        <w:pStyle w:val="RKnormal"/>
        <w:tabs>
          <w:tab w:val="clear" w:pos="1843"/>
          <w:tab w:val="left" w:pos="0"/>
        </w:tabs>
        <w:ind w:left="0"/>
      </w:pPr>
    </w:p>
    <w:p w:rsidR="002A3067" w:rsidRPr="00FB3955" w:rsidRDefault="002A3067" w:rsidP="00FB3955">
      <w:r>
        <w:t>Ansvarigt statsråd: Anders Borg</w:t>
      </w:r>
    </w:p>
    <w:p w:rsidR="002A3067" w:rsidRDefault="002A3067">
      <w:pPr>
        <w:pStyle w:val="RKnormal"/>
        <w:tabs>
          <w:tab w:val="clear" w:pos="1843"/>
          <w:tab w:val="left" w:pos="0"/>
        </w:tabs>
        <w:ind w:left="0"/>
      </w:pPr>
    </w:p>
    <w:p w:rsidR="002A3067" w:rsidRPr="00FB3955" w:rsidRDefault="002A3067" w:rsidP="00FB3955">
      <w:r>
        <w:t>Förväntas godkännas av Coreper II den 19 december 2012</w:t>
      </w:r>
    </w:p>
    <w:p w:rsidR="002A3067" w:rsidRDefault="002A3067">
      <w:pPr>
        <w:pStyle w:val="RKnormal"/>
        <w:tabs>
          <w:tab w:val="clear" w:pos="1843"/>
          <w:tab w:val="left" w:pos="0"/>
        </w:tabs>
        <w:ind w:left="0"/>
      </w:pPr>
    </w:p>
    <w:p w:rsidR="002A3067" w:rsidRDefault="002A3067" w:rsidP="00FB3955">
      <w:r>
        <w:t xml:space="preserve">Avsikt med behandlingen i rådet: </w:t>
      </w:r>
    </w:p>
    <w:p w:rsidR="002A3067" w:rsidRDefault="002A3067" w:rsidP="00FB3955">
      <w:r>
        <w:t xml:space="preserve">Rådet föreslås anta beslutet om överföring. </w:t>
      </w:r>
    </w:p>
    <w:p w:rsidR="002A3067" w:rsidRDefault="002A3067" w:rsidP="00FB3955"/>
    <w:p w:rsidR="002A3067" w:rsidRDefault="002A3067" w:rsidP="00FB3955">
      <w:r>
        <w:t xml:space="preserve">Hur regeringen ställer sig till den blivande a-punkten: </w:t>
      </w:r>
    </w:p>
    <w:p w:rsidR="002A3067" w:rsidRDefault="002A3067" w:rsidP="00FB3955">
      <w:r>
        <w:t>Regeringen ställer sig bakom beslutet.</w:t>
      </w:r>
    </w:p>
    <w:p w:rsidR="002A3067" w:rsidRDefault="002A3067" w:rsidP="00FB3955"/>
    <w:p w:rsidR="002A3067" w:rsidRDefault="002A3067" w:rsidP="00FB3955">
      <w:r>
        <w:t xml:space="preserve">Bakgrund: </w:t>
      </w:r>
    </w:p>
    <w:p w:rsidR="002A3067" w:rsidRDefault="002A3067" w:rsidP="00FB3955">
      <w:r>
        <w:t xml:space="preserve">Rådet har mottagit Europeiska revisionsrättens rapport nummer 15/2012 ”Management of conflict of interest in selected EU Agencies”, tillsammans med Europeiska kommissionens svar. Coreper ombads fatta beslut att delegera den fortsatta behandlingen till rådets budgetkommitté vilket så skedde. </w:t>
      </w:r>
    </w:p>
    <w:p w:rsidR="002A3067" w:rsidRDefault="002A3067" w:rsidP="00FB3955"/>
    <w:p w:rsidR="002A3067" w:rsidRPr="00FB3955" w:rsidRDefault="002A3067" w:rsidP="00FB3955">
      <w:r>
        <w:t>Den 10 december nådde budgetkommittén en överenskommelse om ordförandeskapets förslag. Budgetkommittén föreslår därmed Coreper att rekommendera rådet att anta slutsatserna som en A-punkt vid nästa möte.</w:t>
      </w:r>
    </w:p>
    <w:p w:rsidR="002A3067" w:rsidRDefault="002A3067">
      <w:pPr>
        <w:pStyle w:val="RKnormal"/>
        <w:tabs>
          <w:tab w:val="clear" w:pos="1843"/>
          <w:tab w:val="left" w:pos="0"/>
        </w:tabs>
        <w:ind w:left="0"/>
      </w:pPr>
      <w:r>
        <w:t xml:space="preserve"> </w:t>
      </w:r>
    </w:p>
    <w:p w:rsidR="002A3067" w:rsidRDefault="002A3067">
      <w:pPr>
        <w:spacing w:line="240" w:lineRule="auto"/>
        <w:rPr>
          <w:rFonts w:ascii="Arial" w:hAnsi="Arial" w:cs="Arial"/>
          <w:b/>
          <w:i/>
          <w:iCs/>
          <w:kern w:val="28"/>
        </w:rPr>
      </w:pPr>
      <w:r>
        <w:br w:type="page"/>
      </w:r>
    </w:p>
    <w:p w:rsidR="002A3067" w:rsidRPr="00FB3955" w:rsidRDefault="002A3067" w:rsidP="00FB3955">
      <w:pPr>
        <w:pStyle w:val="Heading2"/>
      </w:pPr>
      <w:bookmarkStart w:id="68" w:name="_Toc343699853"/>
      <w:r>
        <w:t>11. Proposal for a Regulation of the European Parliament and of the Council on the European system of national and regional accounts in the European Union (ESA 2010) [First reading] = Approval of the final compromise text</w:t>
      </w:r>
      <w:bookmarkEnd w:id="68"/>
    </w:p>
    <w:p w:rsidR="002A3067" w:rsidRPr="00FB3955" w:rsidRDefault="002A3067" w:rsidP="00FB3955">
      <w:r>
        <w:t>17645/12, 17646/12</w:t>
      </w:r>
    </w:p>
    <w:p w:rsidR="002A3067" w:rsidRDefault="002A3067">
      <w:pPr>
        <w:pStyle w:val="RKnormal"/>
        <w:tabs>
          <w:tab w:val="clear" w:pos="1843"/>
          <w:tab w:val="left" w:pos="0"/>
        </w:tabs>
        <w:ind w:left="0"/>
      </w:pPr>
    </w:p>
    <w:p w:rsidR="002A3067" w:rsidRPr="00FB3955" w:rsidRDefault="002A3067" w:rsidP="00FB3955">
      <w:r>
        <w:t>Ansvarigt departement: Finansdepartementet</w:t>
      </w:r>
    </w:p>
    <w:p w:rsidR="002A3067" w:rsidRDefault="002A3067">
      <w:pPr>
        <w:pStyle w:val="RKnormal"/>
        <w:tabs>
          <w:tab w:val="clear" w:pos="1843"/>
          <w:tab w:val="left" w:pos="0"/>
        </w:tabs>
        <w:ind w:left="0"/>
      </w:pPr>
    </w:p>
    <w:p w:rsidR="002A3067" w:rsidRPr="00FB3955" w:rsidRDefault="002A3067" w:rsidP="00FB3955">
      <w:r>
        <w:t>Ansvarigt statsråd: Peter Norman</w:t>
      </w:r>
    </w:p>
    <w:p w:rsidR="002A3067" w:rsidRDefault="002A3067">
      <w:pPr>
        <w:pStyle w:val="RKnormal"/>
        <w:tabs>
          <w:tab w:val="clear" w:pos="1843"/>
          <w:tab w:val="left" w:pos="0"/>
        </w:tabs>
        <w:ind w:left="0"/>
      </w:pPr>
    </w:p>
    <w:p w:rsidR="002A3067" w:rsidRPr="00FB3955" w:rsidRDefault="002A3067" w:rsidP="00FB3955">
      <w:r>
        <w:t>Förväntas godkännas av Coreper II den 19 december 2012</w:t>
      </w:r>
    </w:p>
    <w:p w:rsidR="002A3067" w:rsidRDefault="002A3067">
      <w:pPr>
        <w:pStyle w:val="RKnormal"/>
        <w:tabs>
          <w:tab w:val="clear" w:pos="1843"/>
          <w:tab w:val="left" w:pos="0"/>
        </w:tabs>
        <w:ind w:left="0"/>
      </w:pPr>
    </w:p>
    <w:p w:rsidR="002A3067" w:rsidRDefault="002A3067" w:rsidP="00FB3955">
      <w:r>
        <w:t xml:space="preserve">Avsikt med behandling i rådet: </w:t>
      </w:r>
    </w:p>
    <w:p w:rsidR="002A3067" w:rsidRDefault="002A3067" w:rsidP="00FB3955">
      <w:r>
        <w:t xml:space="preserve">Rådet ska godkänna den slutliga kompromisstexten. </w:t>
      </w:r>
    </w:p>
    <w:p w:rsidR="002A3067" w:rsidRDefault="002A3067" w:rsidP="00FB3955"/>
    <w:p w:rsidR="002A3067" w:rsidRDefault="002A3067" w:rsidP="00FB3955">
      <w:r>
        <w:t xml:space="preserve">Hur regeringen ställer sig till den blivande a-punkten: </w:t>
      </w:r>
    </w:p>
    <w:p w:rsidR="002A3067" w:rsidRDefault="002A3067" w:rsidP="00FB3955">
      <w:r>
        <w:t>Regeringen godkänner A-punkten.</w:t>
      </w:r>
    </w:p>
    <w:p w:rsidR="002A3067" w:rsidRDefault="002A3067" w:rsidP="00FB3955"/>
    <w:p w:rsidR="002A3067" w:rsidRDefault="002A3067" w:rsidP="00FB3955">
      <w:r>
        <w:t xml:space="preserve">Bakgrund: </w:t>
      </w:r>
    </w:p>
    <w:p w:rsidR="002A3067" w:rsidRDefault="002A3067" w:rsidP="00FB3955">
      <w:r>
        <w:t>Genom förordningen inrättas det europeiska nationalräkenskapssystemet (ENS 2010) som ska ersätta det nuvarande systemet ENS 95.</w:t>
      </w:r>
    </w:p>
    <w:p w:rsidR="002A3067" w:rsidRDefault="002A3067" w:rsidP="00FB3955"/>
    <w:p w:rsidR="002A3067" w:rsidRDefault="002A3067" w:rsidP="00FB3955">
      <w:r>
        <w:t>I bilaga A fastställs metoder för gemensamma standarder, definitioner, klassificeringar och redovisningsregler, som ska användas för att utarbeta räkenskaper och sammanställningar på jämförbar grund för att tillgodose unionens behov.</w:t>
      </w:r>
    </w:p>
    <w:p w:rsidR="002A3067" w:rsidRDefault="002A3067" w:rsidP="00FB3955"/>
    <w:p w:rsidR="002A3067" w:rsidRDefault="002A3067" w:rsidP="00081DF2">
      <w:r>
        <w:t xml:space="preserve">I bilaga B fastställs ett program med de tidsfrister då medlemsstaterna ska ha rapporterat in sina räkenskapsdata och sammanställningar till kommissionen (Eurostat) enligt de metoder som anges i bilaga A. </w:t>
      </w:r>
    </w:p>
    <w:p w:rsidR="002A3067" w:rsidRDefault="002A3067">
      <w:pPr>
        <w:spacing w:line="240" w:lineRule="auto"/>
        <w:rPr>
          <w:rFonts w:ascii="Arial" w:hAnsi="Arial" w:cs="Arial"/>
          <w:b/>
          <w:i/>
          <w:iCs/>
          <w:kern w:val="28"/>
        </w:rPr>
      </w:pPr>
      <w:r>
        <w:br w:type="page"/>
      </w:r>
    </w:p>
    <w:p w:rsidR="002A3067" w:rsidRPr="00FB3955" w:rsidRDefault="002A3067" w:rsidP="00FB3955">
      <w:pPr>
        <w:pStyle w:val="Heading2"/>
      </w:pPr>
      <w:bookmarkStart w:id="69" w:name="_Toc343699854"/>
      <w:r>
        <w:t>12. Revised rules for markets in financial instruments [First reading] (LA)a) Proposal for a Directive of the European Parliament and of the Council on markets in financial instruments repealing  2004/39/EC of the European Parliament and of the Council (Recast) (MiFID)'b) Proposal for a Regulation of the European Parliament and of the Council on markets in financial instruments and amending Regulation [EMIR] on OTC derivatives, central counterparties and trade repositories (MiFIR)- Progress report</w:t>
      </w:r>
      <w:bookmarkEnd w:id="69"/>
    </w:p>
    <w:p w:rsidR="002A3067" w:rsidRPr="00FB3955" w:rsidRDefault="002A3067" w:rsidP="00FB3955">
      <w:r>
        <w:t>16523/12</w:t>
      </w:r>
    </w:p>
    <w:p w:rsidR="002A3067" w:rsidRDefault="002A3067">
      <w:pPr>
        <w:pStyle w:val="RKnormal"/>
        <w:tabs>
          <w:tab w:val="clear" w:pos="1843"/>
          <w:tab w:val="left" w:pos="0"/>
        </w:tabs>
        <w:ind w:left="0"/>
      </w:pPr>
    </w:p>
    <w:p w:rsidR="002A3067" w:rsidRPr="00FB3955" w:rsidRDefault="002A3067" w:rsidP="00FB3955">
      <w:r>
        <w:t>Ansvarigt departement: Finansdepartementet</w:t>
      </w:r>
    </w:p>
    <w:p w:rsidR="002A3067" w:rsidRDefault="002A3067">
      <w:pPr>
        <w:pStyle w:val="RKnormal"/>
        <w:tabs>
          <w:tab w:val="clear" w:pos="1843"/>
          <w:tab w:val="left" w:pos="0"/>
        </w:tabs>
        <w:ind w:left="0"/>
      </w:pPr>
    </w:p>
    <w:p w:rsidR="002A3067" w:rsidRPr="00FB3955" w:rsidRDefault="002A3067" w:rsidP="00FB3955">
      <w:r>
        <w:t>Ansvarigt statsråd: Peter Norman</w:t>
      </w:r>
    </w:p>
    <w:p w:rsidR="002A3067" w:rsidRDefault="002A3067">
      <w:pPr>
        <w:pStyle w:val="RKnormal"/>
        <w:tabs>
          <w:tab w:val="clear" w:pos="1843"/>
          <w:tab w:val="left" w:pos="0"/>
        </w:tabs>
        <w:ind w:left="0"/>
      </w:pPr>
    </w:p>
    <w:p w:rsidR="002A3067" w:rsidRPr="00FB3955" w:rsidRDefault="002A3067" w:rsidP="00FB3955">
      <w:r>
        <w:t>Förväntas godkännas av Coreper II den 19 december 2012</w:t>
      </w:r>
    </w:p>
    <w:p w:rsidR="002A3067" w:rsidRDefault="002A3067">
      <w:pPr>
        <w:pStyle w:val="RKnormal"/>
        <w:tabs>
          <w:tab w:val="clear" w:pos="1843"/>
          <w:tab w:val="left" w:pos="0"/>
        </w:tabs>
        <w:ind w:left="0"/>
      </w:pPr>
    </w:p>
    <w:p w:rsidR="002A3067" w:rsidRDefault="002A3067" w:rsidP="00FB3955">
      <w:r>
        <w:t xml:space="preserve">Avsikt med behandlingen i rådet: </w:t>
      </w:r>
    </w:p>
    <w:p w:rsidR="002A3067" w:rsidRDefault="002A3067" w:rsidP="00FB3955">
      <w:r>
        <w:t xml:space="preserve">Rådet förväntas </w:t>
      </w:r>
    </w:p>
    <w:p w:rsidR="002A3067" w:rsidRDefault="002A3067" w:rsidP="00FB3955">
      <w:r>
        <w:t xml:space="preserve">– notera de framsteg som har gjorts med avseende på de båda förslagen, </w:t>
      </w:r>
    </w:p>
    <w:p w:rsidR="002A3067" w:rsidRDefault="002A3067" w:rsidP="00FB3955">
      <w:r>
        <w:t>– notera de senaste kompromissförslagen från det cypriotiska ordförandeskapet, och</w:t>
      </w:r>
    </w:p>
    <w:p w:rsidR="002A3067" w:rsidRDefault="002A3067" w:rsidP="00FB3955">
      <w:r>
        <w:t>– uppmana det inkommande irländska ordförandeskapet att fortsätta arbeta med utgångspunkt i dessa kompromissförslag i syfte att nå en överenskommelse om en allmän inriktning beträffande båda förslagen inom en nära framtid.</w:t>
      </w:r>
    </w:p>
    <w:p w:rsidR="002A3067" w:rsidRDefault="002A3067" w:rsidP="00FB3955"/>
    <w:p w:rsidR="002A3067" w:rsidRDefault="002A3067" w:rsidP="00FB3955">
      <w:r>
        <w:t xml:space="preserve">Hur regeringen ställer sig till den blivande a-punkten: </w:t>
      </w:r>
    </w:p>
    <w:p w:rsidR="002A3067" w:rsidRDefault="002A3067" w:rsidP="00FB3955">
      <w:r>
        <w:t>Regeringen har inte några invändningar mot lägesrapporten från det cypriotiska ordförandeskapet.</w:t>
      </w:r>
    </w:p>
    <w:p w:rsidR="002A3067" w:rsidRDefault="002A3067" w:rsidP="00FB3955"/>
    <w:p w:rsidR="002A3067" w:rsidRDefault="002A3067" w:rsidP="00FB3955">
      <w:r>
        <w:t xml:space="preserve">Bakgrund: </w:t>
      </w:r>
    </w:p>
    <w:p w:rsidR="002A3067" w:rsidRDefault="002A3067" w:rsidP="00F57FBA">
      <w:r>
        <w:t xml:space="preserve">EU-kommissionen lade i oktober 2011 fram förslag till en förordning och ett nytt direktiv om marknader för finansiella instrument (MiFIR respektive MiFID II). Förordningen och direktivet ska ersätta direktiv 2004/39/EG om marknader för finansiella instrument (MiFID I). Förslagen innebär främst ändringar i den reglering som gäller för verksamhet som drivs av värdepappersinstitut och börser. I förslagen ingår även åtgärder som syftar till att genomföra åtaganden gentemot G20 när det gäller handel med derivatinstrument. Förslagen innehåller många olika frågor och några av dem återstår att lösa. Detta gäller bl.a. vilka regler som ska gälla för den föreslagna nya formen av reglerad handelsplats (Organized Trading Facility, OTF), kraven på genomlysning av handeln med finansiella instrument samt rätt till tillträde på icke-diskriminerande villkor till centrala motparter. I Europaparlamentet antog utskottet för ekonomi och valutafrågor (ECON) i september en rapport om förslagen, som bekräftades i plenum i oktober. </w:t>
      </w:r>
    </w:p>
    <w:p w:rsidR="002A3067" w:rsidRPr="00FB3955" w:rsidRDefault="002A3067" w:rsidP="00FB3955">
      <w:pPr>
        <w:pStyle w:val="Heading2"/>
      </w:pPr>
      <w:bookmarkStart w:id="70" w:name="_Toc343699855"/>
      <w:r>
        <w:t>13. Proposal for a Council Regulation fixing for 2013 and 2014 the fishing opportunities for EU vessels for certain deep-sea fish stocks = Adoption</w:t>
      </w:r>
      <w:bookmarkEnd w:id="70"/>
    </w:p>
    <w:p w:rsidR="002A3067" w:rsidRPr="00FB3955" w:rsidRDefault="002A3067" w:rsidP="00FB3955">
      <w:r>
        <w:t>17290/12, 17289/12</w:t>
      </w:r>
    </w:p>
    <w:p w:rsidR="002A3067" w:rsidRDefault="002A3067">
      <w:pPr>
        <w:pStyle w:val="RKnormal"/>
        <w:tabs>
          <w:tab w:val="clear" w:pos="1843"/>
          <w:tab w:val="left" w:pos="0"/>
        </w:tabs>
        <w:ind w:left="0"/>
      </w:pPr>
    </w:p>
    <w:p w:rsidR="002A3067" w:rsidRPr="00FB3955" w:rsidRDefault="002A3067" w:rsidP="00FB3955">
      <w:r>
        <w:t>Ansvarigt departement: Landsbygdsdepartementet</w:t>
      </w:r>
    </w:p>
    <w:p w:rsidR="002A3067" w:rsidRDefault="002A3067">
      <w:pPr>
        <w:pStyle w:val="RKnormal"/>
        <w:tabs>
          <w:tab w:val="clear" w:pos="1843"/>
          <w:tab w:val="left" w:pos="0"/>
        </w:tabs>
        <w:ind w:left="0"/>
      </w:pPr>
    </w:p>
    <w:p w:rsidR="002A3067" w:rsidRPr="00FB3955" w:rsidRDefault="002A3067" w:rsidP="00FB3955">
      <w:r>
        <w:t>Ansvarigt statsråd: Eskil Erlandsson</w:t>
      </w:r>
    </w:p>
    <w:p w:rsidR="002A3067" w:rsidRDefault="002A3067">
      <w:pPr>
        <w:pStyle w:val="RKnormal"/>
        <w:tabs>
          <w:tab w:val="clear" w:pos="1843"/>
          <w:tab w:val="left" w:pos="0"/>
        </w:tabs>
        <w:ind w:left="0"/>
      </w:pPr>
    </w:p>
    <w:p w:rsidR="002A3067" w:rsidRPr="00FB3955" w:rsidRDefault="002A3067" w:rsidP="00FB3955">
      <w:r>
        <w:t>Förväntas godkännas av Coreper II den 19 december 2012</w:t>
      </w:r>
    </w:p>
    <w:p w:rsidR="002A3067" w:rsidRDefault="002A3067">
      <w:pPr>
        <w:pStyle w:val="RKnormal"/>
        <w:tabs>
          <w:tab w:val="clear" w:pos="1843"/>
          <w:tab w:val="left" w:pos="0"/>
        </w:tabs>
        <w:ind w:left="0"/>
      </w:pPr>
    </w:p>
    <w:p w:rsidR="002A3067" w:rsidRDefault="002A3067" w:rsidP="00FB3955">
      <w:r>
        <w:t xml:space="preserve">Avsikt med behandlingen i rådet: </w:t>
      </w:r>
    </w:p>
    <w:p w:rsidR="002A3067" w:rsidRDefault="002A3067" w:rsidP="00FB3955">
      <w:r>
        <w:t>Rådet föreslås godkänna fiskemöjligheterna på djuphavsarter för unionens medlemsstater för perioden 2013 och 2014</w:t>
      </w:r>
    </w:p>
    <w:p w:rsidR="002A3067" w:rsidRDefault="002A3067" w:rsidP="00FB3955"/>
    <w:p w:rsidR="002A3067" w:rsidRDefault="002A3067" w:rsidP="00FB3955">
      <w:r>
        <w:t xml:space="preserve">Hur regeringen ställer sig till den blivande A-punkten: </w:t>
      </w:r>
    </w:p>
    <w:p w:rsidR="002A3067" w:rsidRDefault="002A3067" w:rsidP="00FB3955">
      <w:r>
        <w:t>Regeringens samlade bedömning är att Sverige ska rösta nej till förslaget med följande röstdeklaration: Sverige anser att det är viktigt att noga beakta principerna i FN-avtalet om gränsöverskridande fiskbestånd och de internationella riktlinjerna för djuphavsfiske från 2008, i synnerhet avseende kraven på biståndsbedömningar, konsekvensbedömningar och tillämpningen av försiktighetsansatsen. Där det inte finns vetenskapliga råd tillgängliga bör försiktighetsansatsen gälla. Den 29 november nådde rådet en politisk överenskommelse om förslaget om kvoter för djuphavsarter för år 2013 och 2014. Sverige kommer att rösta nej till  den slutliga kompromissen på grund av ett otillräckligt   beaktande av försiktighetsansatsen för de bestånd där det inte finns tillförlitliga vetenskapliga råd att grunda besluten om kvoter på.</w:t>
      </w:r>
    </w:p>
    <w:p w:rsidR="002A3067" w:rsidRDefault="002A3067" w:rsidP="00FB3955"/>
    <w:p w:rsidR="002A3067" w:rsidRDefault="002A3067" w:rsidP="00FB3955">
      <w:r>
        <w:t xml:space="preserve">Bakgrund: </w:t>
      </w:r>
    </w:p>
    <w:p w:rsidR="002A3067" w:rsidRDefault="002A3067" w:rsidP="00316528">
      <w:r>
        <w:t xml:space="preserve">Enligt artikel 43.3 i fördraget ska rådet på förslag av kommissionen besluta om åtgärder om fastställande och fördelning av fiskemöjligheter. Förordningen innehåller fiskemöjligheter för djuphavsarter och särskilda tillträdeskrav och därmed förbundna villkor för fiske efter djuphavsbestånd och fastställs vartannat år. Förordningen fastställer således totalt tillåtna fångstmängder för djuphavsbestånd för 2013-2014. Kommissionens ursprungliga förslag, vilket Sverige stödde, baserade sig på vetenskaplig rådgivning från internationella havsforskningsrådet och den vetenskapliga, tekniska och ekonomiska kommittén för fiskenäringen och innebär minskningar för de flesta arter. På rådet lades det fram ett slutgiltigt kompromissförslaget som bland annat föreslog att TAC ska förbli oförändrad för de arter där det inte finns någon vetenskaplig rådgivning tillgänglig för att grunda besluten på. Detta var inte acceptabelt för Sverige, som istället ansåg att en sänkning av kvoten bör gälla för de bestånd som saknar säkra vetenskapliga råd, i enlighet med försiktighetsansatsen och kommissionens ursprungsförslag. </w:t>
      </w:r>
    </w:p>
    <w:p w:rsidR="002A3067" w:rsidRPr="00FB3955" w:rsidRDefault="002A3067" w:rsidP="00FB3955">
      <w:pPr>
        <w:pStyle w:val="Heading2"/>
      </w:pPr>
      <w:bookmarkStart w:id="71" w:name="_Toc343699856"/>
      <w:r>
        <w:t>14. Council Recommendation on the validation of non-formal and informal learning</w:t>
      </w:r>
      <w:bookmarkEnd w:id="71"/>
    </w:p>
    <w:p w:rsidR="002A3067" w:rsidRPr="00FB3955" w:rsidRDefault="002A3067" w:rsidP="00FB3955">
      <w:r>
        <w:t>17726/1/12, 16153/12</w:t>
      </w:r>
    </w:p>
    <w:p w:rsidR="002A3067" w:rsidRDefault="002A3067">
      <w:pPr>
        <w:pStyle w:val="RKnormal"/>
        <w:tabs>
          <w:tab w:val="clear" w:pos="1843"/>
          <w:tab w:val="left" w:pos="0"/>
        </w:tabs>
        <w:ind w:left="0"/>
      </w:pPr>
    </w:p>
    <w:p w:rsidR="002A3067" w:rsidRPr="00FB3955" w:rsidRDefault="002A3067" w:rsidP="00FB3955">
      <w:r>
        <w:t>Ansvarigt departement: Utbildningsdepartementet</w:t>
      </w:r>
    </w:p>
    <w:p w:rsidR="002A3067" w:rsidRDefault="002A3067">
      <w:pPr>
        <w:pStyle w:val="RKnormal"/>
        <w:tabs>
          <w:tab w:val="clear" w:pos="1843"/>
          <w:tab w:val="left" w:pos="0"/>
        </w:tabs>
        <w:ind w:left="0"/>
      </w:pPr>
    </w:p>
    <w:p w:rsidR="002A3067" w:rsidRPr="00FB3955" w:rsidRDefault="002A3067" w:rsidP="00FB3955">
      <w:r>
        <w:t>Ansvarigt statsråd: Jan Björklund</w:t>
      </w:r>
    </w:p>
    <w:p w:rsidR="002A3067" w:rsidRDefault="002A3067">
      <w:pPr>
        <w:pStyle w:val="RKnormal"/>
        <w:tabs>
          <w:tab w:val="clear" w:pos="1843"/>
          <w:tab w:val="left" w:pos="0"/>
        </w:tabs>
        <w:ind w:left="0"/>
      </w:pPr>
    </w:p>
    <w:p w:rsidR="002A3067" w:rsidRPr="00FB3955" w:rsidRDefault="002A3067" w:rsidP="00FB3955">
      <w:r>
        <w:t>Tidigare behandling i EU -nämnden: 2012-11-23</w:t>
      </w:r>
    </w:p>
    <w:p w:rsidR="002A3067" w:rsidRDefault="002A3067">
      <w:pPr>
        <w:pStyle w:val="RKnormal"/>
        <w:tabs>
          <w:tab w:val="clear" w:pos="1843"/>
          <w:tab w:val="left" w:pos="0"/>
        </w:tabs>
        <w:ind w:left="0"/>
      </w:pPr>
    </w:p>
    <w:p w:rsidR="002A3067" w:rsidRPr="00FB3955" w:rsidRDefault="002A3067" w:rsidP="00FB3955">
      <w:r>
        <w:t>Tidigare behandling vid rådsmöte: Utbildning, ungdom och kulturrådet</w:t>
      </w:r>
    </w:p>
    <w:p w:rsidR="002A3067" w:rsidRDefault="002A3067">
      <w:pPr>
        <w:pStyle w:val="RKnormal"/>
        <w:tabs>
          <w:tab w:val="clear" w:pos="1843"/>
          <w:tab w:val="left" w:pos="0"/>
        </w:tabs>
        <w:ind w:left="0"/>
      </w:pPr>
    </w:p>
    <w:p w:rsidR="002A3067" w:rsidRPr="00FB3955" w:rsidRDefault="002A3067" w:rsidP="00FB3955">
      <w:r>
        <w:t>Förväntas godkännas av Coreper II den 19 december 2012</w:t>
      </w:r>
    </w:p>
    <w:p w:rsidR="002A3067" w:rsidRDefault="002A3067">
      <w:pPr>
        <w:pStyle w:val="RKnormal"/>
        <w:tabs>
          <w:tab w:val="clear" w:pos="1843"/>
          <w:tab w:val="left" w:pos="0"/>
        </w:tabs>
        <w:ind w:left="0"/>
      </w:pPr>
    </w:p>
    <w:p w:rsidR="002A3067" w:rsidRDefault="002A3067" w:rsidP="00FB3955">
      <w:r>
        <w:t xml:space="preserve">Avsikt med behandlingen i rådet: </w:t>
      </w:r>
    </w:p>
    <w:p w:rsidR="002A3067" w:rsidRDefault="002A3067" w:rsidP="00FB3955">
      <w:r>
        <w:t>Rådet föreslås anta rekommendationen om validering av icke-formellt och informellt lärande.</w:t>
      </w:r>
    </w:p>
    <w:p w:rsidR="002A3067" w:rsidRDefault="002A3067" w:rsidP="00FB3955"/>
    <w:p w:rsidR="002A3067" w:rsidRDefault="002A3067" w:rsidP="00FB3955">
      <w:r>
        <w:t xml:space="preserve">Hur regeringen ställer sig till den blivande A-punkten: </w:t>
      </w:r>
    </w:p>
    <w:p w:rsidR="002A3067" w:rsidRDefault="002A3067" w:rsidP="00FB3955">
      <w:r>
        <w:t xml:space="preserve">Regeringen avser rösta ja. </w:t>
      </w:r>
    </w:p>
    <w:p w:rsidR="002A3067" w:rsidRDefault="002A3067" w:rsidP="00FB3955"/>
    <w:p w:rsidR="002A3067" w:rsidRDefault="002A3067" w:rsidP="00FB3955">
      <w:r>
        <w:t xml:space="preserve">Bakgrund:  </w:t>
      </w:r>
    </w:p>
    <w:p w:rsidR="002A3067" w:rsidRDefault="002A3067" w:rsidP="00FB3955">
      <w:r>
        <w:t>Den 6 september 2012 förelade kommissionen rådet ett förslag till rekommendation baserat på artiklarna 165 och 166 i fördraget om Europeiska unionens funktionssätt, i syfte att främja validering av kunskaper, färdigheter och kompetenser som förvärvats utanför den formella utbildningen som ett sätt att förbättra anställbarheten eller som en grund för vidare lärande.</w:t>
      </w:r>
    </w:p>
    <w:p w:rsidR="002A3067" w:rsidRDefault="002A3067" w:rsidP="00FB3955"/>
    <w:p w:rsidR="002A3067" w:rsidRDefault="002A3067" w:rsidP="00FB3955">
      <w:r>
        <w:t xml:space="preserve">Vid mötet i rådet för utbildning, ungdom, kultur och idrott den 26 november 2012 nåddes en politisk överenskommelse om förslaget. </w:t>
      </w:r>
    </w:p>
    <w:p w:rsidR="002A3067" w:rsidRDefault="002A3067" w:rsidP="00FB3955"/>
    <w:p w:rsidR="002A3067" w:rsidRDefault="002A3067" w:rsidP="00081DF2">
      <w:r>
        <w:t xml:space="preserve">Efter juristlingvisternas slutgranskning uppmanas nu Coreper att vidarebefordra texten i dokument 16153/12 till rådet för antagande som en "A-punkt". </w:t>
      </w:r>
    </w:p>
    <w:p w:rsidR="002A3067" w:rsidRPr="00FB3955" w:rsidRDefault="002A3067" w:rsidP="00FB3955">
      <w:pPr>
        <w:pStyle w:val="Heading2"/>
      </w:pPr>
      <w:bookmarkStart w:id="72" w:name="_Toc343699857"/>
      <w:r>
        <w:t>15. Proposal for a Council directive on consular protection for citizens of the Union abroad = State of play</w:t>
      </w:r>
      <w:bookmarkEnd w:id="72"/>
    </w:p>
    <w:p w:rsidR="002A3067" w:rsidRPr="00FB3955" w:rsidRDefault="002A3067" w:rsidP="00FB3955">
      <w:r>
        <w:t>17517/12</w:t>
      </w:r>
    </w:p>
    <w:p w:rsidR="002A3067" w:rsidRDefault="002A3067">
      <w:pPr>
        <w:pStyle w:val="RKnormal"/>
        <w:tabs>
          <w:tab w:val="clear" w:pos="1843"/>
          <w:tab w:val="left" w:pos="0"/>
        </w:tabs>
        <w:ind w:left="0"/>
      </w:pPr>
    </w:p>
    <w:p w:rsidR="002A3067" w:rsidRPr="00FB3955" w:rsidRDefault="002A3067" w:rsidP="00FB3955">
      <w:r>
        <w:t>Ansvarigt departement: Utrikesdepartementet</w:t>
      </w:r>
    </w:p>
    <w:p w:rsidR="002A3067" w:rsidRDefault="002A3067">
      <w:pPr>
        <w:pStyle w:val="RKnormal"/>
        <w:tabs>
          <w:tab w:val="clear" w:pos="1843"/>
          <w:tab w:val="left" w:pos="0"/>
        </w:tabs>
        <w:ind w:left="0"/>
      </w:pPr>
    </w:p>
    <w:p w:rsidR="002A3067" w:rsidRPr="00FB3955" w:rsidRDefault="002A3067" w:rsidP="00FB3955">
      <w:r>
        <w:t>Ansvarigt statsråd: Carl Bildt</w:t>
      </w:r>
    </w:p>
    <w:p w:rsidR="002A3067" w:rsidRDefault="002A3067">
      <w:pPr>
        <w:pStyle w:val="RKnormal"/>
        <w:tabs>
          <w:tab w:val="clear" w:pos="1843"/>
          <w:tab w:val="left" w:pos="0"/>
        </w:tabs>
        <w:ind w:left="0"/>
      </w:pPr>
    </w:p>
    <w:p w:rsidR="002A3067" w:rsidRPr="00FB3955" w:rsidRDefault="002A3067" w:rsidP="00FB3955">
      <w:r>
        <w:t>Förväntas godkännas av Coreper II den 19 december 2012</w:t>
      </w:r>
    </w:p>
    <w:p w:rsidR="002A3067" w:rsidRDefault="002A3067">
      <w:pPr>
        <w:pStyle w:val="RKnormal"/>
        <w:tabs>
          <w:tab w:val="clear" w:pos="1843"/>
          <w:tab w:val="left" w:pos="0"/>
        </w:tabs>
        <w:ind w:left="0"/>
      </w:pPr>
    </w:p>
    <w:p w:rsidR="002A3067" w:rsidRDefault="002A3067" w:rsidP="00FB3955">
      <w:r>
        <w:t>Syfte med behandlingen i Coreper:</w:t>
      </w:r>
    </w:p>
    <w:p w:rsidR="002A3067" w:rsidRDefault="002A3067" w:rsidP="00FB3955">
      <w:r>
        <w:t>Informationspunkt rörande förhandlingsläget vad gäller kommissionens förslag till direktiv om konsulärt skydd för EU-medborgare utomlands.</w:t>
      </w:r>
    </w:p>
    <w:p w:rsidR="002A3067" w:rsidRDefault="002A3067" w:rsidP="00FB3955"/>
    <w:p w:rsidR="002A3067" w:rsidRDefault="002A3067" w:rsidP="00FB3955">
      <w:r>
        <w:t>Bakgrund:</w:t>
      </w:r>
    </w:p>
    <w:p w:rsidR="002A3067" w:rsidRDefault="002A3067" w:rsidP="00316528">
      <w:r>
        <w:t xml:space="preserve">Kommissionen lade fram sitt förslag till direktiv i december 2011, då det fick ett blandat mottagande av medlemsstaterna. Förslaget har diskuterats återkommande i rådsarbetsgruppen för konsulära frågor, Cocon, där positionerna är fortsatt spridda. Stora stötestenar är frågan om finansiering samt EEAS och EU-delegationernas roll. Under det cypriotiska ordförandeskapet har det tagits fram en reviderad version av förslagets första två kapitel. Någon fullständig enighet råder dock inte heller kring denna version. Diskussioner kring de tredje och fjärde kapitlen samt direktivet som helhet, kommer att fortsätta under det irländska ordförandeskapet. </w:t>
      </w:r>
    </w:p>
    <w:p w:rsidR="002A3067" w:rsidRPr="00FB3955" w:rsidRDefault="002A3067" w:rsidP="00FB3955">
      <w:pPr>
        <w:pStyle w:val="Heading2"/>
      </w:pPr>
      <w:bookmarkStart w:id="73" w:name="_Toc343699858"/>
      <w:r>
        <w:t>16. CCA Review Process: Presidency Report on "Arrangements for Crisis Coordination at EU political level"</w:t>
      </w:r>
      <w:bookmarkEnd w:id="73"/>
    </w:p>
    <w:p w:rsidR="002A3067" w:rsidRPr="00FB3955" w:rsidRDefault="002A3067" w:rsidP="00FB3955">
      <w:r>
        <w:t>17205/12</w:t>
      </w:r>
    </w:p>
    <w:p w:rsidR="002A3067" w:rsidRDefault="002A3067">
      <w:pPr>
        <w:pStyle w:val="RKnormal"/>
        <w:tabs>
          <w:tab w:val="clear" w:pos="1843"/>
          <w:tab w:val="left" w:pos="0"/>
        </w:tabs>
        <w:ind w:left="0"/>
      </w:pPr>
    </w:p>
    <w:p w:rsidR="002A3067" w:rsidRPr="00FB3955" w:rsidRDefault="002A3067" w:rsidP="00FB3955">
      <w:r>
        <w:t>Ansvarigt departement: Krishanteringskansliet</w:t>
      </w:r>
    </w:p>
    <w:p w:rsidR="002A3067" w:rsidRDefault="002A3067">
      <w:pPr>
        <w:pStyle w:val="RKnormal"/>
        <w:tabs>
          <w:tab w:val="clear" w:pos="1843"/>
          <w:tab w:val="left" w:pos="0"/>
        </w:tabs>
        <w:ind w:left="0"/>
      </w:pPr>
    </w:p>
    <w:p w:rsidR="002A3067" w:rsidRPr="00FB3955" w:rsidRDefault="002A3067" w:rsidP="00FB3955">
      <w:r>
        <w:t>Ansvarigt statsråd: Statsrådsberedningen</w:t>
      </w:r>
    </w:p>
    <w:p w:rsidR="002A3067" w:rsidRDefault="002A3067">
      <w:pPr>
        <w:pStyle w:val="RKnormal"/>
        <w:tabs>
          <w:tab w:val="clear" w:pos="1843"/>
          <w:tab w:val="left" w:pos="0"/>
        </w:tabs>
        <w:ind w:left="0"/>
      </w:pPr>
    </w:p>
    <w:p w:rsidR="002A3067" w:rsidRPr="00FB3955" w:rsidRDefault="002A3067" w:rsidP="00FB3955">
      <w:r>
        <w:t>Förväntas godkännas av Coreper II den 19 december 2012</w:t>
      </w:r>
    </w:p>
    <w:p w:rsidR="002A3067" w:rsidRDefault="002A3067">
      <w:pPr>
        <w:pStyle w:val="RKnormal"/>
        <w:tabs>
          <w:tab w:val="clear" w:pos="1843"/>
          <w:tab w:val="left" w:pos="0"/>
        </w:tabs>
        <w:ind w:left="0"/>
      </w:pPr>
    </w:p>
    <w:p w:rsidR="002A3067" w:rsidRDefault="002A3067" w:rsidP="00FB3955">
      <w:r>
        <w:t xml:space="preserve">Friends of the Presidency CCA efterfrågar förlängt mandat till och med juni 2013. </w:t>
      </w:r>
    </w:p>
    <w:p w:rsidR="002A3067" w:rsidRDefault="002A3067" w:rsidP="00FB3955"/>
    <w:p w:rsidR="002A3067" w:rsidRDefault="002A3067" w:rsidP="00FB3955"/>
    <w:p w:rsidR="002A3067" w:rsidRDefault="002A3067" w:rsidP="00FB3955">
      <w:r>
        <w:t xml:space="preserve">Bakgrund: </w:t>
      </w:r>
    </w:p>
    <w:p w:rsidR="002A3067" w:rsidRDefault="002A3067" w:rsidP="00FB3955">
      <w:r>
        <w:t xml:space="preserve">EU:s kriskoordineringsarrangemang (CCA) inrättades genom rådslutsatser år 2006 (dok. 9409/06). En översyn av CCA har pågått sedan december 2010 genom en så kallad Friends of the Presidency-grupp (FoP). I december 2011 rapporterade FoP CCA till Coreper II att man kommit fram till att CCA i sin nuvarande form inte är ändamålsenligt som politiskt instrument för tvärsektoriella kriser efter Lissabonfördragets ikraftträdande. Coreper II ställde sig bakom rapporten och bad FoP CCA att i slutet av 2012 återkomma med förslag till nya eller reviderade arrangemang. </w:t>
      </w:r>
    </w:p>
    <w:p w:rsidR="002A3067" w:rsidRDefault="002A3067" w:rsidP="00FB3955"/>
    <w:p w:rsidR="002A3067" w:rsidRDefault="002A3067" w:rsidP="00316528">
      <w:r>
        <w:t xml:space="preserve">Det danska ordförandeskapet presenterade i slutet av maj ett ramverk till reviderade arrangemang för Coreper II. Där angavs ett flertal implementeringsåtgärder som skulle utvecklas under hösten, bland annat hur en EU-gemensam lägesuppfattning ska skapas, CCA-hemsidan, övning, utbildning, erfarenhetsåterföring samt kommunikationsstrategi. Kommissionen, utrikestjänsten samt rådssekretariatet som fick i uppgift att presentera ett implementationsförslag av en EU-gemensam lägesuppfattning har inte lyckats uppnå något resultat, vilket gör att FoP inte har kunnat slutföra översynen av CCA som planerat under detta år. Med anledning av detta ber nu FoP Coreper II att förlänga mandatet för FoP till slutet av juni 2013. </w:t>
      </w:r>
    </w:p>
    <w:p w:rsidR="002A3067" w:rsidRPr="00FB3955" w:rsidRDefault="002A3067" w:rsidP="00FB3955">
      <w:pPr>
        <w:pStyle w:val="Heading2"/>
      </w:pPr>
      <w:bookmarkStart w:id="74" w:name="_Toc343699859"/>
      <w:r>
        <w:t>17. EU Support for Sustainable Change in Transition Societies = Draft Council Conclusions</w:t>
      </w:r>
      <w:bookmarkEnd w:id="74"/>
    </w:p>
    <w:p w:rsidR="002A3067" w:rsidRPr="00FB3955" w:rsidRDefault="002A3067" w:rsidP="00FB3955">
      <w:r>
        <w:t>17708/12</w:t>
      </w:r>
    </w:p>
    <w:p w:rsidR="002A3067" w:rsidRDefault="002A3067">
      <w:pPr>
        <w:pStyle w:val="RKnormal"/>
        <w:tabs>
          <w:tab w:val="clear" w:pos="1843"/>
          <w:tab w:val="left" w:pos="0"/>
        </w:tabs>
        <w:ind w:left="0"/>
      </w:pPr>
    </w:p>
    <w:p w:rsidR="002A3067" w:rsidRPr="00FB3955" w:rsidRDefault="002A3067" w:rsidP="00FB3955">
      <w:r>
        <w:t>Ansvarigt departement: Utrikesdepartementet</w:t>
      </w:r>
    </w:p>
    <w:p w:rsidR="002A3067" w:rsidRDefault="002A3067">
      <w:pPr>
        <w:pStyle w:val="RKnormal"/>
        <w:tabs>
          <w:tab w:val="clear" w:pos="1843"/>
          <w:tab w:val="left" w:pos="0"/>
        </w:tabs>
        <w:ind w:left="0"/>
      </w:pPr>
    </w:p>
    <w:p w:rsidR="002A3067" w:rsidRPr="00FB3955" w:rsidRDefault="002A3067" w:rsidP="00FB3955">
      <w:r>
        <w:t>Ansvarigt statsråd: Gunilla Carlsson</w:t>
      </w:r>
    </w:p>
    <w:p w:rsidR="002A3067" w:rsidRDefault="002A3067">
      <w:pPr>
        <w:pStyle w:val="RKnormal"/>
        <w:tabs>
          <w:tab w:val="clear" w:pos="1843"/>
          <w:tab w:val="left" w:pos="0"/>
        </w:tabs>
        <w:ind w:left="0"/>
      </w:pPr>
    </w:p>
    <w:p w:rsidR="002A3067" w:rsidRPr="00FB3955" w:rsidRDefault="002A3067" w:rsidP="00FB3955">
      <w:r>
        <w:t>Förväntas godkännas av Coreper II den 19 december 2012</w:t>
      </w:r>
    </w:p>
    <w:p w:rsidR="002A3067" w:rsidRDefault="002A3067">
      <w:pPr>
        <w:pStyle w:val="RKnormal"/>
        <w:tabs>
          <w:tab w:val="clear" w:pos="1843"/>
          <w:tab w:val="left" w:pos="0"/>
        </w:tabs>
        <w:ind w:left="0"/>
      </w:pPr>
    </w:p>
    <w:p w:rsidR="002A3067" w:rsidRDefault="002A3067" w:rsidP="00FB3955">
      <w:r>
        <w:t xml:space="preserve">Avsikt med behandlingen: </w:t>
      </w:r>
    </w:p>
    <w:p w:rsidR="002A3067" w:rsidRDefault="002A3067" w:rsidP="00FB3955">
      <w:r>
        <w:t>Rådet föreslås anta slutsatser om förslag gällande EU:s stöd till hållbar förändring i samhällen i transition.</w:t>
      </w:r>
    </w:p>
    <w:p w:rsidR="002A3067" w:rsidRDefault="002A3067" w:rsidP="00FB3955"/>
    <w:p w:rsidR="002A3067" w:rsidRDefault="002A3067" w:rsidP="00FB3955">
      <w:r>
        <w:t xml:space="preserve">Hur regeringen ställer sig till den blivande A-punkten: </w:t>
      </w:r>
    </w:p>
    <w:p w:rsidR="002A3067" w:rsidRDefault="002A3067" w:rsidP="00FB3955">
      <w:r>
        <w:t>Regeringen välkomnar förslaget.</w:t>
      </w:r>
    </w:p>
    <w:p w:rsidR="002A3067" w:rsidRDefault="002A3067" w:rsidP="00FB3955"/>
    <w:p w:rsidR="002A3067" w:rsidRDefault="002A3067">
      <w:pPr>
        <w:spacing w:line="240" w:lineRule="auto"/>
      </w:pPr>
      <w:r>
        <w:br w:type="page"/>
      </w:r>
    </w:p>
    <w:p w:rsidR="002A3067" w:rsidRDefault="002A3067" w:rsidP="00FB3955">
      <w:r>
        <w:t xml:space="preserve">Bakgrund: </w:t>
      </w:r>
    </w:p>
    <w:p w:rsidR="002A3067" w:rsidRDefault="002A3067" w:rsidP="00316528">
      <w:r>
        <w:t xml:space="preserve">KOM presenterade ett meddelande om EU:s stöd till hållbar förändring i länder i transition. Regeringen har välkomnat förslaget och påtalat vikten av ett mer effektivt, flexibelt och samstämmigt agerande från EU för att uppnå konkreta resultat, liksom incitamentsdriven konditionalitet, behovet av mer vetenskapligt grundade mätmetoder gällande mänskliga rättigheter, demokrati och rättsstatens principer, vikten av att använda sig av existerande kris- och konflikthanteringsinstrument samt att ett rättighetsperspektiv bör anläggas. </w:t>
      </w:r>
    </w:p>
    <w:p w:rsidR="002A3067" w:rsidRPr="00FB3955" w:rsidRDefault="002A3067" w:rsidP="00FB3955">
      <w:pPr>
        <w:pStyle w:val="Heading2"/>
      </w:pPr>
      <w:bookmarkStart w:id="75" w:name="_Toc343699860"/>
      <w:r>
        <w:t>18. Draft Council Conclusions on the European Court of Auditors' Special Report No 13/2012: "European Union Development Assistance for Drinking-Water Supply and Basic Sanitation in Sub-Saharan Countries" = Adoption</w:t>
      </w:r>
      <w:bookmarkEnd w:id="75"/>
    </w:p>
    <w:p w:rsidR="002A3067" w:rsidRPr="00FB3955" w:rsidRDefault="002A3067" w:rsidP="00FB3955">
      <w:r>
        <w:t>17288/12</w:t>
      </w:r>
    </w:p>
    <w:p w:rsidR="002A3067" w:rsidRDefault="002A3067">
      <w:pPr>
        <w:pStyle w:val="RKnormal"/>
        <w:tabs>
          <w:tab w:val="clear" w:pos="1843"/>
          <w:tab w:val="left" w:pos="0"/>
        </w:tabs>
        <w:ind w:left="0"/>
      </w:pPr>
    </w:p>
    <w:p w:rsidR="002A3067" w:rsidRPr="00FB3955" w:rsidRDefault="002A3067" w:rsidP="00FB3955">
      <w:r>
        <w:t>Ansvarigt departement: Utrikesdepartementet</w:t>
      </w:r>
    </w:p>
    <w:p w:rsidR="002A3067" w:rsidRDefault="002A3067">
      <w:pPr>
        <w:pStyle w:val="RKnormal"/>
        <w:tabs>
          <w:tab w:val="clear" w:pos="1843"/>
          <w:tab w:val="left" w:pos="0"/>
        </w:tabs>
        <w:ind w:left="0"/>
      </w:pPr>
    </w:p>
    <w:p w:rsidR="002A3067" w:rsidRPr="00FB3955" w:rsidRDefault="002A3067" w:rsidP="00FB3955">
      <w:r>
        <w:t>Ansvarigt statsråd: Gunilla Carlsson</w:t>
      </w:r>
    </w:p>
    <w:p w:rsidR="002A3067" w:rsidRDefault="002A3067">
      <w:pPr>
        <w:pStyle w:val="RKnormal"/>
        <w:tabs>
          <w:tab w:val="clear" w:pos="1843"/>
          <w:tab w:val="left" w:pos="0"/>
        </w:tabs>
        <w:ind w:left="0"/>
      </w:pPr>
    </w:p>
    <w:p w:rsidR="002A3067" w:rsidRPr="00FB3955" w:rsidRDefault="002A3067" w:rsidP="00FB3955">
      <w:r>
        <w:t>Förväntas godkännas av Coreper II den 19 december 2012</w:t>
      </w:r>
    </w:p>
    <w:p w:rsidR="002A3067" w:rsidRDefault="002A3067">
      <w:pPr>
        <w:pStyle w:val="RKnormal"/>
        <w:tabs>
          <w:tab w:val="clear" w:pos="1843"/>
          <w:tab w:val="left" w:pos="0"/>
        </w:tabs>
        <w:ind w:left="0"/>
      </w:pPr>
    </w:p>
    <w:p w:rsidR="002A3067" w:rsidRDefault="002A3067" w:rsidP="00FB3955">
      <w:r>
        <w:t xml:space="preserve">Avsikt med behandlingen i rådet: </w:t>
      </w:r>
    </w:p>
    <w:p w:rsidR="002A3067" w:rsidRDefault="002A3067" w:rsidP="00FB3955">
      <w:r>
        <w:t>Rådet föreslås anta slutsatser om revisionsrättens särskilda rapport nr 13/2012.</w:t>
      </w:r>
    </w:p>
    <w:p w:rsidR="002A3067" w:rsidRDefault="002A3067" w:rsidP="00FB3955"/>
    <w:p w:rsidR="002A3067" w:rsidRDefault="002A3067" w:rsidP="00FB3955">
      <w:r>
        <w:t xml:space="preserve">Hur regeringen ställer sig till den blivande A-punkten: </w:t>
      </w:r>
    </w:p>
    <w:p w:rsidR="002A3067" w:rsidRDefault="002A3067" w:rsidP="00FB3955">
      <w:r>
        <w:t>Regeringen avser godkänna utkastet till rådsslutsatser.</w:t>
      </w:r>
    </w:p>
    <w:p w:rsidR="002A3067" w:rsidRDefault="002A3067" w:rsidP="00FB3955"/>
    <w:p w:rsidR="002A3067" w:rsidRDefault="002A3067" w:rsidP="00FB3955">
      <w:r>
        <w:t xml:space="preserve">Bakgrund: </w:t>
      </w:r>
    </w:p>
    <w:p w:rsidR="002A3067" w:rsidRDefault="002A3067" w:rsidP="00FB3955">
      <w:r>
        <w:t>Den 2 oktober 2012 offentliggjordes revisionsrättens särskilda rapport om EU:s utvecklingsbistånd till dricksvattenförsörjning och grundläggande sanitetstjänster i länder söder om Sahara. Rapporten bedömer hur KOM har hanterat det aktuella utvecklingsbiståndet och om verksamhetens resultat är ändamålsenliga och hållbara.</w:t>
      </w:r>
    </w:p>
    <w:p w:rsidR="002A3067" w:rsidRDefault="002A3067" w:rsidP="00FB3955"/>
    <w:p w:rsidR="002A3067" w:rsidRDefault="002A3067" w:rsidP="00FB3955">
      <w:r>
        <w:t>Rapporten fann att projekten till viss del har varit framgångsrika när det gäller resultat och hållbarhet, men riktar även stark kritik mot KOM – i synnerhet gällande projektens ekonomiska och finansiella hållbarhet på medellång och lång sikt. Revisionsrätten ger KOM ett antal rekommendationer. KOM uppmanas framförallt att följa redan fastställda förfaranden och riktlinjer.</w:t>
      </w:r>
    </w:p>
    <w:p w:rsidR="002A3067" w:rsidRDefault="002A3067" w:rsidP="00FB3955"/>
    <w:p w:rsidR="002A3067" w:rsidRDefault="002A3067" w:rsidP="00316528">
      <w:r>
        <w:t xml:space="preserve">I rådsslutsatserna välkomnas den särskilda rapporten, brister i KOM:s arbete med vatten och sanitet belyses, samt KOM uppmanas att efterleva revisionsrättens rekommendationer. </w:t>
      </w:r>
    </w:p>
    <w:p w:rsidR="002A3067" w:rsidRPr="00FB3955" w:rsidRDefault="002A3067" w:rsidP="00FB3955">
      <w:pPr>
        <w:pStyle w:val="Heading2"/>
      </w:pPr>
      <w:bookmarkStart w:id="76" w:name="_Toc343699861"/>
      <w:r>
        <w:t>19. Draft Council conclusions on EU relations with the Principality of Andorra, the Principality of Monaco and the Republic of San Marino</w:t>
      </w:r>
      <w:bookmarkEnd w:id="76"/>
    </w:p>
    <w:p w:rsidR="002A3067" w:rsidRPr="00FB3955" w:rsidRDefault="002A3067" w:rsidP="00FB3955">
      <w:r>
        <w:t>17783/12</w:t>
      </w:r>
    </w:p>
    <w:p w:rsidR="002A3067" w:rsidRDefault="002A3067">
      <w:pPr>
        <w:pStyle w:val="RKnormal"/>
        <w:tabs>
          <w:tab w:val="clear" w:pos="1843"/>
          <w:tab w:val="left" w:pos="0"/>
        </w:tabs>
        <w:ind w:left="0"/>
      </w:pPr>
    </w:p>
    <w:p w:rsidR="002A3067" w:rsidRPr="00FB3955" w:rsidRDefault="002A3067" w:rsidP="00FB3955">
      <w:r>
        <w:t>Ansvarigt departement: Utrikesdepartementet</w:t>
      </w:r>
    </w:p>
    <w:p w:rsidR="002A3067" w:rsidRDefault="002A3067">
      <w:pPr>
        <w:pStyle w:val="RKnormal"/>
        <w:tabs>
          <w:tab w:val="clear" w:pos="1843"/>
          <w:tab w:val="left" w:pos="0"/>
        </w:tabs>
        <w:ind w:left="0"/>
      </w:pPr>
    </w:p>
    <w:p w:rsidR="002A3067" w:rsidRPr="00FB3955" w:rsidRDefault="002A3067" w:rsidP="00FB3955">
      <w:r>
        <w:t>Ansvarigt statsråd: Carl Bildt</w:t>
      </w:r>
    </w:p>
    <w:p w:rsidR="002A3067" w:rsidRDefault="002A3067">
      <w:pPr>
        <w:pStyle w:val="RKnormal"/>
        <w:tabs>
          <w:tab w:val="clear" w:pos="1843"/>
          <w:tab w:val="left" w:pos="0"/>
        </w:tabs>
        <w:ind w:left="0"/>
      </w:pPr>
    </w:p>
    <w:p w:rsidR="002A3067" w:rsidRPr="00FB3955" w:rsidRDefault="002A3067" w:rsidP="00FB3955">
      <w:r>
        <w:t>Tidigare behandling vid rådsmöte: Allmänna frågor och yttre förbindelser</w:t>
      </w:r>
    </w:p>
    <w:p w:rsidR="002A3067" w:rsidRDefault="002A3067">
      <w:pPr>
        <w:pStyle w:val="RKnormal"/>
        <w:tabs>
          <w:tab w:val="clear" w:pos="1843"/>
          <w:tab w:val="left" w:pos="0"/>
        </w:tabs>
        <w:ind w:left="0"/>
      </w:pPr>
    </w:p>
    <w:p w:rsidR="002A3067" w:rsidRPr="00FB3955" w:rsidRDefault="002A3067" w:rsidP="00FB3955">
      <w:r>
        <w:t>Förväntas godkännas av Coreper II den 19 december 2012</w:t>
      </w:r>
    </w:p>
    <w:p w:rsidR="002A3067" w:rsidRDefault="002A3067">
      <w:pPr>
        <w:pStyle w:val="RKnormal"/>
        <w:tabs>
          <w:tab w:val="clear" w:pos="1843"/>
          <w:tab w:val="left" w:pos="0"/>
        </w:tabs>
        <w:ind w:left="0"/>
      </w:pPr>
    </w:p>
    <w:p w:rsidR="002A3067" w:rsidRDefault="002A3067" w:rsidP="00FB3955">
      <w:r>
        <w:t>Punkten avser rådsslutsatser om EU:s relationer med de mindre grannländerna till EU, Andorra, San Marino och Monaco.</w:t>
      </w:r>
    </w:p>
    <w:p w:rsidR="002A3067" w:rsidRDefault="002A3067" w:rsidP="00FB3955"/>
    <w:p w:rsidR="002A3067" w:rsidRDefault="002A3067" w:rsidP="00FB3955">
      <w:r>
        <w:t>Antagande av slutsatserna bör stödjas.</w:t>
      </w:r>
    </w:p>
    <w:p w:rsidR="002A3067" w:rsidRDefault="002A3067" w:rsidP="00FB3955"/>
    <w:p w:rsidR="002A3067" w:rsidRDefault="002A3067" w:rsidP="00316528">
      <w:r>
        <w:t xml:space="preserve">I slutsatserna inbjuds KOM och Höge representanten att göra en analys av de tre ländernas framtida anknytning till  EU. Huvudalternativen anges vara integration av de tre länderna i EES eller avtal om associering med EU. Länderna uppmanas även att fortsatt verka för anpassning till EU:s acquis.  </w:t>
      </w:r>
    </w:p>
    <w:p w:rsidR="002A3067" w:rsidRPr="00FB3955" w:rsidRDefault="002A3067" w:rsidP="00FB3955">
      <w:pPr>
        <w:pStyle w:val="Heading2"/>
      </w:pPr>
      <w:bookmarkStart w:id="77" w:name="_Toc343699862"/>
      <w:r>
        <w:t>20. Council Decision amending Common Position 2003/495/CFSP on Iraq</w:t>
      </w:r>
      <w:bookmarkEnd w:id="77"/>
    </w:p>
    <w:p w:rsidR="002A3067" w:rsidRPr="00FB3955" w:rsidRDefault="002A3067" w:rsidP="00FB3955">
      <w:r>
        <w:t>17850/12, 17606/12</w:t>
      </w:r>
    </w:p>
    <w:p w:rsidR="002A3067" w:rsidRDefault="002A3067">
      <w:pPr>
        <w:pStyle w:val="RKnormal"/>
        <w:tabs>
          <w:tab w:val="clear" w:pos="1843"/>
          <w:tab w:val="left" w:pos="0"/>
        </w:tabs>
        <w:ind w:left="0"/>
      </w:pPr>
    </w:p>
    <w:p w:rsidR="002A3067" w:rsidRPr="00FB3955" w:rsidRDefault="002A3067" w:rsidP="00FB3955">
      <w:r>
        <w:t>Ansvarigt departement: Utrikesdepartementet</w:t>
      </w:r>
    </w:p>
    <w:p w:rsidR="002A3067" w:rsidRDefault="002A3067">
      <w:pPr>
        <w:pStyle w:val="RKnormal"/>
        <w:tabs>
          <w:tab w:val="clear" w:pos="1843"/>
          <w:tab w:val="left" w:pos="0"/>
        </w:tabs>
        <w:ind w:left="0"/>
      </w:pPr>
    </w:p>
    <w:p w:rsidR="002A3067" w:rsidRPr="00FB3955" w:rsidRDefault="002A3067" w:rsidP="00FB3955">
      <w:r>
        <w:t>Ansvarigt statsråd: Carl Bildt</w:t>
      </w:r>
    </w:p>
    <w:p w:rsidR="002A3067" w:rsidRDefault="002A3067">
      <w:pPr>
        <w:pStyle w:val="RKnormal"/>
        <w:tabs>
          <w:tab w:val="clear" w:pos="1843"/>
          <w:tab w:val="left" w:pos="0"/>
        </w:tabs>
        <w:ind w:left="0"/>
      </w:pPr>
    </w:p>
    <w:p w:rsidR="002A3067" w:rsidRPr="00FB3955" w:rsidRDefault="002A3067" w:rsidP="00FB3955">
      <w:r>
        <w:t>Förväntas godkännas av Coreper II den 19 december 2012</w:t>
      </w:r>
    </w:p>
    <w:p w:rsidR="002A3067" w:rsidRDefault="002A3067">
      <w:pPr>
        <w:pStyle w:val="RKnormal"/>
        <w:tabs>
          <w:tab w:val="clear" w:pos="1843"/>
          <w:tab w:val="left" w:pos="0"/>
        </w:tabs>
        <w:ind w:left="0"/>
      </w:pPr>
    </w:p>
    <w:p w:rsidR="002A3067" w:rsidRDefault="002A3067" w:rsidP="00FB3955">
      <w:r>
        <w:t>Avsikt med behandlingen i rådet:</w:t>
      </w:r>
    </w:p>
    <w:p w:rsidR="002A3067" w:rsidRDefault="002A3067" w:rsidP="00FB3955">
      <w:r>
        <w:t>Rådet föreslås anta rådsbeslut om ändring av rådets gemensamma ståndpunkt 2003/495/GUSP om Irak.</w:t>
      </w:r>
    </w:p>
    <w:p w:rsidR="002A3067" w:rsidRDefault="002A3067" w:rsidP="00FB3955"/>
    <w:p w:rsidR="002A3067" w:rsidRDefault="002A3067">
      <w:pPr>
        <w:spacing w:line="240" w:lineRule="auto"/>
      </w:pPr>
      <w:r>
        <w:br w:type="page"/>
      </w:r>
    </w:p>
    <w:p w:rsidR="002A3067" w:rsidRDefault="002A3067" w:rsidP="00FB3955">
      <w:r>
        <w:t>Hur regeringen ställer sig till den blivande A-punkten:</w:t>
      </w:r>
    </w:p>
    <w:p w:rsidR="002A3067" w:rsidRDefault="002A3067" w:rsidP="00FB3955">
      <w:r>
        <w:t>Regeringen avser rösta ja till förslaget till rådsbeslut. Svenskt regeringsbeslut om att rösta ja fattas först den 20 december varför SE fram till dess måste anmäla väntereservation.</w:t>
      </w:r>
    </w:p>
    <w:p w:rsidR="002A3067" w:rsidRDefault="002A3067" w:rsidP="00FB3955"/>
    <w:p w:rsidR="002A3067" w:rsidRDefault="002A3067" w:rsidP="00FB3955">
      <w:r>
        <w:t>Bakgrund:</w:t>
      </w:r>
    </w:p>
    <w:p w:rsidR="002A3067" w:rsidRDefault="002A3067" w:rsidP="00316528">
      <w:r>
        <w:t xml:space="preserve">Grunden för EU:s restriktiva åtgärder mot Irak är rådets gemensamma ståndpunkt 2003/495/GUSP.  Den gemensamma ståndpunkten genomför beslut om restriktiva åtgärder mot Irak som fattats av FN:s säkerhetsråd, och som innefattar bestämmelser om bland annat att intäkter från försäljningen av olja, oljeprodukter och naturgas från Irak ska överföras till en särskilt inrättad utvecklingsfond för Irak, samt att irakiska tillgångar som frysts ska överföras till utvecklingsfonden för Irak. FN:s säkerhetsråd beslutade den 15 december 2010 genom resolution 1956 (2010) att utvecklingsfonden för Irak skulle upphöra senast den 30 juni 2011 och att behållningen i fonden istället skulle överföras till konto eller konton knutna till den irakiska regeringens ersättningsarrangemang till fonden. I syfte att inom EU genomföra FN:s säkerhetsråds beslut enligt ovanstående med anledning av utvecklingsfondens upphörande föreslås ändringar i rådets gemensamma ståndpunkt 2003/495/GUSP, innebärande att irakiska tillgångar som frysts nu i stället ska överföras till den irakiska regeringens konto eller konton knutna till regeringens ersättningsarrangemang efter fondens upphörande. </w:t>
      </w:r>
    </w:p>
    <w:p w:rsidR="002A3067" w:rsidRPr="00FB3955" w:rsidRDefault="002A3067" w:rsidP="00FB3955">
      <w:pPr>
        <w:pStyle w:val="Heading2"/>
      </w:pPr>
      <w:bookmarkStart w:id="78" w:name="_Toc343699863"/>
      <w:r>
        <w:t>21. Council Decision amending and extending Decision 2010/96/CFSP on a European Union military mission to contribute to the training of Somali security forces</w:t>
      </w:r>
      <w:bookmarkEnd w:id="78"/>
    </w:p>
    <w:p w:rsidR="002A3067" w:rsidRPr="00FB3955" w:rsidRDefault="002A3067" w:rsidP="00FB3955">
      <w:r>
        <w:t>17505/12, 17232/12</w:t>
      </w:r>
    </w:p>
    <w:p w:rsidR="002A3067" w:rsidRDefault="002A3067">
      <w:pPr>
        <w:pStyle w:val="RKnormal"/>
        <w:tabs>
          <w:tab w:val="clear" w:pos="1843"/>
          <w:tab w:val="left" w:pos="0"/>
        </w:tabs>
        <w:ind w:left="0"/>
      </w:pPr>
    </w:p>
    <w:p w:rsidR="002A3067" w:rsidRPr="00FB3955" w:rsidRDefault="002A3067" w:rsidP="00FB3955">
      <w:r>
        <w:t>Ansvarigt departement: Utrikesdepartementet</w:t>
      </w:r>
    </w:p>
    <w:p w:rsidR="002A3067" w:rsidRDefault="002A3067">
      <w:pPr>
        <w:pStyle w:val="RKnormal"/>
        <w:tabs>
          <w:tab w:val="clear" w:pos="1843"/>
          <w:tab w:val="left" w:pos="0"/>
        </w:tabs>
        <w:ind w:left="0"/>
      </w:pPr>
    </w:p>
    <w:p w:rsidR="002A3067" w:rsidRPr="00FB3955" w:rsidRDefault="002A3067" w:rsidP="00FB3955">
      <w:r>
        <w:t>Ansvarigt statsråd: Carl Bildt</w:t>
      </w:r>
    </w:p>
    <w:p w:rsidR="002A3067" w:rsidRDefault="002A3067">
      <w:pPr>
        <w:pStyle w:val="RKnormal"/>
        <w:tabs>
          <w:tab w:val="clear" w:pos="1843"/>
          <w:tab w:val="left" w:pos="0"/>
        </w:tabs>
        <w:ind w:left="0"/>
      </w:pPr>
    </w:p>
    <w:p w:rsidR="002A3067" w:rsidRPr="00FB3955" w:rsidRDefault="002A3067" w:rsidP="00FB3955">
      <w:r>
        <w:t>Förväntas godkännas av Coreper II den 19 december 2012</w:t>
      </w:r>
    </w:p>
    <w:p w:rsidR="002A3067" w:rsidRDefault="002A3067">
      <w:pPr>
        <w:pStyle w:val="RKnormal"/>
        <w:tabs>
          <w:tab w:val="clear" w:pos="1843"/>
          <w:tab w:val="left" w:pos="0"/>
        </w:tabs>
        <w:ind w:left="0"/>
      </w:pPr>
    </w:p>
    <w:p w:rsidR="002A3067" w:rsidRDefault="002A3067" w:rsidP="00FB3955">
      <w:r>
        <w:t xml:space="preserve">Avsikt med behandlingen i rådet: </w:t>
      </w:r>
    </w:p>
    <w:p w:rsidR="002A3067" w:rsidRDefault="002A3067" w:rsidP="00FB3955">
      <w:r>
        <w:t>Rådet väntas fatta beslut vid ett kommande ministerrådsmöte om ändring och förlängning av rådsbeslut 2010/96/GUSP. Förslaget till rådsbeslut innebär en förlängning av insatsens EUTM Somalia mandat till den 31 mars 2015 samt bland annat en utvidgning av verksamhetsområdet till att omfatta Somalia.</w:t>
      </w:r>
    </w:p>
    <w:p w:rsidR="002A3067" w:rsidRDefault="002A3067" w:rsidP="00FB3955"/>
    <w:p w:rsidR="002A3067" w:rsidRDefault="002A3067" w:rsidP="00FB3955">
      <w:r>
        <w:t xml:space="preserve">Hur regeringen ställer sig till den blivande A-punkten: </w:t>
      </w:r>
    </w:p>
    <w:p w:rsidR="002A3067" w:rsidRDefault="002A3067" w:rsidP="00FB3955">
      <w:r>
        <w:t xml:space="preserve">Regeringen avser rösta ja. </w:t>
      </w:r>
    </w:p>
    <w:p w:rsidR="002A3067" w:rsidRDefault="002A3067" w:rsidP="00FB3955"/>
    <w:p w:rsidR="002A3067" w:rsidRDefault="002A3067" w:rsidP="00316528">
      <w:r>
        <w:t xml:space="preserve">Bakgrund: I syfte att bidra till stabilisering i Somalia antog Europeiska unionens råd den 15 februari 2010 rådsbeslut 2010/96/GUSP, genom vilket etablerades en utbildningsinsats för den somaliska regeringens säkerhetsstyrkor (EUTM Somalia). Insatsen har hittills huvudsakligen genomförts i Uganda i nära samarbete med Uganda, USA, Afrikanska unionen och FN. Insatsens mandat löper för närvarande till slutet av 2012 (i enlighet med vad som beslutats genom rådsbeslut 2011/483/GUSP).  </w:t>
      </w:r>
    </w:p>
    <w:p w:rsidR="002A3067" w:rsidRPr="00FB3955" w:rsidRDefault="002A3067" w:rsidP="00FB3955">
      <w:pPr>
        <w:pStyle w:val="Heading2"/>
      </w:pPr>
      <w:bookmarkStart w:id="79" w:name="_Toc343699864"/>
      <w:r>
        <w:t>22. Proposal for a Regulation of the European Parliament and of the Council amending Council Regulation (EC) No 562/2006 of the European Parliament and of the Council establishing a Community Code on the rules governing the movement of persons across borders (Schengen Borders Code) and the Convention implementing the Schengen Agreement [First reading] = Approval of the final compromise text with a view to an agreement at first reading</w:t>
      </w:r>
      <w:bookmarkEnd w:id="79"/>
    </w:p>
    <w:p w:rsidR="002A3067" w:rsidRPr="00FB3955" w:rsidRDefault="002A3067" w:rsidP="00FB3955">
      <w:r>
        <w:t>17618/12</w:t>
      </w:r>
    </w:p>
    <w:p w:rsidR="002A3067" w:rsidRDefault="002A3067">
      <w:pPr>
        <w:pStyle w:val="RKnormal"/>
        <w:tabs>
          <w:tab w:val="clear" w:pos="1843"/>
          <w:tab w:val="left" w:pos="0"/>
        </w:tabs>
        <w:ind w:left="0"/>
      </w:pPr>
    </w:p>
    <w:p w:rsidR="002A3067" w:rsidRPr="00FB3955" w:rsidRDefault="002A3067" w:rsidP="00FB3955">
      <w:r>
        <w:t>Ansvarigt departement: Justitiedepartementet</w:t>
      </w:r>
    </w:p>
    <w:p w:rsidR="002A3067" w:rsidRDefault="002A3067">
      <w:pPr>
        <w:pStyle w:val="RKnormal"/>
        <w:tabs>
          <w:tab w:val="clear" w:pos="1843"/>
          <w:tab w:val="left" w:pos="0"/>
        </w:tabs>
        <w:ind w:left="0"/>
      </w:pPr>
    </w:p>
    <w:p w:rsidR="002A3067" w:rsidRPr="00FB3955" w:rsidRDefault="002A3067" w:rsidP="00FB3955">
      <w:r>
        <w:t>Ansvarigt statsråd: Beatrice Ask</w:t>
      </w:r>
    </w:p>
    <w:p w:rsidR="002A3067" w:rsidRDefault="002A3067">
      <w:pPr>
        <w:pStyle w:val="RKnormal"/>
        <w:tabs>
          <w:tab w:val="clear" w:pos="1843"/>
          <w:tab w:val="left" w:pos="0"/>
        </w:tabs>
        <w:ind w:left="0"/>
      </w:pPr>
    </w:p>
    <w:p w:rsidR="002A3067" w:rsidRPr="00FB3955" w:rsidRDefault="002A3067" w:rsidP="00FB3955">
      <w:r>
        <w:t>Förväntas godkännas av Coreper II den 19 december 2012</w:t>
      </w:r>
    </w:p>
    <w:p w:rsidR="002A3067" w:rsidRDefault="002A3067">
      <w:pPr>
        <w:pStyle w:val="RKnormal"/>
        <w:tabs>
          <w:tab w:val="clear" w:pos="1843"/>
          <w:tab w:val="left" w:pos="0"/>
        </w:tabs>
        <w:ind w:left="0"/>
      </w:pPr>
    </w:p>
    <w:p w:rsidR="002A3067" w:rsidRDefault="002A3067" w:rsidP="00FB3955">
      <w:r>
        <w:t xml:space="preserve">Avsikt med behandlingen i rådet: </w:t>
      </w:r>
    </w:p>
    <w:p w:rsidR="002A3067" w:rsidRDefault="002A3067" w:rsidP="00FB3955">
      <w:r>
        <w:t>Rådet föreslås godkänna förslaget till förordning och notera att ordförandeskapet i rådet kommer informera ordförande i LIBE-utskottet att rådet så gjort, i syfte att nå en överenskommelse med Europaparlamentet i första läsningen.</w:t>
      </w:r>
    </w:p>
    <w:p w:rsidR="002A3067" w:rsidRDefault="002A3067" w:rsidP="00FB3955"/>
    <w:p w:rsidR="002A3067" w:rsidRDefault="002A3067" w:rsidP="00FB3955">
      <w:r>
        <w:t xml:space="preserve">Hur regeringen ställer sig till den blivande A-punkten: </w:t>
      </w:r>
    </w:p>
    <w:p w:rsidR="002A3067" w:rsidRDefault="002A3067" w:rsidP="00FB3955">
      <w:r>
        <w:t>Regeringen avser rösta ja till att godkänna förslaget till förordning.</w:t>
      </w:r>
    </w:p>
    <w:p w:rsidR="002A3067" w:rsidRDefault="002A3067" w:rsidP="00FB3955"/>
    <w:p w:rsidR="002A3067" w:rsidRDefault="002A3067" w:rsidP="00FB3955">
      <w:r>
        <w:t xml:space="preserve">Bakgrund: </w:t>
      </w:r>
    </w:p>
    <w:p w:rsidR="002A3067" w:rsidRDefault="002A3067" w:rsidP="00316528">
      <w:r>
        <w:t xml:space="preserve">I gränskodexen återfinns regler för personers passage av EU:s yttre och inre gränser. Efter snart fyra års tillämpning av gränskodexen har kommissionen upptäckt felaktiga hänvisningar i regelverket samt konstaterat praktiska problem och rättsliga oklarheter som de önskar rätta till. Även termer behöver uppdateras efter ikraftträdandet av fördraget om Europeiska unionens funktionssätt och andra rättsakter antagna efter 2006 (t.ex. viseringskodexen). Syftet med förslaget är att effektivisera gränskodexen utifrån dessa erfarenheter och ändringsförslagen är främst av teknisk karaktär. De mer substantiella ändringarna handlar bland annat om reglering av gemensamma gränsövergångsställen som delas av en medlemsstat och tredje land och beräkning av vistelsetid inom Schengen (”90 dagar under en 180-dagars period” istället för ”3 månader under en 6 månadersperiod”). </w:t>
      </w:r>
    </w:p>
    <w:p w:rsidR="002A3067" w:rsidRPr="00DF7E4E" w:rsidRDefault="002A3067" w:rsidP="00FB3955">
      <w:pPr>
        <w:pStyle w:val="Heading2"/>
      </w:pPr>
      <w:bookmarkStart w:id="80" w:name="_Toc343699865"/>
      <w:r w:rsidRPr="00DF7E4E">
        <w:t>23. (poss.) Council Directive amending Directive 93/109/EC as regards certain detailed arrangements for the exercise of the right to stand as a candidate in elections to the European Parliament for citizens of the Union residing in a Member State of which they are not nationals = Adoption</w:t>
      </w:r>
      <w:bookmarkEnd w:id="80"/>
    </w:p>
    <w:p w:rsidR="002A3067" w:rsidRPr="00DF7E4E" w:rsidRDefault="002A3067" w:rsidP="00FB3955">
      <w:r w:rsidRPr="00DF7E4E">
        <w:t>17198/12</w:t>
      </w:r>
    </w:p>
    <w:p w:rsidR="002A3067" w:rsidRPr="00DF7E4E" w:rsidRDefault="002A3067">
      <w:pPr>
        <w:pStyle w:val="RKnormal"/>
        <w:tabs>
          <w:tab w:val="clear" w:pos="1843"/>
          <w:tab w:val="left" w:pos="0"/>
        </w:tabs>
        <w:ind w:left="0"/>
      </w:pPr>
    </w:p>
    <w:p w:rsidR="002A3067" w:rsidRPr="00DF7E4E" w:rsidRDefault="002A3067" w:rsidP="00FB3955">
      <w:r w:rsidRPr="00DF7E4E">
        <w:t>Ansvarigt departement: Justitiedepartementet</w:t>
      </w:r>
    </w:p>
    <w:p w:rsidR="002A3067" w:rsidRPr="00DF7E4E" w:rsidRDefault="002A3067">
      <w:pPr>
        <w:pStyle w:val="RKnormal"/>
        <w:tabs>
          <w:tab w:val="clear" w:pos="1843"/>
          <w:tab w:val="left" w:pos="0"/>
        </w:tabs>
        <w:ind w:left="0"/>
      </w:pPr>
    </w:p>
    <w:p w:rsidR="002A3067" w:rsidRPr="00DF7E4E" w:rsidRDefault="002A3067" w:rsidP="00FB3955">
      <w:r w:rsidRPr="00DF7E4E">
        <w:t>Ansvarigt statsråd: Beatrice Ask</w:t>
      </w:r>
    </w:p>
    <w:p w:rsidR="002A3067" w:rsidRPr="00DF7E4E" w:rsidRDefault="002A3067">
      <w:pPr>
        <w:pStyle w:val="RKnormal"/>
        <w:tabs>
          <w:tab w:val="clear" w:pos="1843"/>
          <w:tab w:val="left" w:pos="0"/>
        </w:tabs>
        <w:ind w:left="0"/>
      </w:pPr>
    </w:p>
    <w:p w:rsidR="002A3067" w:rsidRPr="00DF7E4E" w:rsidRDefault="002A3067" w:rsidP="00FB3955">
      <w:r w:rsidRPr="00DF7E4E">
        <w:t>Förväntas godkännas av Coreper II den 19 december 2012</w:t>
      </w:r>
    </w:p>
    <w:p w:rsidR="002A3067" w:rsidRDefault="002A3067">
      <w:pPr>
        <w:pStyle w:val="RKnormal"/>
        <w:tabs>
          <w:tab w:val="clear" w:pos="1843"/>
          <w:tab w:val="left" w:pos="0"/>
        </w:tabs>
        <w:ind w:left="0"/>
      </w:pPr>
    </w:p>
    <w:p w:rsidR="002A3067" w:rsidRDefault="002A3067" w:rsidP="00DF7E4E">
      <w:pPr>
        <w:pStyle w:val="RKnormal"/>
        <w:ind w:left="0"/>
      </w:pPr>
      <w:r w:rsidRPr="00DF7E4E">
        <w:t xml:space="preserve">Avsikt med behandlingen i rådet: </w:t>
      </w:r>
    </w:p>
    <w:p w:rsidR="002A3067" w:rsidRPr="00DF7E4E" w:rsidRDefault="002A3067" w:rsidP="00DF7E4E">
      <w:pPr>
        <w:pStyle w:val="RKnormal"/>
        <w:ind w:left="0"/>
      </w:pPr>
      <w:r w:rsidRPr="00DF7E4E">
        <w:t>Rådet föreslås anta förslaget till ändring av rådets direktiv 93/109/EG av den 6 december 1993 om fastställande av närmare bestämmesler för rösträtt och valbarhet vid val till Europaparlamentet för unionsmedborgare som är bosatta i en medlemsstat där de inte är medborgare.</w:t>
      </w:r>
    </w:p>
    <w:p w:rsidR="002A3067" w:rsidRPr="00DF7E4E" w:rsidRDefault="002A3067" w:rsidP="00DF7E4E">
      <w:pPr>
        <w:pStyle w:val="RKnormal"/>
        <w:ind w:left="0"/>
      </w:pPr>
    </w:p>
    <w:p w:rsidR="002A3067" w:rsidRDefault="002A3067" w:rsidP="00DF7E4E">
      <w:pPr>
        <w:pStyle w:val="RKnormal"/>
        <w:ind w:left="0"/>
      </w:pPr>
      <w:r w:rsidRPr="00DF7E4E">
        <w:t xml:space="preserve">Hur regeringen ställer sig till den blivande A-punkten: </w:t>
      </w:r>
    </w:p>
    <w:p w:rsidR="002A3067" w:rsidRPr="00DF7E4E" w:rsidRDefault="002A3067" w:rsidP="00DF7E4E">
      <w:pPr>
        <w:pStyle w:val="RKnormal"/>
        <w:ind w:left="0"/>
      </w:pPr>
      <w:r w:rsidRPr="00DF7E4E">
        <w:t>Regeringen avser att rösta ja till att rådet antar direktivet om ändring av direktiv 93/109/EG.</w:t>
      </w:r>
    </w:p>
    <w:p w:rsidR="002A3067" w:rsidRPr="00DF7E4E" w:rsidRDefault="002A3067" w:rsidP="00DF7E4E">
      <w:pPr>
        <w:pStyle w:val="RKnormal"/>
        <w:ind w:left="0"/>
      </w:pPr>
    </w:p>
    <w:p w:rsidR="002A3067" w:rsidRDefault="002A3067" w:rsidP="00DF7E4E">
      <w:pPr>
        <w:pStyle w:val="RKnormal"/>
        <w:ind w:left="0"/>
      </w:pPr>
      <w:r w:rsidRPr="00DF7E4E">
        <w:t xml:space="preserve">Bakgrund: </w:t>
      </w:r>
    </w:p>
    <w:p w:rsidR="002A3067" w:rsidRPr="00DF7E4E" w:rsidRDefault="002A3067" w:rsidP="00DF7E4E">
      <w:pPr>
        <w:pStyle w:val="RKnormal"/>
        <w:ind w:left="0"/>
      </w:pPr>
      <w:r w:rsidRPr="00DF7E4E">
        <w:t xml:space="preserve">Kommisionen presenterade i december 2006 ett förslag till ändring av det direktiv som reglerar de närmare villkoren för att utöva rösträtt och för att kandiera i val till EP för EU-medborgare som är bosatta i en annan stat än den de är medborgare i. Efter avbrott i förhandlingarna våren 2008 togs diskussionerna upp på nytt under hösten 2011. Det föreliggande ändringsförslaget syftar främst till att förenkla för utländska kandidater att ställa upp i val till EP i en annan stat än sin hemstat, genom att ansvaret för kontrollen av kandidaternas valbarhet läggs på de behöriga myndigheterna i bosättningsstaten. SE har fått gehör för kravet att nationella förfarandebestämmelser ska tillämpas när det gäller att bestämma vid vilken tidpunkt information från en annan MS ska ha kommit en behörig myndighet i landet till handa för att kunna beaktas och leda till att en person inte blir vald. EP har hörts om det reviderade förslaget. </w:t>
      </w:r>
    </w:p>
    <w:p w:rsidR="002A3067" w:rsidRDefault="002A3067" w:rsidP="00DF7E4E">
      <w:pPr>
        <w:pStyle w:val="RKnormal"/>
        <w:ind w:left="-1418"/>
      </w:pPr>
    </w:p>
    <w:p w:rsidR="002A3067" w:rsidRDefault="002A3067">
      <w:pPr>
        <w:pStyle w:val="RKnormal"/>
        <w:tabs>
          <w:tab w:val="clear" w:pos="1843"/>
          <w:tab w:val="left" w:pos="0"/>
        </w:tabs>
        <w:ind w:left="0"/>
      </w:pPr>
      <w:r>
        <w:t xml:space="preserve"> </w:t>
      </w:r>
    </w:p>
    <w:p w:rsidR="002A3067" w:rsidRPr="00FB3955" w:rsidRDefault="002A3067" w:rsidP="00FB3955">
      <w:pPr>
        <w:pStyle w:val="Heading2"/>
      </w:pPr>
      <w:bookmarkStart w:id="81" w:name="_Toc343699866"/>
      <w:r>
        <w:t>24. Council conclusions on a request to the European Union Agency for Fundamental Rights in accordance with Article 4 (1) c) and d) of the Council Regulation (EC) No 168/2007 of 15 February 2007 establishing a European Union Agency for Fundamental Rights = Adoption</w:t>
      </w:r>
      <w:bookmarkEnd w:id="81"/>
    </w:p>
    <w:p w:rsidR="002A3067" w:rsidRPr="00FB3955" w:rsidRDefault="002A3067" w:rsidP="00FB3955">
      <w:r>
        <w:t>17348/12</w:t>
      </w:r>
    </w:p>
    <w:p w:rsidR="002A3067" w:rsidRDefault="002A3067">
      <w:pPr>
        <w:pStyle w:val="RKnormal"/>
        <w:tabs>
          <w:tab w:val="clear" w:pos="1843"/>
          <w:tab w:val="left" w:pos="0"/>
        </w:tabs>
        <w:ind w:left="0"/>
      </w:pPr>
    </w:p>
    <w:p w:rsidR="002A3067" w:rsidRPr="00FB3955" w:rsidRDefault="002A3067" w:rsidP="00FB3955">
      <w:r>
        <w:t>Ansvarigt departement: Arbetsmarknadsdepartementet</w:t>
      </w:r>
    </w:p>
    <w:p w:rsidR="002A3067" w:rsidRDefault="002A3067">
      <w:pPr>
        <w:pStyle w:val="RKnormal"/>
        <w:tabs>
          <w:tab w:val="clear" w:pos="1843"/>
          <w:tab w:val="left" w:pos="0"/>
        </w:tabs>
        <w:ind w:left="0"/>
      </w:pPr>
    </w:p>
    <w:p w:rsidR="002A3067" w:rsidRPr="00FB3955" w:rsidRDefault="002A3067" w:rsidP="00FB3955">
      <w:r>
        <w:t>Ansvarigt statsråd: Erik Ullenhag</w:t>
      </w:r>
    </w:p>
    <w:p w:rsidR="002A3067" w:rsidRDefault="002A3067">
      <w:pPr>
        <w:pStyle w:val="RKnormal"/>
        <w:tabs>
          <w:tab w:val="clear" w:pos="1843"/>
          <w:tab w:val="left" w:pos="0"/>
        </w:tabs>
        <w:ind w:left="0"/>
      </w:pPr>
    </w:p>
    <w:p w:rsidR="002A3067" w:rsidRPr="00FB3955" w:rsidRDefault="002A3067" w:rsidP="00FB3955">
      <w:r>
        <w:t>Förväntas godkännas av Coreper II den 19 december 2012</w:t>
      </w:r>
    </w:p>
    <w:p w:rsidR="002A3067" w:rsidRDefault="002A3067">
      <w:pPr>
        <w:pStyle w:val="RKnormal"/>
        <w:tabs>
          <w:tab w:val="clear" w:pos="1843"/>
          <w:tab w:val="left" w:pos="0"/>
        </w:tabs>
        <w:ind w:left="0"/>
      </w:pPr>
    </w:p>
    <w:p w:rsidR="002A3067" w:rsidRDefault="002A3067" w:rsidP="00FB3955">
      <w:r>
        <w:t>Tidigare behandling i riksdagen: 2012-06-01 (EU-nämnden) och 2012-05-22 (konstitutionsutskottet)</w:t>
      </w:r>
    </w:p>
    <w:p w:rsidR="002A3067" w:rsidRDefault="002A3067" w:rsidP="00FB3955"/>
    <w:p w:rsidR="002A3067" w:rsidRDefault="002A3067" w:rsidP="00FB3955">
      <w:r>
        <w:t>Tidigare behandling vid rådsmöte: 2012-06-07/08 vid rådet möte (rättsliga och inrikes frågor)</w:t>
      </w:r>
    </w:p>
    <w:p w:rsidR="002A3067" w:rsidRDefault="002A3067" w:rsidP="00FB3955"/>
    <w:p w:rsidR="002A3067" w:rsidRDefault="002A3067" w:rsidP="00FB3955">
      <w:r>
        <w:t xml:space="preserve">Avsikt med behandlingen i rådet: </w:t>
      </w:r>
    </w:p>
    <w:p w:rsidR="002A3067" w:rsidRDefault="002A3067" w:rsidP="00FB3955">
      <w:r>
        <w:t xml:space="preserve">Rådet föreslås anta rådsslutsatser som ger ordförandeskapet möjlighet att begära att EU:s byrå för grundläggande rättigheter (byrån) ska arbeta utifrån byråns arbetsprogram för 2013. </w:t>
      </w:r>
    </w:p>
    <w:p w:rsidR="002A3067" w:rsidRDefault="002A3067" w:rsidP="00FB3955"/>
    <w:p w:rsidR="002A3067" w:rsidRDefault="002A3067" w:rsidP="00FB3955">
      <w:r>
        <w:t xml:space="preserve">Hur regeringen ställer sig till den blivande A-punkten: </w:t>
      </w:r>
    </w:p>
    <w:p w:rsidR="002A3067" w:rsidRDefault="002A3067" w:rsidP="00FB3955">
      <w:r>
        <w:t xml:space="preserve">Regeringen avser rösta ja till rådsslutsatserna. Regeringen anser det viktigt att byrån kan fortsätta sitt arbete till det nya ramprogammet kan antas. </w:t>
      </w:r>
    </w:p>
    <w:p w:rsidR="002A3067" w:rsidRDefault="002A3067" w:rsidP="00FB3955"/>
    <w:p w:rsidR="002A3067" w:rsidRDefault="002A3067" w:rsidP="00FB3955">
      <w:r>
        <w:t xml:space="preserve">Bakgrund: </w:t>
      </w:r>
    </w:p>
    <w:p w:rsidR="002A3067" w:rsidRDefault="002A3067" w:rsidP="00FB3955">
      <w:r>
        <w:t xml:space="preserve">EU:s byrå för grundläggande rättigheter arbetar utifrån ett 5-årigt ramprogram. Nuvarande ramprogram gäller t.o.m. den 31 december 2012. Kommissionen föreslog ett nytt ramprogram för 2013-2017. Rådet godkände och beslutade att överlämna ramprogram till Europaparlamentet för godkännande. Ett medlemsland har uppgett att de inte fått parlamentariskt stöd för slutligt antagande av ramprogrammet. Det krävs enhällighet i rådet för att programmet ska antas. Det innebär att byrån inte kan fortsätta sitt arbete från den 1 januari 2013. </w:t>
      </w:r>
    </w:p>
    <w:p w:rsidR="002A3067" w:rsidRDefault="002A3067" w:rsidP="00FB3955"/>
    <w:p w:rsidR="002A3067" w:rsidRDefault="002A3067" w:rsidP="00316528">
      <w:r>
        <w:t xml:space="preserve">Cypriotiska ordförandeskapet har mot denna bakgrund föreslagit rådsslutsatser som ger ordförandeskapet befogenhet att begära att byrån ska arbeta utifrån sitt arbetsprogram för 2013. Arbetsprogrammet utgår från det nu gällande ramprogrammet.  </w:t>
      </w:r>
    </w:p>
    <w:p w:rsidR="002A3067" w:rsidRPr="00FB3955" w:rsidRDefault="002A3067" w:rsidP="00FB3955">
      <w:pPr>
        <w:pStyle w:val="Heading2"/>
      </w:pPr>
      <w:bookmarkStart w:id="82" w:name="_Toc343699867"/>
      <w:r>
        <w:t>25. Draft Council Decision on the launch of automated data exchange with regard to DNA data in the Republic of Poland</w:t>
      </w:r>
      <w:bookmarkEnd w:id="82"/>
    </w:p>
    <w:p w:rsidR="002A3067" w:rsidRPr="00FB3955" w:rsidRDefault="002A3067" w:rsidP="00FB3955">
      <w:r>
        <w:t>17312/12, 16718/12, 15758/12</w:t>
      </w:r>
    </w:p>
    <w:p w:rsidR="002A3067" w:rsidRDefault="002A3067">
      <w:pPr>
        <w:pStyle w:val="RKnormal"/>
        <w:tabs>
          <w:tab w:val="clear" w:pos="1843"/>
          <w:tab w:val="left" w:pos="0"/>
        </w:tabs>
        <w:ind w:left="0"/>
      </w:pPr>
    </w:p>
    <w:p w:rsidR="002A3067" w:rsidRPr="00FB3955" w:rsidRDefault="002A3067" w:rsidP="00FB3955">
      <w:r>
        <w:t>Ansvarigt departement: Justitiedepartementet</w:t>
      </w:r>
    </w:p>
    <w:p w:rsidR="002A3067" w:rsidRDefault="002A3067">
      <w:pPr>
        <w:pStyle w:val="RKnormal"/>
        <w:tabs>
          <w:tab w:val="clear" w:pos="1843"/>
          <w:tab w:val="left" w:pos="0"/>
        </w:tabs>
        <w:ind w:left="0"/>
      </w:pPr>
    </w:p>
    <w:p w:rsidR="002A3067" w:rsidRPr="00FB3955" w:rsidRDefault="002A3067" w:rsidP="00FB3955">
      <w:r>
        <w:t>Ansvarigt statsråd: Beatrice Ask</w:t>
      </w:r>
    </w:p>
    <w:p w:rsidR="002A3067" w:rsidRDefault="002A3067">
      <w:pPr>
        <w:pStyle w:val="RKnormal"/>
        <w:tabs>
          <w:tab w:val="clear" w:pos="1843"/>
          <w:tab w:val="left" w:pos="0"/>
        </w:tabs>
        <w:ind w:left="0"/>
      </w:pPr>
    </w:p>
    <w:p w:rsidR="002A3067" w:rsidRPr="00FB3955" w:rsidRDefault="002A3067" w:rsidP="00FB3955">
      <w:r>
        <w:t>Förväntas godkännas av Coreper II den 19 december 2012</w:t>
      </w:r>
    </w:p>
    <w:p w:rsidR="002A3067" w:rsidRDefault="002A3067">
      <w:pPr>
        <w:pStyle w:val="RKnormal"/>
        <w:tabs>
          <w:tab w:val="clear" w:pos="1843"/>
          <w:tab w:val="left" w:pos="0"/>
        </w:tabs>
        <w:ind w:left="0"/>
      </w:pPr>
    </w:p>
    <w:p w:rsidR="002A3067" w:rsidRDefault="002A3067" w:rsidP="00FB3955">
      <w:r>
        <w:t xml:space="preserve">Avsikt med behandlingen i rådet: </w:t>
      </w:r>
    </w:p>
    <w:p w:rsidR="002A3067" w:rsidRDefault="002A3067" w:rsidP="00FB3955">
      <w:r>
        <w:t xml:space="preserve">Rådet föreslås anta rådsbeslutet om påbörjandet av det automatiska utbytet av DNA-registeruppgifter med Polen. </w:t>
      </w:r>
    </w:p>
    <w:p w:rsidR="002A3067" w:rsidRDefault="002A3067" w:rsidP="00FB3955"/>
    <w:p w:rsidR="002A3067" w:rsidRDefault="002A3067" w:rsidP="00FB3955">
      <w:r>
        <w:t xml:space="preserve">Hur regeringen ställer sig till den blivande a-punkten: </w:t>
      </w:r>
    </w:p>
    <w:p w:rsidR="002A3067" w:rsidRDefault="002A3067" w:rsidP="00FB3955">
      <w:r>
        <w:t>Regeringen avser rösta ja till att rådet antar rådsbeslutet om påbörjandet av det automatiska utbytet av DNA-registeruppgifter med Polen.</w:t>
      </w:r>
    </w:p>
    <w:p w:rsidR="002A3067" w:rsidRDefault="002A3067" w:rsidP="00FB3955"/>
    <w:p w:rsidR="002A3067" w:rsidRDefault="002A3067" w:rsidP="00FB3955">
      <w:r>
        <w:t xml:space="preserve">Bakgrund: </w:t>
      </w:r>
    </w:p>
    <w:p w:rsidR="002A3067" w:rsidRDefault="002A3067" w:rsidP="00FB3955">
      <w:r>
        <w:t xml:space="preserve">Prümrådsbesluten (2008/615/RIF och 2008/616/RIF) om utbyte i brottsbekämpande syfte av bl.a. DNA-, fingeravtrycks- och fordonsregisteruppgifter föreskriver att medlemsstaterna ska genomgå en utvärderingsprocedur i form av tester och inspektioner innan det automatiserade utbytet får påbörjas. </w:t>
      </w:r>
    </w:p>
    <w:p w:rsidR="002A3067" w:rsidRDefault="002A3067" w:rsidP="00FB3955"/>
    <w:p w:rsidR="002A3067" w:rsidRDefault="002A3067" w:rsidP="00316528">
      <w:r>
        <w:t xml:space="preserve">Polen har genomgått denna utvärdering avseende DNA-registeruppgifter med godkänt resultat och kan nu tillåtas starta det automatiserade utbytet med andra godkända medlemsstater. </w:t>
      </w:r>
    </w:p>
    <w:p w:rsidR="002A3067" w:rsidRPr="00FB3955" w:rsidRDefault="002A3067" w:rsidP="00FB3955">
      <w:pPr>
        <w:pStyle w:val="Heading2"/>
      </w:pPr>
      <w:bookmarkStart w:id="83" w:name="_Toc343699868"/>
      <w:r>
        <w:t>26. Draft Council Act laying down the mortality tables</w:t>
      </w:r>
      <w:bookmarkEnd w:id="83"/>
    </w:p>
    <w:p w:rsidR="002A3067" w:rsidRPr="00FB3955" w:rsidRDefault="002A3067" w:rsidP="00FB3955">
      <w:r>
        <w:t>17040/12, 16738/12</w:t>
      </w:r>
    </w:p>
    <w:p w:rsidR="002A3067" w:rsidRDefault="002A3067">
      <w:pPr>
        <w:pStyle w:val="RKnormal"/>
        <w:tabs>
          <w:tab w:val="clear" w:pos="1843"/>
          <w:tab w:val="left" w:pos="0"/>
        </w:tabs>
        <w:ind w:left="0"/>
      </w:pPr>
    </w:p>
    <w:p w:rsidR="002A3067" w:rsidRPr="00FB3955" w:rsidRDefault="002A3067" w:rsidP="00FB3955">
      <w:r>
        <w:t>Ansvarigt departement: Justitiedepartementet</w:t>
      </w:r>
    </w:p>
    <w:p w:rsidR="002A3067" w:rsidRDefault="002A3067">
      <w:pPr>
        <w:pStyle w:val="RKnormal"/>
        <w:tabs>
          <w:tab w:val="clear" w:pos="1843"/>
          <w:tab w:val="left" w:pos="0"/>
        </w:tabs>
        <w:ind w:left="0"/>
      </w:pPr>
    </w:p>
    <w:p w:rsidR="002A3067" w:rsidRPr="00FB3955" w:rsidRDefault="002A3067" w:rsidP="00FB3955">
      <w:r>
        <w:t>Ansvarigt statsråd: Beatrice Ask</w:t>
      </w:r>
    </w:p>
    <w:p w:rsidR="002A3067" w:rsidRDefault="002A3067">
      <w:pPr>
        <w:pStyle w:val="RKnormal"/>
        <w:tabs>
          <w:tab w:val="clear" w:pos="1843"/>
          <w:tab w:val="left" w:pos="0"/>
        </w:tabs>
        <w:ind w:left="0"/>
      </w:pPr>
    </w:p>
    <w:p w:rsidR="002A3067" w:rsidRPr="00FB3955" w:rsidRDefault="002A3067" w:rsidP="00FB3955">
      <w:r>
        <w:t>Förväntas godkännas av Coreper II den 19 december 2012</w:t>
      </w:r>
    </w:p>
    <w:p w:rsidR="002A3067" w:rsidRDefault="002A3067">
      <w:pPr>
        <w:pStyle w:val="RKnormal"/>
        <w:tabs>
          <w:tab w:val="clear" w:pos="1843"/>
          <w:tab w:val="left" w:pos="0"/>
        </w:tabs>
        <w:ind w:left="0"/>
      </w:pPr>
    </w:p>
    <w:p w:rsidR="002A3067" w:rsidRDefault="002A3067" w:rsidP="00FB3955">
      <w:r>
        <w:t xml:space="preserve">Avsikt med behandlingen i rådet: </w:t>
      </w:r>
    </w:p>
    <w:p w:rsidR="002A3067" w:rsidRDefault="002A3067" w:rsidP="00FB3955">
      <w:r>
        <w:t xml:space="preserve">Att rådet ska besluta om att anta de så kallade mortalitetstabeller som ska ligga till grund för beräkning av pensionsavsättningar vid Europol.  </w:t>
      </w:r>
    </w:p>
    <w:p w:rsidR="002A3067" w:rsidRDefault="002A3067" w:rsidP="00FB3955"/>
    <w:p w:rsidR="002A3067" w:rsidRDefault="002A3067" w:rsidP="00FB3955">
      <w:r>
        <w:t xml:space="preserve">Hur regeringen ställer sig till den blivande A-punkten: </w:t>
      </w:r>
    </w:p>
    <w:p w:rsidR="002A3067" w:rsidRDefault="002A3067" w:rsidP="00FB3955">
      <w:r>
        <w:t xml:space="preserve">Regeringen avser att rösta ja till förslaget.  </w:t>
      </w:r>
    </w:p>
    <w:p w:rsidR="002A3067" w:rsidRDefault="002A3067" w:rsidP="00FB3955"/>
    <w:p w:rsidR="002A3067" w:rsidRDefault="002A3067" w:rsidP="00FB3955">
      <w:r>
        <w:t xml:space="preserve">Bakgrund: </w:t>
      </w:r>
    </w:p>
    <w:p w:rsidR="002A3067" w:rsidRDefault="002A3067" w:rsidP="00316528">
      <w:r>
        <w:t xml:space="preserve">I samband med att Europol 2010 omvandlades från ett mellanstatligt samarbete till en EU-byrå gjordes särskilda undantag i formella anställningsförhållanden för en del av personalen som vid tidpunkten redan var anställda av Europol. För att beräkna storleken på pensionsavsättningarna för denna grupp föreslås s.k. mortalitetstabeller där meddellivsslängden beräknats utifrån data från Eurostat.   </w:t>
      </w:r>
    </w:p>
    <w:p w:rsidR="002A3067" w:rsidRPr="00FB3955" w:rsidRDefault="002A3067" w:rsidP="00FB3955">
      <w:pPr>
        <w:pStyle w:val="Heading2"/>
      </w:pPr>
      <w:bookmarkStart w:id="84" w:name="_Toc343699869"/>
      <w:r>
        <w:t>27. Libya a) Council Decision amending Decision 2011/137/CFSP concerning restrictive measures in view of the situation in Libya b) Council Regulation amending Regulation (EU) No 204/2011 concerning restrictive measures in view of the situation in Libya</w:t>
      </w:r>
      <w:bookmarkEnd w:id="84"/>
    </w:p>
    <w:p w:rsidR="002A3067" w:rsidRPr="00FB3955" w:rsidRDefault="002A3067" w:rsidP="00FB3955">
      <w:r>
        <w:t>17904/12, 17827/12, 17830/12</w:t>
      </w:r>
    </w:p>
    <w:p w:rsidR="002A3067" w:rsidRDefault="002A3067">
      <w:pPr>
        <w:pStyle w:val="RKnormal"/>
        <w:tabs>
          <w:tab w:val="clear" w:pos="1843"/>
          <w:tab w:val="left" w:pos="0"/>
        </w:tabs>
        <w:ind w:left="0"/>
      </w:pPr>
    </w:p>
    <w:p w:rsidR="002A3067" w:rsidRPr="00FB3955" w:rsidRDefault="002A3067" w:rsidP="00FB3955">
      <w:r>
        <w:t>Ansvarigt departement: Utrikesdepartementet</w:t>
      </w:r>
    </w:p>
    <w:p w:rsidR="002A3067" w:rsidRDefault="002A3067">
      <w:pPr>
        <w:pStyle w:val="RKnormal"/>
        <w:tabs>
          <w:tab w:val="clear" w:pos="1843"/>
          <w:tab w:val="left" w:pos="0"/>
        </w:tabs>
        <w:ind w:left="0"/>
      </w:pPr>
    </w:p>
    <w:p w:rsidR="002A3067" w:rsidRPr="00FB3955" w:rsidRDefault="002A3067" w:rsidP="00FB3955">
      <w:r>
        <w:t>Ansvarigt statsråd: Carl Bildt</w:t>
      </w:r>
    </w:p>
    <w:p w:rsidR="002A3067" w:rsidRDefault="002A3067">
      <w:pPr>
        <w:pStyle w:val="RKnormal"/>
        <w:tabs>
          <w:tab w:val="clear" w:pos="1843"/>
          <w:tab w:val="left" w:pos="0"/>
        </w:tabs>
        <w:ind w:left="0"/>
      </w:pPr>
    </w:p>
    <w:p w:rsidR="002A3067" w:rsidRPr="00FB3955" w:rsidRDefault="002A3067" w:rsidP="00FB3955">
      <w:r>
        <w:t>Förväntas godkännas av Coreper II den 19 december 2012</w:t>
      </w:r>
    </w:p>
    <w:p w:rsidR="002A3067" w:rsidRDefault="002A3067">
      <w:pPr>
        <w:pStyle w:val="RKnormal"/>
        <w:tabs>
          <w:tab w:val="clear" w:pos="1843"/>
          <w:tab w:val="left" w:pos="0"/>
        </w:tabs>
        <w:ind w:left="0"/>
      </w:pPr>
    </w:p>
    <w:p w:rsidR="002A3067" w:rsidRDefault="002A3067" w:rsidP="00FB3955">
      <w:r>
        <w:t xml:space="preserve">Hur regeringen ställer sig till den blivande A-punkten: </w:t>
      </w:r>
    </w:p>
    <w:p w:rsidR="002A3067" w:rsidRDefault="002A3067" w:rsidP="00FB3955">
      <w:r>
        <w:t>Regeringen avser rösta ja till förslaget till rådsbeslut. Svenskt regeringsbeslut om att rösta ja fattas först den 20 december varför SE fram till dess måste anmäla väntereservation. Regeringen avser även rösta ja för antagande av rådets genomförandeförordning.</w:t>
      </w:r>
    </w:p>
    <w:p w:rsidR="002A3067" w:rsidRDefault="002A3067" w:rsidP="00FB3955"/>
    <w:p w:rsidR="002A3067" w:rsidRDefault="002A3067" w:rsidP="00FB3955">
      <w:r>
        <w:t xml:space="preserve">Bakgrund: </w:t>
      </w:r>
    </w:p>
    <w:p w:rsidR="002A3067" w:rsidRDefault="002A3067" w:rsidP="00FB3955">
      <w:r>
        <w:t xml:space="preserve">De folkliga protester som inleddes i Libyen i februari 2011 möttes av våld från statsmaktens sida. Mot denna bakgrund beslutade FN:s säkerhetsråd genom resolution 1970 (2011) om att införa restriktiva åtgärder mot Libyen i form av förbud mot export och import av vapen samt reserestriktioner och frysning av tillgångar för personer och enheter med anknytning till den libyska ledningen. För att genomföra säkerhetsrådets beslut antogs inom ramen för Europeiska unionens gemensamma utrikes- och säkerhetspolitik den 28 februari 2011 rådsbeslut 2011/137/GUSP. EU antog dessutom egna restriktiva åtgärder i form av reserestriktioner och frysning av tillgångar för ytterligare personer och enheter. De restriktiva åtgärderna har därefter successivt reviderats genom resolutioner i FN:s säkerhetsråd och ytterligare rådsbeslut. </w:t>
      </w:r>
    </w:p>
    <w:p w:rsidR="002A3067" w:rsidRDefault="002A3067" w:rsidP="00FB3955"/>
    <w:p w:rsidR="002A3067" w:rsidRDefault="002A3067" w:rsidP="00316528">
      <w:r>
        <w:t xml:space="preserve">För att underlätta frigörande av vissa frysta tillgångar eller ekonomiska resurser för återförande direkt till den libyska staten förväntas Europeiska unionens råd nu besluta om ändring av gällande rådsbeslut 2011/137/GUSP. Sedan tidigare finns en möjlighet att frigöra frysta tillgångar eller ekonomiska resurser i enlighet med dem eller annat avgörande från tiden innan resolution 1970 (2011) antogs. Denna är tillämplig oavsett om frysningen härstammar från FN eller är EU-autonomt beslutad. Genom förslaget till ändringsbeslut vidgas förutsättningarna något för när medlemsstaternas behöriga myndigheter, i fall av EU-autonomt beslutade frysningar, får tillåta att frysta tillgångar eller ekonomiska resurser frigörs i enlighet med dem eller annat avgörande. Frigörande föreslås i dessa fall bli möjligt inte bara då tillgångarna eller resurserna är föremål för ett avgörande i tiden före den dag då någon förts upp på förteckningen över personer och enheter som är föremål för frysning, utan också då de berörda tillgångarna eller resurserna är föremål för ett avgörande som meddelats i EU, eller för ett rättsligt avgörande från annat håll som är verkställbart i den berörda medlemsstaten, före eller efter den dagen. Motsvarande tillgångar föreslås också undantas från gällande tillgängliggörandeförbud. Vidare föreslås vissa revideringar av förteckningarna i bilagorna till beslutet så att dessa, i tillämpliga delar, står i överensstämmelse med FN:s motsvarande förteckningar, samt vissa övriga justeringar göras i individuella listningsmotiveringar. Därutöver föreslås en enhet strykas från EU:s autonoma förteckning över personer och enheter som är föremål för frysning. Genom genomförandeförordning görs motsvarande ändringar i förteckningarna i den mot beslutet svarande rådsförordningen (nr 204/2011) om restriktiva åtgärder med hänsyn till situationen i Libyen. </w:t>
      </w:r>
    </w:p>
    <w:p w:rsidR="002A3067" w:rsidRDefault="002A3067" w:rsidP="00316528">
      <w:pPr>
        <w:pStyle w:val="Heading2"/>
      </w:pPr>
      <w:bookmarkStart w:id="85" w:name="_Toc343699870"/>
      <w:r>
        <w:t>28. (poss.) Council Decision on a European Union military mission to contribute to the training of the Malian Armed Forces (EUTM Mali)</w:t>
      </w:r>
      <w:bookmarkEnd w:id="85"/>
    </w:p>
    <w:p w:rsidR="002A3067" w:rsidRPr="00FB3955" w:rsidRDefault="002A3067" w:rsidP="00FB3955">
      <w:r>
        <w:t>17508/12, 17412/12</w:t>
      </w:r>
    </w:p>
    <w:p w:rsidR="002A3067" w:rsidRDefault="002A3067">
      <w:pPr>
        <w:pStyle w:val="RKnormal"/>
        <w:tabs>
          <w:tab w:val="clear" w:pos="1843"/>
          <w:tab w:val="left" w:pos="0"/>
        </w:tabs>
        <w:ind w:left="0"/>
      </w:pPr>
    </w:p>
    <w:p w:rsidR="002A3067" w:rsidRPr="00FB3955" w:rsidRDefault="002A3067" w:rsidP="00FB3955">
      <w:r>
        <w:t>Ansvarigt departement: Utrikesdepartementet</w:t>
      </w:r>
    </w:p>
    <w:p w:rsidR="002A3067" w:rsidRDefault="002A3067">
      <w:pPr>
        <w:pStyle w:val="RKnormal"/>
        <w:tabs>
          <w:tab w:val="clear" w:pos="1843"/>
          <w:tab w:val="left" w:pos="0"/>
        </w:tabs>
        <w:ind w:left="0"/>
      </w:pPr>
    </w:p>
    <w:p w:rsidR="002A3067" w:rsidRPr="00FB3955" w:rsidRDefault="002A3067" w:rsidP="00FB3955">
      <w:r>
        <w:t>Ansvarigt statsråd: Carl Bildt</w:t>
      </w:r>
    </w:p>
    <w:p w:rsidR="002A3067" w:rsidRDefault="002A3067">
      <w:pPr>
        <w:pStyle w:val="RKnormal"/>
        <w:tabs>
          <w:tab w:val="clear" w:pos="1843"/>
          <w:tab w:val="left" w:pos="0"/>
        </w:tabs>
        <w:ind w:left="0"/>
      </w:pPr>
    </w:p>
    <w:p w:rsidR="002A3067" w:rsidRPr="00FB3955" w:rsidRDefault="002A3067" w:rsidP="00FB3955">
      <w:r>
        <w:t>Förväntas godkännas av Coreper II den 19 december 2012</w:t>
      </w:r>
    </w:p>
    <w:p w:rsidR="002A3067" w:rsidRDefault="002A3067">
      <w:pPr>
        <w:pStyle w:val="RKnormal"/>
        <w:tabs>
          <w:tab w:val="clear" w:pos="1843"/>
          <w:tab w:val="left" w:pos="0"/>
        </w:tabs>
        <w:ind w:left="0"/>
      </w:pPr>
    </w:p>
    <w:p w:rsidR="002A3067" w:rsidRDefault="002A3067">
      <w:pPr>
        <w:pStyle w:val="RKnormal"/>
        <w:tabs>
          <w:tab w:val="clear" w:pos="1843"/>
          <w:tab w:val="left" w:pos="0"/>
        </w:tabs>
        <w:ind w:left="0"/>
      </w:pPr>
      <w:r>
        <w:t>Information har överlämnats i särskild ordning.</w:t>
      </w:r>
    </w:p>
    <w:p w:rsidR="002A3067" w:rsidRPr="00FB3955" w:rsidRDefault="002A3067" w:rsidP="00FB3955">
      <w:pPr>
        <w:pStyle w:val="Heading2"/>
      </w:pPr>
      <w:bookmarkStart w:id="86" w:name="_Toc343699871"/>
      <w:r>
        <w:t>29. Access arrangements for meetings of the Council and its preparatory bodies</w:t>
      </w:r>
      <w:bookmarkEnd w:id="86"/>
    </w:p>
    <w:p w:rsidR="002A3067" w:rsidRPr="00FB3955" w:rsidRDefault="002A3067" w:rsidP="00FB3955">
      <w:r>
        <w:t>14387/1/12</w:t>
      </w:r>
    </w:p>
    <w:p w:rsidR="002A3067" w:rsidRDefault="002A3067">
      <w:pPr>
        <w:pStyle w:val="RKnormal"/>
        <w:tabs>
          <w:tab w:val="clear" w:pos="1843"/>
          <w:tab w:val="left" w:pos="0"/>
        </w:tabs>
        <w:ind w:left="0"/>
      </w:pPr>
    </w:p>
    <w:p w:rsidR="002A3067" w:rsidRPr="00FB3955" w:rsidRDefault="002A3067" w:rsidP="00FB3955">
      <w:r>
        <w:t>Ansvarigt departement: Statsrådsberedningen</w:t>
      </w:r>
    </w:p>
    <w:p w:rsidR="002A3067" w:rsidRDefault="002A3067">
      <w:pPr>
        <w:pStyle w:val="RKnormal"/>
        <w:tabs>
          <w:tab w:val="clear" w:pos="1843"/>
          <w:tab w:val="left" w:pos="0"/>
        </w:tabs>
        <w:ind w:left="0"/>
      </w:pPr>
    </w:p>
    <w:p w:rsidR="002A3067" w:rsidRPr="00FB3955" w:rsidRDefault="002A3067" w:rsidP="00FB3955">
      <w:r>
        <w:t>Ansvarigt statsråd: Birgitta Ohlsson</w:t>
      </w:r>
    </w:p>
    <w:p w:rsidR="002A3067" w:rsidRDefault="002A3067">
      <w:pPr>
        <w:pStyle w:val="RKnormal"/>
        <w:tabs>
          <w:tab w:val="clear" w:pos="1843"/>
          <w:tab w:val="left" w:pos="0"/>
        </w:tabs>
        <w:ind w:left="0"/>
      </w:pPr>
    </w:p>
    <w:p w:rsidR="002A3067" w:rsidRPr="00FB3955" w:rsidRDefault="002A3067" w:rsidP="00FB3955">
      <w:r>
        <w:t>Förväntas godkännas av Coreper II den 19 december 2012</w:t>
      </w:r>
    </w:p>
    <w:p w:rsidR="002A3067" w:rsidRDefault="002A3067">
      <w:pPr>
        <w:pStyle w:val="RKnormal"/>
        <w:tabs>
          <w:tab w:val="clear" w:pos="1843"/>
          <w:tab w:val="left" w:pos="0"/>
        </w:tabs>
        <w:ind w:left="0"/>
      </w:pPr>
    </w:p>
    <w:p w:rsidR="002A3067" w:rsidRDefault="002A3067" w:rsidP="00FB3955">
      <w:r>
        <w:t xml:space="preserve">Avsikt med behandlingen i rådet: </w:t>
      </w:r>
    </w:p>
    <w:p w:rsidR="002A3067" w:rsidRDefault="002A3067" w:rsidP="00FB3955">
      <w:r>
        <w:t>Rådet har antagit en ny rutin för tillträde till rådsbyggnaden fr o m 1 januari 2013. Nu föreslås att gamla och rutinen löper parallellt fram till 1 februari 2013.</w:t>
      </w:r>
    </w:p>
    <w:p w:rsidR="002A3067" w:rsidRDefault="002A3067" w:rsidP="00FB3955"/>
    <w:p w:rsidR="002A3067" w:rsidRDefault="002A3067" w:rsidP="00FB3955">
      <w:r>
        <w:t xml:space="preserve">Hur SE ställer sig till den blivande 1-punkten: </w:t>
      </w:r>
    </w:p>
    <w:p w:rsidR="002A3067" w:rsidRDefault="002A3067" w:rsidP="00FB3955">
      <w:r>
        <w:t>SE avser rösta ja till att den beslutade ny rutin för tillträde till rådsbyggnaden löper parallellt med den gamla rutinen under januari månad.</w:t>
      </w:r>
    </w:p>
    <w:p w:rsidR="002A3067" w:rsidRDefault="002A3067" w:rsidP="00FB3955"/>
    <w:p w:rsidR="002A3067" w:rsidRDefault="002A3067" w:rsidP="00FB3955">
      <w:r>
        <w:t xml:space="preserve">Bakgrund: </w:t>
      </w:r>
    </w:p>
    <w:p w:rsidR="002A3067" w:rsidRDefault="002A3067" w:rsidP="00FB3955">
      <w:r>
        <w:t xml:space="preserve">Uppstramningen av rutiner handlar om tillträdet till rådsbyggnaden. Det gäller de s.k. expertkorten som enbart gäller för tillträde över dagen (upp till 3 dagar). Rådet har beslutat att de skärpta ska rutinerna införs 1 januari 2013. P.g.a. praktiska hinder förordar flera MS att den nya och gamla rutinen för tillträde till byggnaden skulle löpa parallellt under en månad. </w:t>
      </w:r>
    </w:p>
    <w:p w:rsidR="002A3067" w:rsidRDefault="002A3067" w:rsidP="00A01FD3">
      <w:pPr>
        <w:pStyle w:val="Heading1"/>
      </w:pPr>
      <w:bookmarkStart w:id="87" w:name="_Toc343699872"/>
      <w:r>
        <w:t>Troliga A-punkter inför kommande rådsmöten som förväntas godkännas vid Coreper I 2012-12-21.</w:t>
      </w:r>
      <w:bookmarkEnd w:id="87"/>
    </w:p>
    <w:p w:rsidR="002A3067" w:rsidRDefault="002A3067" w:rsidP="00294372">
      <w:pPr>
        <w:pStyle w:val="Heading2"/>
      </w:pPr>
      <w:bookmarkStart w:id="88" w:name="_Toc343699873"/>
      <w:r>
        <w:t>30. Replies to written questions put to the Council by Members of the European Parliament (+)</w:t>
      </w:r>
      <w:bookmarkEnd w:id="88"/>
    </w:p>
    <w:p w:rsidR="002A3067" w:rsidRDefault="002A3067" w:rsidP="00264AB0">
      <w:r>
        <w:t xml:space="preserve">a) n° </w:t>
      </w:r>
      <w:r>
        <w:rPr>
          <w:noProof/>
        </w:rPr>
        <w:t>E</w:t>
      </w:r>
      <w:r>
        <w:t>-</w:t>
      </w:r>
      <w:r>
        <w:rPr>
          <w:noProof/>
        </w:rPr>
        <w:t>007887/2012</w:t>
      </w:r>
      <w:r>
        <w:t xml:space="preserve"> put by </w:t>
      </w:r>
      <w:r>
        <w:rPr>
          <w:noProof/>
        </w:rPr>
        <w:t>Keith Taylor</w:t>
      </w:r>
    </w:p>
    <w:p w:rsidR="002A3067" w:rsidRDefault="002A3067" w:rsidP="00264AB0">
      <w:r>
        <w:t>"</w:t>
      </w:r>
      <w:r>
        <w:rPr>
          <w:noProof/>
        </w:rPr>
        <w:t>Wild animals kept as pets in the European Union</w:t>
      </w:r>
      <w:r>
        <w:t>"</w:t>
      </w:r>
    </w:p>
    <w:p w:rsidR="002A3067" w:rsidRDefault="002A3067" w:rsidP="00264AB0">
      <w:pPr>
        <w:rPr>
          <w:lang w:val="fr-BE"/>
        </w:rPr>
      </w:pPr>
      <w:r>
        <w:rPr>
          <w:lang w:val="fr-BE"/>
        </w:rPr>
        <w:t xml:space="preserve">b) n° </w:t>
      </w:r>
      <w:r>
        <w:rPr>
          <w:noProof/>
          <w:lang w:val="fr-BE"/>
        </w:rPr>
        <w:t>E</w:t>
      </w:r>
      <w:r>
        <w:rPr>
          <w:lang w:val="fr-BE"/>
        </w:rPr>
        <w:t>-</w:t>
      </w:r>
      <w:r>
        <w:rPr>
          <w:noProof/>
          <w:lang w:val="fr-BE"/>
        </w:rPr>
        <w:t>008085/2012</w:t>
      </w:r>
      <w:r>
        <w:rPr>
          <w:lang w:val="fr-BE"/>
        </w:rPr>
        <w:t xml:space="preserve"> put by </w:t>
      </w:r>
      <w:r>
        <w:rPr>
          <w:noProof/>
          <w:lang w:val="fr-BE"/>
        </w:rPr>
        <w:t>Chris Davies, Gerben-Jan Gerbrandy, Jo Leinen, Satu Hassi, Bas Eickhout and Linda McAvan</w:t>
      </w:r>
    </w:p>
    <w:p w:rsidR="002A3067" w:rsidRDefault="002A3067" w:rsidP="00264AB0">
      <w:pPr>
        <w:rPr>
          <w:lang w:val="en-GB"/>
        </w:rPr>
      </w:pPr>
      <w:r>
        <w:t>"</w:t>
      </w:r>
      <w:r>
        <w:rPr>
          <w:noProof/>
        </w:rPr>
        <w:t>Basis for reaching Council 'conclusions', including those concerning international agreements</w:t>
      </w:r>
      <w:r>
        <w:t>"</w:t>
      </w:r>
    </w:p>
    <w:p w:rsidR="002A3067" w:rsidRDefault="002A3067" w:rsidP="00264AB0">
      <w:r>
        <w:t xml:space="preserve">c) n° </w:t>
      </w:r>
      <w:r>
        <w:rPr>
          <w:noProof/>
        </w:rPr>
        <w:t>E</w:t>
      </w:r>
      <w:r>
        <w:t>-</w:t>
      </w:r>
      <w:r>
        <w:rPr>
          <w:noProof/>
        </w:rPr>
        <w:t>008866/2012</w:t>
      </w:r>
      <w:r>
        <w:t xml:space="preserve"> put by </w:t>
      </w:r>
      <w:r>
        <w:rPr>
          <w:noProof/>
        </w:rPr>
        <w:t>Matteo Salvini</w:t>
      </w:r>
    </w:p>
    <w:p w:rsidR="002A3067" w:rsidRDefault="002A3067" w:rsidP="00264AB0">
      <w:pPr>
        <w:rPr>
          <w:lang w:val="fr-BE"/>
        </w:rPr>
      </w:pPr>
      <w:r>
        <w:rPr>
          <w:lang w:val="fr-BE"/>
        </w:rPr>
        <w:t>"</w:t>
      </w:r>
      <w:r>
        <w:rPr>
          <w:noProof/>
          <w:lang w:val="fr-BE"/>
        </w:rPr>
        <w:t>Single European patent</w:t>
      </w:r>
      <w:r>
        <w:rPr>
          <w:lang w:val="fr-BE"/>
        </w:rPr>
        <w:t>"</w:t>
      </w:r>
    </w:p>
    <w:p w:rsidR="002A3067" w:rsidRDefault="002A3067" w:rsidP="00264AB0">
      <w:pPr>
        <w:rPr>
          <w:lang w:val="fr-BE"/>
        </w:rPr>
      </w:pPr>
      <w:r>
        <w:rPr>
          <w:lang w:val="fr-BE"/>
        </w:rPr>
        <w:t xml:space="preserve">d) n° </w:t>
      </w:r>
      <w:r>
        <w:rPr>
          <w:noProof/>
          <w:lang w:val="fr-BE"/>
        </w:rPr>
        <w:t>E</w:t>
      </w:r>
      <w:r>
        <w:rPr>
          <w:lang w:val="fr-BE"/>
        </w:rPr>
        <w:t>-</w:t>
      </w:r>
      <w:r>
        <w:rPr>
          <w:noProof/>
          <w:lang w:val="fr-BE"/>
        </w:rPr>
        <w:t>008997/2012</w:t>
      </w:r>
      <w:r>
        <w:rPr>
          <w:lang w:val="fr-BE"/>
        </w:rPr>
        <w:t xml:space="preserve"> put by </w:t>
      </w:r>
      <w:r>
        <w:rPr>
          <w:noProof/>
          <w:lang w:val="fr-BE"/>
        </w:rPr>
        <w:t>Sergio Gutiérrez Prieto, Iratxe García Pérez and Enrique Guerrero Salom</w:t>
      </w:r>
    </w:p>
    <w:p w:rsidR="002A3067" w:rsidRDefault="002A3067" w:rsidP="00264AB0">
      <w:pPr>
        <w:rPr>
          <w:lang w:val="en-GB"/>
        </w:rPr>
      </w:pPr>
      <w:r>
        <w:t>"</w:t>
      </w:r>
      <w:r>
        <w:rPr>
          <w:noProof/>
        </w:rPr>
        <w:t>Continuation of the European programme of food aid for the most deprived persons</w:t>
      </w:r>
      <w:r>
        <w:t>"</w:t>
      </w:r>
    </w:p>
    <w:p w:rsidR="002A3067" w:rsidRDefault="002A3067" w:rsidP="00264AB0">
      <w:pPr>
        <w:rPr>
          <w:lang w:val="en-GB"/>
        </w:rPr>
      </w:pPr>
      <w:r>
        <w:t xml:space="preserve">e) n° </w:t>
      </w:r>
      <w:r>
        <w:rPr>
          <w:noProof/>
        </w:rPr>
        <w:t>E</w:t>
      </w:r>
      <w:r>
        <w:t>-</w:t>
      </w:r>
      <w:r>
        <w:rPr>
          <w:noProof/>
        </w:rPr>
        <w:t>009157/2012</w:t>
      </w:r>
      <w:r>
        <w:t xml:space="preserve"> put by </w:t>
      </w:r>
      <w:r>
        <w:rPr>
          <w:noProof/>
        </w:rPr>
        <w:t>David Martin</w:t>
      </w:r>
    </w:p>
    <w:p w:rsidR="002A3067" w:rsidRDefault="002A3067" w:rsidP="00264AB0">
      <w:r>
        <w:t>"</w:t>
      </w:r>
      <w:r>
        <w:rPr>
          <w:noProof/>
        </w:rPr>
        <w:t>Indication of country of origin</w:t>
      </w:r>
      <w:r>
        <w:t>"</w:t>
      </w:r>
    </w:p>
    <w:p w:rsidR="002A3067" w:rsidRDefault="002A3067" w:rsidP="00264AB0">
      <w:r>
        <w:t xml:space="preserve">f) n° </w:t>
      </w:r>
      <w:r>
        <w:rPr>
          <w:noProof/>
        </w:rPr>
        <w:t>E</w:t>
      </w:r>
      <w:r>
        <w:t>-</w:t>
      </w:r>
      <w:r>
        <w:rPr>
          <w:noProof/>
        </w:rPr>
        <w:t>009252/2012</w:t>
      </w:r>
      <w:r>
        <w:t xml:space="preserve"> put by </w:t>
      </w:r>
      <w:r>
        <w:rPr>
          <w:noProof/>
        </w:rPr>
        <w:t>Georgios Toussas</w:t>
      </w:r>
    </w:p>
    <w:p w:rsidR="002A3067" w:rsidRDefault="002A3067" w:rsidP="00264AB0">
      <w:r>
        <w:t>"</w:t>
      </w:r>
      <w:r>
        <w:rPr>
          <w:noProof/>
        </w:rPr>
        <w:t>Solidarity with the struggle of the Colombian people</w:t>
      </w:r>
      <w:r>
        <w:t>"</w:t>
      </w:r>
    </w:p>
    <w:p w:rsidR="002A3067" w:rsidRDefault="002A3067" w:rsidP="00264AB0">
      <w:r>
        <w:t xml:space="preserve">g) n° </w:t>
      </w:r>
      <w:r>
        <w:rPr>
          <w:noProof/>
        </w:rPr>
        <w:t>P</w:t>
      </w:r>
      <w:r>
        <w:t>-</w:t>
      </w:r>
      <w:r>
        <w:rPr>
          <w:noProof/>
        </w:rPr>
        <w:t>009345/2012</w:t>
      </w:r>
      <w:r>
        <w:t xml:space="preserve"> put by </w:t>
      </w:r>
      <w:r>
        <w:rPr>
          <w:noProof/>
        </w:rPr>
        <w:t>Paul Murphy</w:t>
      </w:r>
    </w:p>
    <w:p w:rsidR="002A3067" w:rsidRDefault="002A3067" w:rsidP="00264AB0">
      <w:r>
        <w:t>"</w:t>
      </w:r>
      <w:r>
        <w:rPr>
          <w:noProof/>
        </w:rPr>
        <w:t>Addition of the LTTE to the EU 'terrorist list</w:t>
      </w:r>
      <w:r>
        <w:t>"</w:t>
      </w:r>
    </w:p>
    <w:p w:rsidR="002A3067" w:rsidRDefault="002A3067" w:rsidP="00264AB0">
      <w:pPr>
        <w:rPr>
          <w:lang w:val="en-GB"/>
        </w:rPr>
      </w:pPr>
      <w:r>
        <w:t xml:space="preserve">h)n° </w:t>
      </w:r>
      <w:r>
        <w:rPr>
          <w:noProof/>
        </w:rPr>
        <w:t>E</w:t>
      </w:r>
      <w:r>
        <w:t>-</w:t>
      </w:r>
      <w:r>
        <w:rPr>
          <w:noProof/>
        </w:rPr>
        <w:t>009472/2012</w:t>
      </w:r>
      <w:r>
        <w:t xml:space="preserve"> put by </w:t>
      </w:r>
      <w:r>
        <w:rPr>
          <w:noProof/>
        </w:rPr>
        <w:t>Diogo Feio</w:t>
      </w:r>
    </w:p>
    <w:p w:rsidR="002A3067" w:rsidRDefault="002A3067" w:rsidP="00264AB0">
      <w:pPr>
        <w:rPr>
          <w:lang w:val="fr-BE"/>
        </w:rPr>
      </w:pPr>
      <w:r>
        <w:rPr>
          <w:lang w:val="fr-BE"/>
        </w:rPr>
        <w:t>"</w:t>
      </w:r>
      <w:r>
        <w:rPr>
          <w:noProof/>
          <w:lang w:val="fr-BE"/>
        </w:rPr>
        <w:t>Revitalising European industry</w:t>
      </w:r>
      <w:r>
        <w:rPr>
          <w:lang w:val="fr-BE"/>
        </w:rPr>
        <w:t>"</w:t>
      </w:r>
    </w:p>
    <w:p w:rsidR="002A3067" w:rsidRDefault="002A3067" w:rsidP="00A01FD3">
      <w:pPr>
        <w:pStyle w:val="NormalConseil"/>
        <w:ind w:firstLine="1701"/>
        <w:rPr>
          <w:noProof/>
          <w:lang w:val="fr-BE"/>
        </w:rPr>
      </w:pPr>
    </w:p>
    <w:p w:rsidR="002A3067" w:rsidRDefault="002A3067" w:rsidP="00264AB0">
      <w:pPr>
        <w:pStyle w:val="NormalConseil"/>
      </w:pPr>
      <w:r>
        <w:rPr>
          <w:noProof/>
          <w:lang w:val="fr-BE"/>
        </w:rPr>
        <w:t xml:space="preserve">16556/12, </w:t>
      </w:r>
      <w:r>
        <w:rPr>
          <w:noProof/>
        </w:rPr>
        <w:t xml:space="preserve">17594/12, </w:t>
      </w:r>
      <w:r>
        <w:rPr>
          <w:noProof/>
          <w:lang w:val="fr-BE"/>
        </w:rPr>
        <w:t xml:space="preserve">17573/12, 17655/12, 17572/12, </w:t>
      </w:r>
      <w:r>
        <w:rPr>
          <w:noProof/>
        </w:rPr>
        <w:t>16842/1/12, 16527/12</w:t>
      </w:r>
      <w:r>
        <w:t xml:space="preserve"> </w:t>
      </w:r>
    </w:p>
    <w:p w:rsidR="002A3067" w:rsidRDefault="002A3067" w:rsidP="00264AB0">
      <w:pPr>
        <w:tabs>
          <w:tab w:val="left" w:pos="1701"/>
        </w:tabs>
        <w:spacing w:line="240" w:lineRule="auto"/>
        <w:rPr>
          <w:lang w:val="fr-BE"/>
        </w:rPr>
      </w:pPr>
      <w:r>
        <w:rPr>
          <w:noProof/>
          <w:lang w:val="fr-BE"/>
        </w:rPr>
        <w:t>16761/12</w:t>
      </w:r>
      <w:r>
        <w:rPr>
          <w:lang w:val="fr-BE"/>
        </w:rPr>
        <w:t xml:space="preserve"> </w:t>
      </w:r>
    </w:p>
    <w:p w:rsidR="002A3067" w:rsidRDefault="002A3067" w:rsidP="00A01FD3">
      <w:pPr>
        <w:pStyle w:val="RKnormal"/>
        <w:tabs>
          <w:tab w:val="clear" w:pos="1843"/>
          <w:tab w:val="left" w:pos="0"/>
        </w:tabs>
        <w:ind w:left="0"/>
      </w:pPr>
    </w:p>
    <w:p w:rsidR="002A3067" w:rsidRDefault="002A3067" w:rsidP="00A01FD3">
      <w:pPr>
        <w:pStyle w:val="RKnormal"/>
        <w:tabs>
          <w:tab w:val="clear" w:pos="1843"/>
          <w:tab w:val="left" w:pos="0"/>
        </w:tabs>
        <w:ind w:left="0"/>
      </w:pPr>
      <w:r>
        <w:t>Ansvarigt departement: Statsrådsberedningen</w:t>
      </w:r>
    </w:p>
    <w:p w:rsidR="002A3067" w:rsidRDefault="002A3067" w:rsidP="00A01FD3">
      <w:pPr>
        <w:pStyle w:val="RKnormal"/>
        <w:tabs>
          <w:tab w:val="clear" w:pos="1843"/>
          <w:tab w:val="left" w:pos="0"/>
        </w:tabs>
        <w:ind w:left="0"/>
      </w:pPr>
    </w:p>
    <w:p w:rsidR="002A3067" w:rsidRDefault="002A3067" w:rsidP="00A01FD3">
      <w:pPr>
        <w:pStyle w:val="RKnormal"/>
        <w:tabs>
          <w:tab w:val="clear" w:pos="1843"/>
          <w:tab w:val="left" w:pos="0"/>
        </w:tabs>
        <w:ind w:left="0"/>
      </w:pPr>
      <w:r>
        <w:t>Ansvarigt statsråd: Birgitta Ohlsson</w:t>
      </w:r>
    </w:p>
    <w:p w:rsidR="002A3067" w:rsidRDefault="002A3067" w:rsidP="00A01FD3">
      <w:pPr>
        <w:pStyle w:val="RKnormal"/>
        <w:tabs>
          <w:tab w:val="clear" w:pos="1843"/>
          <w:tab w:val="left" w:pos="0"/>
        </w:tabs>
        <w:ind w:left="0"/>
      </w:pPr>
    </w:p>
    <w:p w:rsidR="002A3067" w:rsidRPr="00FB3955" w:rsidRDefault="002A3067" w:rsidP="00F10AD0">
      <w:r>
        <w:t>Förväntas godkännas av Coreper I den 21 december 2012</w:t>
      </w:r>
    </w:p>
    <w:p w:rsidR="002A3067" w:rsidRDefault="002A3067" w:rsidP="00A01FD3">
      <w:pPr>
        <w:pStyle w:val="RKnormal"/>
        <w:tabs>
          <w:tab w:val="clear" w:pos="1843"/>
          <w:tab w:val="left" w:pos="0"/>
        </w:tabs>
        <w:ind w:left="0"/>
      </w:pPr>
    </w:p>
    <w:p w:rsidR="002A3067" w:rsidRDefault="002A3067" w:rsidP="00A01FD3">
      <w:pPr>
        <w:pStyle w:val="RKnormal"/>
        <w:tabs>
          <w:tab w:val="clear" w:pos="1843"/>
          <w:tab w:val="left" w:pos="0"/>
        </w:tabs>
        <w:ind w:left="0"/>
      </w:pPr>
      <w:r>
        <w:t>Föranleder ingen annotering.</w:t>
      </w:r>
    </w:p>
    <w:p w:rsidR="002A3067" w:rsidRDefault="002A3067" w:rsidP="00264AB0">
      <w:pPr>
        <w:pStyle w:val="Heading2"/>
      </w:pPr>
      <w:bookmarkStart w:id="89" w:name="_Toc343699874"/>
      <w:r>
        <w:t>31. Proposal for a Regulation of the European Parliament and of the Council amending Regulation (EC) No 1185/2003 on the removal of fins of sharks on board vessels ) (First reading) (Legislative deliberation) = Endorsement of the agreement of the Working Party</w:t>
      </w:r>
      <w:bookmarkEnd w:id="89"/>
    </w:p>
    <w:p w:rsidR="002A3067" w:rsidRDefault="002A3067" w:rsidP="00F10AD0">
      <w:pPr>
        <w:spacing w:line="240" w:lineRule="auto"/>
        <w:rPr>
          <w:lang w:val="it-IT"/>
        </w:rPr>
      </w:pPr>
      <w:r>
        <w:t xml:space="preserve">17467/12 </w:t>
      </w:r>
    </w:p>
    <w:p w:rsidR="002A3067" w:rsidRDefault="002A3067" w:rsidP="00A01FD3">
      <w:pPr>
        <w:pStyle w:val="RKnormal"/>
        <w:tabs>
          <w:tab w:val="clear" w:pos="1843"/>
          <w:tab w:val="left" w:pos="0"/>
        </w:tabs>
        <w:ind w:left="0"/>
      </w:pPr>
    </w:p>
    <w:p w:rsidR="002A3067" w:rsidRDefault="002A3067" w:rsidP="00F10AD0">
      <w:pPr>
        <w:pStyle w:val="RKnormal"/>
        <w:tabs>
          <w:tab w:val="clear" w:pos="1843"/>
          <w:tab w:val="left" w:pos="0"/>
        </w:tabs>
        <w:ind w:left="0"/>
      </w:pPr>
      <w:r>
        <w:t>Ansvarigt departement: Landsbygdsdepartementet</w:t>
      </w:r>
    </w:p>
    <w:p w:rsidR="002A3067" w:rsidRDefault="002A3067" w:rsidP="00F10AD0">
      <w:pPr>
        <w:pStyle w:val="RKnormal"/>
        <w:tabs>
          <w:tab w:val="clear" w:pos="1843"/>
          <w:tab w:val="left" w:pos="0"/>
        </w:tabs>
        <w:ind w:left="0"/>
      </w:pPr>
    </w:p>
    <w:p w:rsidR="002A3067" w:rsidRDefault="002A3067" w:rsidP="00F10AD0">
      <w:pPr>
        <w:pStyle w:val="RKnormal"/>
        <w:tabs>
          <w:tab w:val="clear" w:pos="1843"/>
          <w:tab w:val="left" w:pos="0"/>
        </w:tabs>
        <w:ind w:left="0"/>
      </w:pPr>
      <w:r>
        <w:t>Ansvarigt statsråd: Eskil Erlandsson</w:t>
      </w:r>
    </w:p>
    <w:p w:rsidR="002A3067" w:rsidRDefault="002A3067" w:rsidP="00F10AD0">
      <w:pPr>
        <w:pStyle w:val="RKnormal"/>
        <w:tabs>
          <w:tab w:val="clear" w:pos="1843"/>
          <w:tab w:val="left" w:pos="0"/>
        </w:tabs>
        <w:ind w:left="0"/>
      </w:pPr>
    </w:p>
    <w:p w:rsidR="002A3067" w:rsidRPr="00FB3955" w:rsidRDefault="002A3067" w:rsidP="00F10AD0">
      <w:r>
        <w:t>Förväntas godkännas av Coreper I den 21 december 2012</w:t>
      </w:r>
    </w:p>
    <w:p w:rsidR="002A3067" w:rsidRDefault="002A3067" w:rsidP="00A01FD3">
      <w:pPr>
        <w:pStyle w:val="RKnormal"/>
        <w:tabs>
          <w:tab w:val="clear" w:pos="1843"/>
          <w:tab w:val="left" w:pos="0"/>
        </w:tabs>
        <w:ind w:left="0"/>
      </w:pPr>
    </w:p>
    <w:p w:rsidR="002A3067" w:rsidRDefault="002A3067" w:rsidP="00F10AD0">
      <w:pPr>
        <w:pStyle w:val="RKnormal"/>
        <w:tabs>
          <w:tab w:val="clear" w:pos="1843"/>
          <w:tab w:val="left" w:pos="0"/>
          <w:tab w:val="left" w:pos="142"/>
        </w:tabs>
        <w:ind w:left="0"/>
      </w:pPr>
      <w:r>
        <w:t xml:space="preserve">Hajfisket har fått allt större omfattning på grund av ökad efterfrågan på hajprodukter, särskilt fenor. Bruket att avlägsna fenorna och behålla dem ombord men kasta hajkropparna överbord kallas hajfensfiske. Hajar och rockor är särskilt sårbara för överfiske och många bestånd är starkt hotade. Orsaken är att livscykeln hos hajar och rockor är särskilt sårbara för överfiske och det tar lång tid för utfiskade bestånd att återhämta sig. </w:t>
      </w:r>
    </w:p>
    <w:p w:rsidR="002A3067" w:rsidRDefault="002A3067" w:rsidP="00F10AD0">
      <w:pPr>
        <w:pStyle w:val="RKnormal"/>
        <w:tabs>
          <w:tab w:val="clear" w:pos="1843"/>
          <w:tab w:val="left" w:pos="0"/>
          <w:tab w:val="left" w:pos="142"/>
        </w:tabs>
        <w:ind w:left="0"/>
      </w:pPr>
    </w:p>
    <w:p w:rsidR="002A3067" w:rsidRDefault="002A3067" w:rsidP="00F10AD0">
      <w:pPr>
        <w:pStyle w:val="RKnormal"/>
        <w:tabs>
          <w:tab w:val="clear" w:pos="1843"/>
          <w:tab w:val="left" w:pos="0"/>
          <w:tab w:val="left" w:pos="142"/>
        </w:tabs>
        <w:ind w:left="0"/>
      </w:pPr>
      <w:r>
        <w:t xml:space="preserve">Hajfensfisket bidrar till en mycket hög dödlighet för haj.(År 2003 antog rådet en förordning ((EG) nr 1185/2003) om avlägsnande av hajfenor ombord på fartyg. Förordningen gäller alla typer av fiske i EU-vatten och för alla EU-fartyg som fiskar utanför EU:s vatten. Förordningen förbjuder hajfensfiske utan undantag och även avlägsnande av fenor från hajar ombord på fartyg. Som ett undantag får dock fenor avlägsnas från hajkroppar ombord på fartyg som har särskilda fisketillstånd. Det finns dock stora brister med denna förordning och bruket att avlägsna hajfenor har inte minskat på något effektivt sätt.)I kommissionens förslag till förordning, förordas det alternativ som innebär att hajen (broskfisken) ska landas med fenorna kvar eftersom detta alternativ skulle förbättra möjligheterna av kontroll och datainsamling. Även EP förordar detta alternativ men med några mindre ÄF som kunde accepteras av de flesta MS. ES och PT gav dock uttryck för motstånd mot delar av skrivningarna i vissa ÄF.  </w:t>
      </w:r>
    </w:p>
    <w:p w:rsidR="002A3067" w:rsidRDefault="002A3067" w:rsidP="00F10AD0">
      <w:pPr>
        <w:pStyle w:val="RKnormal"/>
        <w:tabs>
          <w:tab w:val="left" w:pos="0"/>
        </w:tabs>
      </w:pPr>
    </w:p>
    <w:p w:rsidR="002A3067" w:rsidRPr="00A01FD3" w:rsidRDefault="002A3067" w:rsidP="00F10AD0">
      <w:pPr>
        <w:pStyle w:val="RKnormal"/>
        <w:tabs>
          <w:tab w:val="clear" w:pos="1843"/>
          <w:tab w:val="left" w:pos="0"/>
        </w:tabs>
        <w:ind w:left="0"/>
      </w:pPr>
      <w:r>
        <w:t>Regeringen avser rösta ja till att rådet antar förordningen (EC) No 1185/2003 om avlägsnande av fenor på hajar ombord på fartyg.</w:t>
      </w:r>
    </w:p>
    <w:p w:rsidR="002A3067" w:rsidRPr="00A01FD3" w:rsidRDefault="002A3067" w:rsidP="00A01FD3">
      <w:pPr>
        <w:pStyle w:val="RKnormal"/>
      </w:pPr>
    </w:p>
    <w:p w:rsidR="002A3067" w:rsidRPr="00760CD2" w:rsidRDefault="002A3067" w:rsidP="00760CD2">
      <w:pPr>
        <w:pStyle w:val="Heading1"/>
      </w:pPr>
      <w:bookmarkStart w:id="90" w:name="_Toc343699875"/>
      <w:r>
        <w:t>Färdigförhandlad</w:t>
      </w:r>
      <w:r w:rsidRPr="00760CD2">
        <w:t xml:space="preserve"> II-punkt från möte i Coreper I 2012-12-04 som kan tas som A-punkt vid kommande rådsmöte</w:t>
      </w:r>
      <w:bookmarkEnd w:id="90"/>
    </w:p>
    <w:p w:rsidR="002A3067" w:rsidRPr="00517C56" w:rsidRDefault="002A3067" w:rsidP="00517C56">
      <w:pPr>
        <w:pStyle w:val="Heading2"/>
      </w:pPr>
      <w:bookmarkStart w:id="91" w:name="_Toc343699876"/>
      <w:r w:rsidRPr="00517C56">
        <w:t xml:space="preserve">Förslag till Europaparlamentet och rådets förordning om livsmedel för spädbarn och småbarn och om livsmedel för särskilda medicinska behov </w:t>
      </w:r>
      <w:r>
        <w:t xml:space="preserve">- </w:t>
      </w:r>
      <w:r w:rsidRPr="00517C56">
        <w:t>Politisk överenskommelse</w:t>
      </w:r>
      <w:bookmarkEnd w:id="91"/>
    </w:p>
    <w:p w:rsidR="002A3067" w:rsidRDefault="002A3067" w:rsidP="00896A88">
      <w:pPr>
        <w:rPr>
          <w:rFonts w:ascii="Garamond" w:hAnsi="Garamond"/>
        </w:rPr>
      </w:pPr>
      <w:r>
        <w:rPr>
          <w:rFonts w:ascii="Garamond" w:hAnsi="Garamond"/>
        </w:rPr>
        <w:t xml:space="preserve">16961/12 </w:t>
      </w:r>
    </w:p>
    <w:p w:rsidR="002A3067" w:rsidRDefault="002A3067" w:rsidP="00896A88">
      <w:pPr>
        <w:rPr>
          <w:rFonts w:ascii="Garamond" w:hAnsi="Garamond"/>
          <w:b/>
        </w:rPr>
      </w:pPr>
    </w:p>
    <w:p w:rsidR="002A3067" w:rsidRPr="00760CD2" w:rsidRDefault="002A3067" w:rsidP="00896A88">
      <w:pPr>
        <w:rPr>
          <w:rFonts w:ascii="Garamond" w:hAnsi="Garamond"/>
        </w:rPr>
      </w:pPr>
      <w:r w:rsidRPr="00760CD2">
        <w:rPr>
          <w:rFonts w:ascii="Garamond" w:hAnsi="Garamond"/>
        </w:rPr>
        <w:t>Ansvarigt departement: Landsbygdsdepartementet</w:t>
      </w:r>
    </w:p>
    <w:p w:rsidR="002A3067" w:rsidRDefault="002A3067" w:rsidP="00896A88">
      <w:pPr>
        <w:rPr>
          <w:rFonts w:ascii="Garamond" w:hAnsi="Garamond"/>
          <w:b/>
        </w:rPr>
      </w:pPr>
    </w:p>
    <w:p w:rsidR="002A3067" w:rsidRPr="00760CD2" w:rsidRDefault="002A3067" w:rsidP="00896A88">
      <w:pPr>
        <w:pStyle w:val="RKnormal"/>
        <w:ind w:left="0"/>
        <w:rPr>
          <w:color w:val="000000"/>
        </w:rPr>
      </w:pPr>
      <w:r w:rsidRPr="00760CD2">
        <w:rPr>
          <w:color w:val="000000"/>
        </w:rPr>
        <w:t>Ansvarigt statsråd: Eskil Erlandsson.</w:t>
      </w:r>
    </w:p>
    <w:p w:rsidR="002A3067" w:rsidRDefault="002A3067" w:rsidP="00896A88">
      <w:pPr>
        <w:pStyle w:val="RKnormal"/>
        <w:ind w:left="0"/>
        <w:rPr>
          <w:b/>
        </w:rPr>
      </w:pPr>
    </w:p>
    <w:p w:rsidR="002A3067" w:rsidRPr="00760CD2" w:rsidRDefault="002A3067" w:rsidP="00896A88">
      <w:pPr>
        <w:pStyle w:val="RKnormal"/>
        <w:ind w:left="0"/>
      </w:pPr>
      <w:r w:rsidRPr="00760CD2">
        <w:t>Tidigare behandling i riksdagen: Frågan togs upp i EUN i november 2011 och 30 november 2012 inför EPSCO-rådet.</w:t>
      </w:r>
    </w:p>
    <w:p w:rsidR="002A3067" w:rsidRDefault="002A3067" w:rsidP="00896A88">
      <w:pPr>
        <w:pStyle w:val="RKnormal"/>
        <w:ind w:left="0"/>
      </w:pPr>
    </w:p>
    <w:p w:rsidR="002A3067" w:rsidRPr="00760CD2" w:rsidRDefault="002A3067" w:rsidP="00896A88">
      <w:pPr>
        <w:pStyle w:val="RKnormal"/>
        <w:ind w:left="0"/>
      </w:pPr>
      <w:r w:rsidRPr="00760CD2">
        <w:t>Tidigare behandling vid rådsmöte: frågan har diskuterats i rådsarbetsgrupp hösten 2011 och våren 2012 och i attachégrupp under hösten 2012.</w:t>
      </w:r>
    </w:p>
    <w:p w:rsidR="002A3067" w:rsidRPr="00760CD2" w:rsidRDefault="002A3067" w:rsidP="00896A88">
      <w:pPr>
        <w:pStyle w:val="RKnormal"/>
        <w:ind w:left="0"/>
      </w:pPr>
    </w:p>
    <w:p w:rsidR="002A3067" w:rsidRPr="00760CD2" w:rsidRDefault="002A3067" w:rsidP="00896A88">
      <w:pPr>
        <w:pStyle w:val="RKnormal"/>
        <w:ind w:left="0"/>
      </w:pPr>
      <w:r w:rsidRPr="00760CD2">
        <w:t xml:space="preserve">Avsikt med behandlingen i rådet: </w:t>
      </w:r>
    </w:p>
    <w:p w:rsidR="002A3067" w:rsidRDefault="002A3067" w:rsidP="00896A88">
      <w:pPr>
        <w:pStyle w:val="RKnormal"/>
        <w:ind w:left="0"/>
        <w:rPr>
          <w:szCs w:val="24"/>
          <w:lang w:eastAsia="sv-SE"/>
        </w:rPr>
      </w:pPr>
      <w:r>
        <w:t>Rådet föreslås anta</w:t>
      </w:r>
      <w:r>
        <w:rPr>
          <w:b/>
        </w:rPr>
        <w:t xml:space="preserve"> </w:t>
      </w:r>
      <w:r>
        <w:rPr>
          <w:szCs w:val="24"/>
          <w:lang w:eastAsia="sv-SE"/>
        </w:rPr>
        <w:t xml:space="preserve">förordningen. </w:t>
      </w:r>
    </w:p>
    <w:p w:rsidR="002A3067" w:rsidRDefault="002A3067" w:rsidP="00896A88">
      <w:pPr>
        <w:pStyle w:val="RKnormal"/>
        <w:ind w:left="0"/>
        <w:rPr>
          <w:b/>
        </w:rPr>
      </w:pPr>
    </w:p>
    <w:p w:rsidR="002A3067" w:rsidRDefault="002A3067" w:rsidP="00896A88">
      <w:pPr>
        <w:pStyle w:val="RKnormal"/>
        <w:ind w:left="0"/>
      </w:pPr>
      <w:r w:rsidRPr="00760CD2">
        <w:t xml:space="preserve">Hur regeringen ställer sig till den blivande a-punkten: </w:t>
      </w:r>
    </w:p>
    <w:p w:rsidR="002A3067" w:rsidRDefault="002A3067" w:rsidP="00896A88">
      <w:pPr>
        <w:pStyle w:val="RKnormal"/>
        <w:ind w:left="0"/>
        <w:rPr>
          <w:b/>
        </w:rPr>
      </w:pPr>
      <w:r w:rsidRPr="00760CD2">
        <w:t>Regeringen avser</w:t>
      </w:r>
      <w:r>
        <w:t xml:space="preserve"> rösta ja till att rådet antar </w:t>
      </w:r>
      <w:r>
        <w:rPr>
          <w:szCs w:val="24"/>
          <w:lang w:eastAsia="sv-SE"/>
        </w:rPr>
        <w:t>Europaparlamentets och rådets förordning om livsmedel för spädbarn och småbarn och om livsmedel för särskilda medicinska behov.</w:t>
      </w:r>
    </w:p>
    <w:p w:rsidR="002A3067" w:rsidRDefault="002A3067" w:rsidP="00896A88">
      <w:pPr>
        <w:pStyle w:val="RKnormal"/>
        <w:ind w:left="0"/>
      </w:pPr>
    </w:p>
    <w:p w:rsidR="002A3067" w:rsidRPr="00760CD2" w:rsidRDefault="002A3067" w:rsidP="00896A88">
      <w:pPr>
        <w:pStyle w:val="RKnormal"/>
        <w:ind w:left="0"/>
      </w:pPr>
      <w:r w:rsidRPr="00760CD2">
        <w:t>Bakgrund:</w:t>
      </w:r>
    </w:p>
    <w:p w:rsidR="002A3067" w:rsidRDefault="002A3067" w:rsidP="00896A88">
      <w:pPr>
        <w:pStyle w:val="RKnormal"/>
        <w:ind w:left="0"/>
        <w:rPr>
          <w:iCs/>
        </w:rPr>
      </w:pPr>
      <w:r>
        <w:rPr>
          <w:iCs/>
        </w:rPr>
        <w:t xml:space="preserve">Kommissionen lade i juni 2011 fram ett förslag till förordning om livsmedel för spädbarn, småbarn och livsmedel för speciella medicinska ändamål (se faktapromemoria 2010/11:FPM149). Genom förslaget till förordning ändras lagstiftningen om livsmedel för särskilda näringsändamål. </w:t>
      </w:r>
    </w:p>
    <w:p w:rsidR="002A3067" w:rsidRDefault="002A3067" w:rsidP="00896A88">
      <w:pPr>
        <w:pStyle w:val="RKnormal"/>
        <w:ind w:left="0"/>
        <w:rPr>
          <w:iCs/>
        </w:rPr>
      </w:pPr>
    </w:p>
    <w:p w:rsidR="002A3067" w:rsidRDefault="002A3067" w:rsidP="00760CD2">
      <w:pPr>
        <w:pStyle w:val="RKnormal"/>
        <w:ind w:left="0"/>
      </w:pPr>
      <w:r>
        <w:rPr>
          <w:iCs/>
        </w:rPr>
        <w:t xml:space="preserve">Sverige är positiv till förordningen som innebär att begreppet livsmedel för särskilda närings-ändamål/dietlivsmedel tas bort och att bl.a. diabetesprodukter fortsatt kommer att regleras genom allmänna livsmedelsbestämmelser. Förordningen innebär att EU får en uppdaterad lagstiftning på området för livsmedel för särskilda näringsändamål och regelverket blir klarare. I förordningen ges kommissionen befogenhet att ta fram delegerade akter om bl.a. sammansättning av modersmjölksersättning och tillskottsnäring. En gemensam lista för vitaminer och mineraler som kan tillsättas livsmedel för särskilda näringsändamål kommer också att tas fram genom en delegerad akt. Glutenfria produkter hanteras inom ramen för förordningen om livsmedelsinformation till konsumenterna (1169/2011/EU). Det innebär att nuvarande regler om glutenfria och laktosfria livsmedel kommer överflyttas och nuvarande direktiv upphävas. Produkter avsedda för sportutövare och s.k. småbarnsmjölk kommer att undantas från rättsakten och kommissionen ska utvärdera om behov föreligger för att reglera dessa områden särskilt. </w:t>
      </w:r>
    </w:p>
    <w:p w:rsidR="002A3067" w:rsidRDefault="002A3067" w:rsidP="00FB3955"/>
    <w:sectPr w:rsidR="002A3067" w:rsidSect="00876D36">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067" w:rsidRDefault="002A3067">
      <w:r>
        <w:separator/>
      </w:r>
    </w:p>
  </w:endnote>
  <w:endnote w:type="continuationSeparator" w:id="0">
    <w:p w:rsidR="002A3067" w:rsidRDefault="002A30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067" w:rsidRDefault="002A3067">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30</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30</w:t>
    </w:r>
    <w:r>
      <w:rPr>
        <w:rStyle w:val="PageNumber"/>
        <w:sz w:val="16"/>
      </w:rPr>
      <w:fldChar w:fldCharType="end"/>
    </w:r>
    <w:r>
      <w:rPr>
        <w:rStyle w:val="PageNumber"/>
        <w:sz w:val="16"/>
      </w:rPr>
      <w:t>)</w:t>
    </w:r>
  </w:p>
  <w:p w:rsidR="002A3067" w:rsidRDefault="002A306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067" w:rsidRDefault="002A3067">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30</w:t>
    </w:r>
    <w:r>
      <w:rPr>
        <w:rStyle w:val="PageNumber"/>
        <w:sz w:val="16"/>
      </w:rPr>
      <w:fldChar w:fldCharType="end"/>
    </w:r>
    <w:r>
      <w:rPr>
        <w:rStyle w:val="PageNumber"/>
        <w:sz w:val="16"/>
      </w:rPr>
      <w:t>)</w:t>
    </w:r>
  </w:p>
  <w:p w:rsidR="002A3067" w:rsidRDefault="002A3067">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067" w:rsidRDefault="002A30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067" w:rsidRDefault="002A3067">
      <w:r>
        <w:separator/>
      </w:r>
    </w:p>
  </w:footnote>
  <w:footnote w:type="continuationSeparator" w:id="0">
    <w:p w:rsidR="002A3067" w:rsidRDefault="002A30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067" w:rsidRDefault="002A3067">
    <w:pPr>
      <w:pStyle w:val="Header"/>
      <w:framePr w:wrap="around" w:vAnchor="text" w:hAnchor="margin" w:xAlign="right" w:y="1"/>
      <w:rPr>
        <w:rStyle w:val="PageNumber"/>
      </w:rPr>
    </w:pPr>
  </w:p>
  <w:p w:rsidR="002A3067" w:rsidRDefault="002A3067">
    <w:pPr>
      <w:pStyle w:val="Header"/>
      <w:ind w:right="360"/>
    </w:pPr>
  </w:p>
  <w:p w:rsidR="002A3067" w:rsidRDefault="002A3067">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067" w:rsidRDefault="002A3067">
    <w:pPr>
      <w:framePr w:w="2948" w:h="1321" w:hRule="exact" w:wrap="notBeside" w:vAnchor="page" w:hAnchor="page" w:x="1362" w:y="653"/>
    </w:pPr>
    <w:r w:rsidRPr="009A6691">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2A3067" w:rsidRDefault="002A3067">
    <w:pPr>
      <w:pStyle w:val="Header"/>
    </w:pPr>
  </w:p>
  <w:p w:rsidR="002A3067" w:rsidRDefault="002A3067">
    <w:pPr>
      <w:pStyle w:val="Header"/>
      <w:ind w:right="360"/>
    </w:pPr>
  </w:p>
  <w:p w:rsidR="002A3067" w:rsidRDefault="002A3067">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067" w:rsidRDefault="002A3067">
    <w:pPr>
      <w:framePr w:w="2948" w:h="1321" w:hRule="exact" w:wrap="notBeside" w:vAnchor="page" w:hAnchor="page" w:x="1362" w:y="653"/>
    </w:pPr>
    <w:r w:rsidRPr="009A6691">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2A3067" w:rsidRDefault="002A30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F08B88A"/>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lvlText w:val="%1."/>
      <w:lvlJc w:val="left"/>
      <w:pPr>
        <w:tabs>
          <w:tab w:val="num" w:pos="567"/>
        </w:tabs>
        <w:ind w:left="567" w:hanging="567"/>
      </w:pPr>
      <w:rPr>
        <w:rFonts w:cs="Times New Roman"/>
      </w:rPr>
    </w:lvl>
  </w:abstractNum>
  <w:abstractNum w:abstractNumId="2">
    <w:nsid w:val="15C8606B"/>
    <w:multiLevelType w:val="hybridMultilevel"/>
    <w:tmpl w:val="2B524A8E"/>
    <w:lvl w:ilvl="0" w:tplc="CBDE9D90">
      <w:start w:val="18"/>
      <w:numFmt w:val="bullet"/>
      <w:lvlText w:val="-"/>
      <w:lvlJc w:val="left"/>
      <w:pPr>
        <w:ind w:left="420" w:hanging="360"/>
      </w:pPr>
      <w:rPr>
        <w:rFonts w:ascii="OrigGarmnd BT" w:eastAsia="Times New Roman" w:hAnsi="OrigGarmnd BT" w:hint="default"/>
        <w:b w:val="0"/>
      </w:rPr>
    </w:lvl>
    <w:lvl w:ilvl="1" w:tplc="041D0003" w:tentative="1">
      <w:start w:val="1"/>
      <w:numFmt w:val="bullet"/>
      <w:lvlText w:val="o"/>
      <w:lvlJc w:val="left"/>
      <w:pPr>
        <w:ind w:left="1140" w:hanging="360"/>
      </w:pPr>
      <w:rPr>
        <w:rFonts w:ascii="Courier New" w:hAnsi="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nsid w:val="22CA659A"/>
    <w:multiLevelType w:val="singleLevel"/>
    <w:tmpl w:val="7B9C897A"/>
    <w:lvl w:ilvl="0">
      <w:start w:val="1"/>
      <w:numFmt w:val="bullet"/>
      <w:lvlText w:val=""/>
      <w:lvlJc w:val="left"/>
      <w:pPr>
        <w:tabs>
          <w:tab w:val="num" w:pos="567"/>
        </w:tabs>
        <w:ind w:left="567" w:hanging="567"/>
      </w:pPr>
      <w:rPr>
        <w:rFonts w:ascii="Symbol" w:hAnsi="Symbol" w:hint="default"/>
      </w:rPr>
    </w:lvl>
  </w:abstractNum>
  <w:abstractNum w:abstractNumId="4">
    <w:nsid w:val="2D2D468B"/>
    <w:multiLevelType w:val="singleLevel"/>
    <w:tmpl w:val="A18042A8"/>
    <w:lvl w:ilvl="0">
      <w:start w:val="1"/>
      <w:numFmt w:val="upperLetter"/>
      <w:lvlText w:val="%1."/>
      <w:lvlJc w:val="left"/>
      <w:pPr>
        <w:tabs>
          <w:tab w:val="num" w:pos="567"/>
        </w:tabs>
        <w:ind w:left="567" w:hanging="567"/>
      </w:pPr>
      <w:rPr>
        <w:rFonts w:cs="Times New Roman"/>
      </w:rPr>
    </w:lvl>
  </w:abstractNum>
  <w:abstractNum w:abstractNumId="5">
    <w:nsid w:val="2DB37182"/>
    <w:multiLevelType w:val="singleLevel"/>
    <w:tmpl w:val="F612DBDC"/>
    <w:lvl w:ilvl="0">
      <w:start w:val="1"/>
      <w:numFmt w:val="lowerRoman"/>
      <w:lvlText w:val="(%1)"/>
      <w:lvlJc w:val="left"/>
      <w:pPr>
        <w:tabs>
          <w:tab w:val="num" w:pos="720"/>
        </w:tabs>
        <w:ind w:left="567" w:hanging="567"/>
      </w:pPr>
      <w:rPr>
        <w:rFonts w:cs="Times New Roman"/>
      </w:rPr>
    </w:lvl>
  </w:abstractNum>
  <w:abstractNum w:abstractNumId="6">
    <w:nsid w:val="394F5925"/>
    <w:multiLevelType w:val="singleLevel"/>
    <w:tmpl w:val="395C08BE"/>
    <w:lvl w:ilvl="0">
      <w:start w:val="1"/>
      <w:numFmt w:val="decimal"/>
      <w:lvlText w:val="(%1)"/>
      <w:lvlJc w:val="left"/>
      <w:pPr>
        <w:tabs>
          <w:tab w:val="num" w:pos="567"/>
        </w:tabs>
        <w:ind w:left="567" w:hanging="567"/>
      </w:pPr>
      <w:rPr>
        <w:rFonts w:cs="Times New Roman"/>
      </w:rPr>
    </w:lvl>
  </w:abstractNum>
  <w:abstractNum w:abstractNumId="7">
    <w:nsid w:val="3DD66C9D"/>
    <w:multiLevelType w:val="singleLevel"/>
    <w:tmpl w:val="E5905DC2"/>
    <w:lvl w:ilvl="0">
      <w:start w:val="1"/>
      <w:numFmt w:val="lowerLetter"/>
      <w:lvlText w:val="(%1)"/>
      <w:lvlJc w:val="left"/>
      <w:pPr>
        <w:tabs>
          <w:tab w:val="num" w:pos="567"/>
        </w:tabs>
        <w:ind w:left="567" w:hanging="567"/>
      </w:pPr>
      <w:rPr>
        <w:rFonts w:cs="Times New Roman"/>
      </w:rPr>
    </w:lvl>
  </w:abstractNum>
  <w:abstractNum w:abstractNumId="8">
    <w:nsid w:val="3F821197"/>
    <w:multiLevelType w:val="hybridMultilevel"/>
    <w:tmpl w:val="13B8F5C8"/>
    <w:lvl w:ilvl="0" w:tplc="FFFFFFFF">
      <w:start w:val="1"/>
      <w:numFmt w:val="lowerLetter"/>
      <w:lvlText w:val="(%1)"/>
      <w:lvlJc w:val="left"/>
      <w:pPr>
        <w:tabs>
          <w:tab w:val="num" w:pos="1287"/>
        </w:tabs>
        <w:ind w:left="1287"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nsid w:val="3FC80B1B"/>
    <w:multiLevelType w:val="singleLevel"/>
    <w:tmpl w:val="C11CD6E2"/>
    <w:lvl w:ilvl="0">
      <w:start w:val="1"/>
      <w:numFmt w:val="decimal"/>
      <w:lvlText w:val="%1)"/>
      <w:lvlJc w:val="left"/>
      <w:pPr>
        <w:tabs>
          <w:tab w:val="num" w:pos="567"/>
        </w:tabs>
        <w:ind w:left="567" w:hanging="567"/>
      </w:pPr>
      <w:rPr>
        <w:rFonts w:cs="Times New Roman"/>
      </w:rPr>
    </w:lvl>
  </w:abstractNum>
  <w:abstractNum w:abstractNumId="10">
    <w:nsid w:val="4321140B"/>
    <w:multiLevelType w:val="singleLevel"/>
    <w:tmpl w:val="DAA0E942"/>
    <w:lvl w:ilvl="0">
      <w:start w:val="1"/>
      <w:numFmt w:val="decimal"/>
      <w:lvlText w:val="(%1)"/>
      <w:lvlJc w:val="left"/>
      <w:pPr>
        <w:tabs>
          <w:tab w:val="num" w:pos="709"/>
        </w:tabs>
        <w:ind w:left="709" w:hanging="709"/>
      </w:pPr>
      <w:rPr>
        <w:rFonts w:cs="Times New Roman"/>
      </w:rPr>
    </w:lvl>
  </w:abstractNum>
  <w:abstractNum w:abstractNumId="11">
    <w:nsid w:val="436E0A5D"/>
    <w:multiLevelType w:val="singleLevel"/>
    <w:tmpl w:val="9C807126"/>
    <w:lvl w:ilvl="0">
      <w:start w:val="1"/>
      <w:numFmt w:val="bullet"/>
      <w:lvlText w:val=""/>
      <w:lvlJc w:val="left"/>
      <w:pPr>
        <w:tabs>
          <w:tab w:val="num" w:pos="567"/>
        </w:tabs>
        <w:ind w:left="567" w:hanging="567"/>
      </w:pPr>
      <w:rPr>
        <w:rFonts w:ascii="Symbol" w:hAnsi="Symbol" w:hint="default"/>
      </w:rPr>
    </w:lvl>
  </w:abstractNum>
  <w:abstractNum w:abstractNumId="12">
    <w:nsid w:val="63672882"/>
    <w:multiLevelType w:val="hybridMultilevel"/>
    <w:tmpl w:val="9E8AC0D4"/>
    <w:lvl w:ilvl="0" w:tplc="959E4C7C">
      <w:numFmt w:val="bullet"/>
      <w:lvlText w:val="-"/>
      <w:lvlJc w:val="left"/>
      <w:pPr>
        <w:ind w:left="-1058" w:hanging="360"/>
      </w:pPr>
      <w:rPr>
        <w:rFonts w:ascii="OrigGarmnd BT" w:eastAsia="Times New Roman" w:hAnsi="OrigGarmnd BT" w:hint="default"/>
      </w:rPr>
    </w:lvl>
    <w:lvl w:ilvl="1" w:tplc="041D0003">
      <w:start w:val="1"/>
      <w:numFmt w:val="bullet"/>
      <w:lvlText w:val="o"/>
      <w:lvlJc w:val="left"/>
      <w:pPr>
        <w:ind w:left="-338" w:hanging="360"/>
      </w:pPr>
      <w:rPr>
        <w:rFonts w:ascii="Courier New" w:hAnsi="Courier New" w:hint="default"/>
      </w:rPr>
    </w:lvl>
    <w:lvl w:ilvl="2" w:tplc="041D0005">
      <w:start w:val="1"/>
      <w:numFmt w:val="bullet"/>
      <w:lvlText w:val=""/>
      <w:lvlJc w:val="left"/>
      <w:pPr>
        <w:ind w:left="382" w:hanging="360"/>
      </w:pPr>
      <w:rPr>
        <w:rFonts w:ascii="Wingdings" w:hAnsi="Wingdings" w:hint="default"/>
      </w:rPr>
    </w:lvl>
    <w:lvl w:ilvl="3" w:tplc="041D0001">
      <w:start w:val="1"/>
      <w:numFmt w:val="bullet"/>
      <w:lvlText w:val=""/>
      <w:lvlJc w:val="left"/>
      <w:pPr>
        <w:ind w:left="1102" w:hanging="360"/>
      </w:pPr>
      <w:rPr>
        <w:rFonts w:ascii="Symbol" w:hAnsi="Symbol" w:hint="default"/>
      </w:rPr>
    </w:lvl>
    <w:lvl w:ilvl="4" w:tplc="041D0003">
      <w:start w:val="1"/>
      <w:numFmt w:val="bullet"/>
      <w:lvlText w:val="o"/>
      <w:lvlJc w:val="left"/>
      <w:pPr>
        <w:ind w:left="1822" w:hanging="360"/>
      </w:pPr>
      <w:rPr>
        <w:rFonts w:ascii="Courier New" w:hAnsi="Courier New" w:hint="default"/>
      </w:rPr>
    </w:lvl>
    <w:lvl w:ilvl="5" w:tplc="041D0005">
      <w:start w:val="1"/>
      <w:numFmt w:val="bullet"/>
      <w:lvlText w:val=""/>
      <w:lvlJc w:val="left"/>
      <w:pPr>
        <w:ind w:left="2542" w:hanging="360"/>
      </w:pPr>
      <w:rPr>
        <w:rFonts w:ascii="Wingdings" w:hAnsi="Wingdings" w:hint="default"/>
      </w:rPr>
    </w:lvl>
    <w:lvl w:ilvl="6" w:tplc="041D0001">
      <w:start w:val="1"/>
      <w:numFmt w:val="bullet"/>
      <w:lvlText w:val=""/>
      <w:lvlJc w:val="left"/>
      <w:pPr>
        <w:ind w:left="3262" w:hanging="360"/>
      </w:pPr>
      <w:rPr>
        <w:rFonts w:ascii="Symbol" w:hAnsi="Symbol" w:hint="default"/>
      </w:rPr>
    </w:lvl>
    <w:lvl w:ilvl="7" w:tplc="041D0003">
      <w:start w:val="1"/>
      <w:numFmt w:val="bullet"/>
      <w:lvlText w:val="o"/>
      <w:lvlJc w:val="left"/>
      <w:pPr>
        <w:ind w:left="3982" w:hanging="360"/>
      </w:pPr>
      <w:rPr>
        <w:rFonts w:ascii="Courier New" w:hAnsi="Courier New" w:hint="default"/>
      </w:rPr>
    </w:lvl>
    <w:lvl w:ilvl="8" w:tplc="041D0005">
      <w:start w:val="1"/>
      <w:numFmt w:val="bullet"/>
      <w:lvlText w:val=""/>
      <w:lvlJc w:val="left"/>
      <w:pPr>
        <w:ind w:left="4702" w:hanging="360"/>
      </w:pPr>
      <w:rPr>
        <w:rFonts w:ascii="Wingdings" w:hAnsi="Wingdings" w:hint="default"/>
      </w:rPr>
    </w:lvl>
  </w:abstractNum>
  <w:abstractNum w:abstractNumId="13">
    <w:nsid w:val="6E4E71E4"/>
    <w:multiLevelType w:val="singleLevel"/>
    <w:tmpl w:val="21145626"/>
    <w:lvl w:ilvl="0">
      <w:start w:val="1"/>
      <w:numFmt w:val="decimal"/>
      <w:lvlText w:val="%1."/>
      <w:lvlJc w:val="left"/>
      <w:pPr>
        <w:tabs>
          <w:tab w:val="num" w:pos="567"/>
        </w:tabs>
        <w:ind w:left="567" w:hanging="567"/>
      </w:pPr>
      <w:rPr>
        <w:rFonts w:cs="Times New Roman"/>
      </w:rPr>
    </w:lvl>
  </w:abstractNum>
  <w:abstractNum w:abstractNumId="14">
    <w:nsid w:val="79FA34D6"/>
    <w:multiLevelType w:val="singleLevel"/>
    <w:tmpl w:val="41326E50"/>
    <w:lvl w:ilvl="0">
      <w:start w:val="1"/>
      <w:numFmt w:val="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4"/>
  </w:num>
  <w:num w:numId="4">
    <w:abstractNumId w:val="11"/>
  </w:num>
  <w:num w:numId="5">
    <w:abstractNumId w:val="6"/>
  </w:num>
  <w:num w:numId="6">
    <w:abstractNumId w:val="13"/>
  </w:num>
  <w:num w:numId="7">
    <w:abstractNumId w:val="1"/>
  </w:num>
  <w:num w:numId="8">
    <w:abstractNumId w:val="3"/>
  </w:num>
  <w:num w:numId="9">
    <w:abstractNumId w:val="9"/>
  </w:num>
  <w:num w:numId="10">
    <w:abstractNumId w:val="4"/>
  </w:num>
  <w:num w:numId="11">
    <w:abstractNumId w:val="5"/>
  </w:num>
  <w:num w:numId="12">
    <w:abstractNumId w:val="7"/>
  </w:num>
  <w:num w:numId="13">
    <w:abstractNumId w:val="10"/>
  </w:num>
  <w:num w:numId="14">
    <w:abstractNumId w:val="12"/>
  </w:num>
  <w:num w:numId="15">
    <w:abstractNumId w:val="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FB3955"/>
    <w:rsid w:val="00081DF2"/>
    <w:rsid w:val="00161C44"/>
    <w:rsid w:val="00235EEE"/>
    <w:rsid w:val="00264AB0"/>
    <w:rsid w:val="00294372"/>
    <w:rsid w:val="002A3067"/>
    <w:rsid w:val="002E17A9"/>
    <w:rsid w:val="00316528"/>
    <w:rsid w:val="00372DA4"/>
    <w:rsid w:val="00517C56"/>
    <w:rsid w:val="005419F0"/>
    <w:rsid w:val="005A23F9"/>
    <w:rsid w:val="005C212F"/>
    <w:rsid w:val="005F1820"/>
    <w:rsid w:val="005F6FCB"/>
    <w:rsid w:val="006502BD"/>
    <w:rsid w:val="006861F0"/>
    <w:rsid w:val="00760CD2"/>
    <w:rsid w:val="007F433F"/>
    <w:rsid w:val="00847B54"/>
    <w:rsid w:val="00876D36"/>
    <w:rsid w:val="0088421C"/>
    <w:rsid w:val="00896A88"/>
    <w:rsid w:val="00936272"/>
    <w:rsid w:val="009A6691"/>
    <w:rsid w:val="00A01FD3"/>
    <w:rsid w:val="00A23574"/>
    <w:rsid w:val="00A34C50"/>
    <w:rsid w:val="00A72123"/>
    <w:rsid w:val="00AF0928"/>
    <w:rsid w:val="00BA6B91"/>
    <w:rsid w:val="00C43C7F"/>
    <w:rsid w:val="00C7286B"/>
    <w:rsid w:val="00CE1556"/>
    <w:rsid w:val="00D661B4"/>
    <w:rsid w:val="00DF7E4E"/>
    <w:rsid w:val="00EC3C7C"/>
    <w:rsid w:val="00ED5DCC"/>
    <w:rsid w:val="00F056A7"/>
    <w:rsid w:val="00F10AD0"/>
    <w:rsid w:val="00F57FBA"/>
    <w:rsid w:val="00FB3955"/>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D36"/>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876D36"/>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876D36"/>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876D36"/>
    <w:pPr>
      <w:spacing w:after="120" w:line="240" w:lineRule="atLeast"/>
      <w:outlineLvl w:val="2"/>
    </w:pPr>
    <w:rPr>
      <w:b w:val="0"/>
    </w:rPr>
  </w:style>
  <w:style w:type="paragraph" w:styleId="Heading4">
    <w:name w:val="heading 4"/>
    <w:basedOn w:val="Heading3"/>
    <w:next w:val="RKnormal"/>
    <w:link w:val="Heading4Char"/>
    <w:uiPriority w:val="99"/>
    <w:qFormat/>
    <w:rsid w:val="00876D36"/>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876D36"/>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60CD2"/>
    <w:rPr>
      <w:rFonts w:ascii="TradeGothic" w:hAnsi="TradeGothic" w:cs="Times New Roman"/>
      <w:b/>
      <w:kern w:val="28"/>
      <w:sz w:val="28"/>
      <w:lang w:eastAsia="en-US"/>
    </w:rPr>
  </w:style>
  <w:style w:type="character" w:customStyle="1" w:styleId="Heading2Char">
    <w:name w:val="Heading 2 Char"/>
    <w:basedOn w:val="DefaultParagraphFont"/>
    <w:link w:val="Heading2"/>
    <w:uiPriority w:val="9"/>
    <w:semiHidden/>
    <w:rsid w:val="002B7CFE"/>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2B7CFE"/>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2B7CFE"/>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2B7CFE"/>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876D36"/>
    <w:pPr>
      <w:tabs>
        <w:tab w:val="left" w:pos="1843"/>
        <w:tab w:val="left" w:pos="2835"/>
      </w:tabs>
      <w:spacing w:line="240" w:lineRule="atLeast"/>
      <w:ind w:left="1843"/>
    </w:pPr>
  </w:style>
  <w:style w:type="paragraph" w:customStyle="1" w:styleId="Avsndare">
    <w:name w:val="Avsändare"/>
    <w:basedOn w:val="Normal"/>
    <w:uiPriority w:val="99"/>
    <w:rsid w:val="00876D36"/>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876D36"/>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2B7CFE"/>
    <w:rPr>
      <w:rFonts w:ascii="OrigGarmnd BT" w:hAnsi="OrigGarmnd BT"/>
      <w:sz w:val="24"/>
      <w:szCs w:val="20"/>
      <w:lang w:eastAsia="en-US"/>
    </w:rPr>
  </w:style>
  <w:style w:type="paragraph" w:styleId="Header">
    <w:name w:val="header"/>
    <w:basedOn w:val="Normal"/>
    <w:link w:val="HeaderChar"/>
    <w:uiPriority w:val="99"/>
    <w:rsid w:val="00876D36"/>
    <w:pPr>
      <w:tabs>
        <w:tab w:val="center" w:pos="4153"/>
        <w:tab w:val="right" w:pos="8306"/>
      </w:tabs>
    </w:pPr>
  </w:style>
  <w:style w:type="character" w:customStyle="1" w:styleId="HeaderChar">
    <w:name w:val="Header Char"/>
    <w:basedOn w:val="DefaultParagraphFont"/>
    <w:link w:val="Header"/>
    <w:uiPriority w:val="99"/>
    <w:semiHidden/>
    <w:rsid w:val="002B7CFE"/>
    <w:rPr>
      <w:rFonts w:ascii="OrigGarmnd BT" w:hAnsi="OrigGarmnd BT"/>
      <w:sz w:val="24"/>
      <w:szCs w:val="20"/>
      <w:lang w:eastAsia="en-US"/>
    </w:rPr>
  </w:style>
  <w:style w:type="paragraph" w:customStyle="1" w:styleId="RKrubrik">
    <w:name w:val="RKrubrik"/>
    <w:basedOn w:val="RKnormal"/>
    <w:next w:val="RKnormal"/>
    <w:uiPriority w:val="99"/>
    <w:rsid w:val="00876D36"/>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876D36"/>
    <w:rPr>
      <w:rFonts w:cs="Times New Roman"/>
    </w:rPr>
  </w:style>
  <w:style w:type="paragraph" w:styleId="BodyText">
    <w:name w:val="Body Text"/>
    <w:basedOn w:val="Normal"/>
    <w:link w:val="BodyTextChar"/>
    <w:uiPriority w:val="99"/>
    <w:rsid w:val="00876D36"/>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2B7CFE"/>
    <w:rPr>
      <w:rFonts w:ascii="OrigGarmnd BT" w:hAnsi="OrigGarmnd BT"/>
      <w:sz w:val="24"/>
      <w:szCs w:val="20"/>
      <w:lang w:eastAsia="en-US"/>
    </w:rPr>
  </w:style>
  <w:style w:type="paragraph" w:styleId="FootnoteText">
    <w:name w:val="footnote text"/>
    <w:basedOn w:val="Normal"/>
    <w:link w:val="FootnoteTextChar"/>
    <w:uiPriority w:val="99"/>
    <w:semiHidden/>
    <w:rsid w:val="00876D36"/>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2B7CFE"/>
    <w:rPr>
      <w:rFonts w:ascii="OrigGarmnd BT" w:hAnsi="OrigGarmnd BT"/>
      <w:sz w:val="20"/>
      <w:szCs w:val="20"/>
      <w:lang w:eastAsia="en-US"/>
    </w:rPr>
  </w:style>
  <w:style w:type="paragraph" w:customStyle="1" w:styleId="UDrubrik">
    <w:name w:val="UDrubrik"/>
    <w:basedOn w:val="Normal"/>
    <w:next w:val="BodyText"/>
    <w:uiPriority w:val="99"/>
    <w:rsid w:val="00876D36"/>
    <w:pPr>
      <w:spacing w:line="320" w:lineRule="exact"/>
    </w:pPr>
    <w:rPr>
      <w:rFonts w:ascii="Arial" w:hAnsi="Arial"/>
      <w:b/>
      <w:sz w:val="22"/>
    </w:rPr>
  </w:style>
  <w:style w:type="paragraph" w:styleId="TOC1">
    <w:name w:val="toc 1"/>
    <w:basedOn w:val="Normal"/>
    <w:next w:val="Normal"/>
    <w:autoRedefine/>
    <w:uiPriority w:val="99"/>
    <w:rsid w:val="00876D36"/>
    <w:pPr>
      <w:spacing w:before="360"/>
    </w:pPr>
    <w:rPr>
      <w:rFonts w:ascii="Arial" w:hAnsi="Arial"/>
      <w:b/>
      <w:bCs/>
      <w:caps/>
      <w:szCs w:val="28"/>
    </w:rPr>
  </w:style>
  <w:style w:type="paragraph" w:styleId="TOC2">
    <w:name w:val="toc 2"/>
    <w:basedOn w:val="Normal"/>
    <w:next w:val="Normal"/>
    <w:autoRedefine/>
    <w:uiPriority w:val="99"/>
    <w:rsid w:val="00876D36"/>
    <w:pPr>
      <w:spacing w:before="240"/>
    </w:pPr>
    <w:rPr>
      <w:rFonts w:ascii="Times New Roman" w:hAnsi="Times New Roman"/>
      <w:b/>
      <w:bCs/>
      <w:szCs w:val="24"/>
    </w:rPr>
  </w:style>
  <w:style w:type="paragraph" w:styleId="TOC3">
    <w:name w:val="toc 3"/>
    <w:basedOn w:val="Normal"/>
    <w:next w:val="Normal"/>
    <w:autoRedefine/>
    <w:uiPriority w:val="99"/>
    <w:semiHidden/>
    <w:rsid w:val="00876D36"/>
    <w:pPr>
      <w:ind w:left="240"/>
    </w:pPr>
    <w:rPr>
      <w:rFonts w:ascii="Times New Roman" w:hAnsi="Times New Roman"/>
      <w:szCs w:val="24"/>
    </w:rPr>
  </w:style>
  <w:style w:type="paragraph" w:styleId="TOC4">
    <w:name w:val="toc 4"/>
    <w:basedOn w:val="Normal"/>
    <w:next w:val="Normal"/>
    <w:autoRedefine/>
    <w:uiPriority w:val="99"/>
    <w:semiHidden/>
    <w:rsid w:val="00876D36"/>
    <w:pPr>
      <w:ind w:left="480"/>
    </w:pPr>
    <w:rPr>
      <w:rFonts w:ascii="Times New Roman" w:hAnsi="Times New Roman"/>
      <w:szCs w:val="24"/>
    </w:rPr>
  </w:style>
  <w:style w:type="paragraph" w:styleId="TOC5">
    <w:name w:val="toc 5"/>
    <w:basedOn w:val="Normal"/>
    <w:next w:val="Normal"/>
    <w:autoRedefine/>
    <w:uiPriority w:val="99"/>
    <w:semiHidden/>
    <w:rsid w:val="00876D36"/>
    <w:pPr>
      <w:ind w:left="720"/>
    </w:pPr>
    <w:rPr>
      <w:rFonts w:ascii="Times New Roman" w:hAnsi="Times New Roman"/>
      <w:szCs w:val="24"/>
    </w:rPr>
  </w:style>
  <w:style w:type="paragraph" w:styleId="TOC6">
    <w:name w:val="toc 6"/>
    <w:basedOn w:val="Normal"/>
    <w:next w:val="Normal"/>
    <w:autoRedefine/>
    <w:uiPriority w:val="99"/>
    <w:semiHidden/>
    <w:rsid w:val="00876D36"/>
    <w:pPr>
      <w:ind w:left="960"/>
    </w:pPr>
    <w:rPr>
      <w:rFonts w:ascii="Times New Roman" w:hAnsi="Times New Roman"/>
      <w:szCs w:val="24"/>
    </w:rPr>
  </w:style>
  <w:style w:type="paragraph" w:styleId="TOC7">
    <w:name w:val="toc 7"/>
    <w:basedOn w:val="Normal"/>
    <w:next w:val="Normal"/>
    <w:autoRedefine/>
    <w:uiPriority w:val="99"/>
    <w:semiHidden/>
    <w:rsid w:val="00876D36"/>
    <w:pPr>
      <w:ind w:left="1200"/>
    </w:pPr>
    <w:rPr>
      <w:rFonts w:ascii="Times New Roman" w:hAnsi="Times New Roman"/>
      <w:szCs w:val="24"/>
    </w:rPr>
  </w:style>
  <w:style w:type="paragraph" w:styleId="TOC8">
    <w:name w:val="toc 8"/>
    <w:basedOn w:val="Normal"/>
    <w:next w:val="Normal"/>
    <w:autoRedefine/>
    <w:uiPriority w:val="99"/>
    <w:semiHidden/>
    <w:rsid w:val="00876D36"/>
    <w:pPr>
      <w:ind w:left="1440"/>
    </w:pPr>
    <w:rPr>
      <w:rFonts w:ascii="Times New Roman" w:hAnsi="Times New Roman"/>
      <w:szCs w:val="24"/>
    </w:rPr>
  </w:style>
  <w:style w:type="paragraph" w:styleId="TOC9">
    <w:name w:val="toc 9"/>
    <w:basedOn w:val="Normal"/>
    <w:next w:val="Normal"/>
    <w:autoRedefine/>
    <w:uiPriority w:val="99"/>
    <w:semiHidden/>
    <w:rsid w:val="00876D36"/>
    <w:pPr>
      <w:ind w:left="1680"/>
    </w:pPr>
    <w:rPr>
      <w:rFonts w:ascii="Times New Roman" w:hAnsi="Times New Roman"/>
      <w:szCs w:val="24"/>
    </w:rPr>
  </w:style>
  <w:style w:type="paragraph" w:customStyle="1" w:styleId="Text1">
    <w:name w:val="Text 1"/>
    <w:basedOn w:val="Normal"/>
    <w:uiPriority w:val="99"/>
    <w:rsid w:val="00876D36"/>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876D36"/>
    <w:rPr>
      <w:rFonts w:cs="Times New Roman"/>
      <w:vertAlign w:val="superscript"/>
    </w:rPr>
  </w:style>
  <w:style w:type="paragraph" w:styleId="Index1">
    <w:name w:val="index 1"/>
    <w:basedOn w:val="Normal"/>
    <w:next w:val="Normal"/>
    <w:autoRedefine/>
    <w:uiPriority w:val="99"/>
    <w:semiHidden/>
    <w:rsid w:val="00876D36"/>
    <w:pPr>
      <w:ind w:left="240" w:hanging="240"/>
    </w:pPr>
    <w:rPr>
      <w:rFonts w:ascii="Times New Roman" w:hAnsi="Times New Roman"/>
      <w:szCs w:val="24"/>
    </w:rPr>
  </w:style>
  <w:style w:type="paragraph" w:styleId="Index2">
    <w:name w:val="index 2"/>
    <w:basedOn w:val="Normal"/>
    <w:next w:val="Normal"/>
    <w:autoRedefine/>
    <w:uiPriority w:val="99"/>
    <w:semiHidden/>
    <w:rsid w:val="00876D36"/>
    <w:pPr>
      <w:ind w:left="480" w:hanging="240"/>
    </w:pPr>
    <w:rPr>
      <w:rFonts w:ascii="Times New Roman" w:hAnsi="Times New Roman"/>
      <w:szCs w:val="24"/>
    </w:rPr>
  </w:style>
  <w:style w:type="paragraph" w:styleId="Index3">
    <w:name w:val="index 3"/>
    <w:basedOn w:val="Normal"/>
    <w:next w:val="Normal"/>
    <w:autoRedefine/>
    <w:uiPriority w:val="99"/>
    <w:semiHidden/>
    <w:rsid w:val="00876D36"/>
    <w:pPr>
      <w:ind w:left="720" w:hanging="240"/>
    </w:pPr>
    <w:rPr>
      <w:rFonts w:ascii="Times New Roman" w:hAnsi="Times New Roman"/>
      <w:szCs w:val="24"/>
    </w:rPr>
  </w:style>
  <w:style w:type="paragraph" w:styleId="Index4">
    <w:name w:val="index 4"/>
    <w:basedOn w:val="Normal"/>
    <w:next w:val="Normal"/>
    <w:autoRedefine/>
    <w:uiPriority w:val="99"/>
    <w:semiHidden/>
    <w:rsid w:val="00876D36"/>
    <w:pPr>
      <w:ind w:left="960" w:hanging="240"/>
    </w:pPr>
    <w:rPr>
      <w:rFonts w:ascii="Times New Roman" w:hAnsi="Times New Roman"/>
      <w:szCs w:val="24"/>
    </w:rPr>
  </w:style>
  <w:style w:type="paragraph" w:styleId="Index5">
    <w:name w:val="index 5"/>
    <w:basedOn w:val="Normal"/>
    <w:next w:val="Normal"/>
    <w:autoRedefine/>
    <w:uiPriority w:val="99"/>
    <w:semiHidden/>
    <w:rsid w:val="00876D36"/>
    <w:pPr>
      <w:ind w:left="1200" w:hanging="240"/>
    </w:pPr>
    <w:rPr>
      <w:rFonts w:ascii="Times New Roman" w:hAnsi="Times New Roman"/>
      <w:szCs w:val="24"/>
    </w:rPr>
  </w:style>
  <w:style w:type="paragraph" w:styleId="Index6">
    <w:name w:val="index 6"/>
    <w:basedOn w:val="Normal"/>
    <w:next w:val="Normal"/>
    <w:autoRedefine/>
    <w:uiPriority w:val="99"/>
    <w:semiHidden/>
    <w:rsid w:val="00876D36"/>
    <w:pPr>
      <w:ind w:left="1440" w:hanging="240"/>
    </w:pPr>
    <w:rPr>
      <w:rFonts w:ascii="Times New Roman" w:hAnsi="Times New Roman"/>
      <w:szCs w:val="24"/>
    </w:rPr>
  </w:style>
  <w:style w:type="paragraph" w:styleId="Index7">
    <w:name w:val="index 7"/>
    <w:basedOn w:val="Normal"/>
    <w:next w:val="Normal"/>
    <w:autoRedefine/>
    <w:uiPriority w:val="99"/>
    <w:semiHidden/>
    <w:rsid w:val="00876D36"/>
    <w:pPr>
      <w:ind w:left="1680" w:hanging="240"/>
    </w:pPr>
    <w:rPr>
      <w:rFonts w:ascii="Times New Roman" w:hAnsi="Times New Roman"/>
      <w:szCs w:val="24"/>
    </w:rPr>
  </w:style>
  <w:style w:type="paragraph" w:styleId="Index8">
    <w:name w:val="index 8"/>
    <w:basedOn w:val="Normal"/>
    <w:next w:val="Normal"/>
    <w:autoRedefine/>
    <w:uiPriority w:val="99"/>
    <w:semiHidden/>
    <w:rsid w:val="00876D36"/>
    <w:pPr>
      <w:ind w:left="1920" w:hanging="240"/>
    </w:pPr>
    <w:rPr>
      <w:rFonts w:ascii="Times New Roman" w:hAnsi="Times New Roman"/>
      <w:szCs w:val="24"/>
    </w:rPr>
  </w:style>
  <w:style w:type="paragraph" w:styleId="Index9">
    <w:name w:val="index 9"/>
    <w:basedOn w:val="Normal"/>
    <w:next w:val="Normal"/>
    <w:autoRedefine/>
    <w:uiPriority w:val="99"/>
    <w:semiHidden/>
    <w:rsid w:val="00876D36"/>
    <w:pPr>
      <w:ind w:left="2160" w:hanging="240"/>
    </w:pPr>
    <w:rPr>
      <w:rFonts w:ascii="Times New Roman" w:hAnsi="Times New Roman"/>
      <w:szCs w:val="24"/>
    </w:rPr>
  </w:style>
  <w:style w:type="paragraph" w:styleId="IndexHeading">
    <w:name w:val="index heading"/>
    <w:basedOn w:val="Normal"/>
    <w:next w:val="Index1"/>
    <w:uiPriority w:val="99"/>
    <w:semiHidden/>
    <w:rsid w:val="00876D36"/>
    <w:pPr>
      <w:spacing w:before="120" w:after="120"/>
    </w:pPr>
    <w:rPr>
      <w:rFonts w:ascii="Times New Roman" w:hAnsi="Times New Roman"/>
      <w:b/>
      <w:bCs/>
      <w:i/>
      <w:iCs/>
      <w:szCs w:val="24"/>
    </w:rPr>
  </w:style>
  <w:style w:type="paragraph" w:customStyle="1" w:styleId="EntEmet">
    <w:name w:val="EntEmet"/>
    <w:basedOn w:val="Normal"/>
    <w:uiPriority w:val="99"/>
    <w:rsid w:val="00876D36"/>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876D36"/>
    <w:pPr>
      <w:spacing w:line="240" w:lineRule="auto"/>
    </w:pPr>
    <w:rPr>
      <w:rFonts w:ascii="Arial" w:hAnsi="Arial"/>
      <w:lang w:val="en-GB"/>
    </w:rPr>
  </w:style>
  <w:style w:type="paragraph" w:customStyle="1" w:styleId="Avsndare0">
    <w:name w:val="Avsndare"/>
    <w:basedOn w:val="Normal"/>
    <w:next w:val="Normal"/>
    <w:uiPriority w:val="99"/>
    <w:rsid w:val="00876D36"/>
    <w:pPr>
      <w:spacing w:line="240" w:lineRule="auto"/>
    </w:pPr>
    <w:rPr>
      <w:rFonts w:ascii="Arial" w:hAnsi="Arial"/>
      <w:i/>
      <w:lang w:val="en-GB"/>
    </w:rPr>
  </w:style>
  <w:style w:type="character" w:styleId="Hyperlink">
    <w:name w:val="Hyperlink"/>
    <w:basedOn w:val="DefaultParagraphFont"/>
    <w:uiPriority w:val="99"/>
    <w:rsid w:val="00876D36"/>
    <w:rPr>
      <w:rFonts w:cs="Times New Roman"/>
      <w:color w:val="0000FF"/>
      <w:u w:val="single"/>
    </w:rPr>
  </w:style>
  <w:style w:type="paragraph" w:styleId="DocumentMap">
    <w:name w:val="Document Map"/>
    <w:basedOn w:val="Normal"/>
    <w:link w:val="DocumentMapChar"/>
    <w:uiPriority w:val="99"/>
    <w:semiHidden/>
    <w:rsid w:val="00876D36"/>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2B7CFE"/>
    <w:rPr>
      <w:sz w:val="0"/>
      <w:szCs w:val="0"/>
      <w:lang w:eastAsia="en-US"/>
    </w:rPr>
  </w:style>
  <w:style w:type="character" w:styleId="FollowedHyperlink">
    <w:name w:val="FollowedHyperlink"/>
    <w:basedOn w:val="DefaultParagraphFont"/>
    <w:uiPriority w:val="99"/>
    <w:rsid w:val="00876D36"/>
    <w:rPr>
      <w:rFonts w:cs="Times New Roman"/>
      <w:color w:val="800080"/>
      <w:u w:val="single"/>
    </w:rPr>
  </w:style>
  <w:style w:type="paragraph" w:customStyle="1" w:styleId="Par-number1">
    <w:name w:val="Par-number 1)"/>
    <w:basedOn w:val="Normal"/>
    <w:next w:val="Normal"/>
    <w:uiPriority w:val="99"/>
    <w:rsid w:val="00876D36"/>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uiPriority w:val="99"/>
    <w:rsid w:val="00876D36"/>
    <w:pPr>
      <w:widowControl w:val="0"/>
      <w:numPr>
        <w:numId w:val="2"/>
      </w:numPr>
      <w:tabs>
        <w:tab w:val="clear" w:pos="360"/>
        <w:tab w:val="num" w:pos="567"/>
      </w:tabs>
      <w:spacing w:line="360" w:lineRule="auto"/>
      <w:ind w:left="567" w:hanging="567"/>
    </w:pPr>
    <w:rPr>
      <w:rFonts w:ascii="Times New Roman" w:hAnsi="Times New Roman"/>
      <w:lang w:eastAsia="fr-BE"/>
    </w:rPr>
  </w:style>
  <w:style w:type="paragraph" w:customStyle="1" w:styleId="Par-number10">
    <w:name w:val="Par-number (1)"/>
    <w:basedOn w:val="Normal"/>
    <w:next w:val="Normal"/>
    <w:uiPriority w:val="99"/>
    <w:rsid w:val="00876D36"/>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876D36"/>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uiPriority w:val="99"/>
    <w:rsid w:val="00876D36"/>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uiPriority w:val="99"/>
    <w:rsid w:val="00876D36"/>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uiPriority w:val="99"/>
    <w:rsid w:val="00876D36"/>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876D36"/>
    <w:pPr>
      <w:widowControl w:val="0"/>
      <w:numPr>
        <w:numId w:val="9"/>
      </w:numPr>
      <w:tabs>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876D36"/>
    <w:pPr>
      <w:widowControl w:val="0"/>
      <w:numPr>
        <w:numId w:val="10"/>
      </w:numPr>
      <w:spacing w:line="360" w:lineRule="auto"/>
    </w:pPr>
    <w:rPr>
      <w:rFonts w:ascii="Times New Roman" w:hAnsi="Times New Roman"/>
      <w:lang w:eastAsia="fr-BE"/>
    </w:rPr>
  </w:style>
  <w:style w:type="paragraph" w:customStyle="1" w:styleId="Considrant">
    <w:name w:val="Considérant"/>
    <w:basedOn w:val="Normal"/>
    <w:uiPriority w:val="99"/>
    <w:rsid w:val="00876D36"/>
    <w:pPr>
      <w:numPr>
        <w:numId w:val="11"/>
      </w:numPr>
      <w:tabs>
        <w:tab w:val="clear" w:pos="720"/>
        <w:tab w:val="num" w:pos="709"/>
      </w:tabs>
      <w:spacing w:before="120" w:after="120" w:line="240" w:lineRule="auto"/>
      <w:ind w:left="709" w:hanging="709"/>
      <w:jc w:val="both"/>
    </w:pPr>
    <w:rPr>
      <w:rFonts w:ascii="Times New Roman" w:hAnsi="Times New Roman"/>
      <w:lang w:eastAsia="fr-BE"/>
    </w:rPr>
  </w:style>
  <w:style w:type="paragraph" w:styleId="NormalIndent">
    <w:name w:val="Normal Indent"/>
    <w:basedOn w:val="Normal"/>
    <w:uiPriority w:val="99"/>
    <w:rsid w:val="00876D36"/>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876D36"/>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2B7CFE"/>
    <w:rPr>
      <w:rFonts w:ascii="OrigGarmnd BT" w:hAnsi="OrigGarmnd BT"/>
      <w:sz w:val="20"/>
      <w:szCs w:val="20"/>
      <w:lang w:eastAsia="en-US"/>
    </w:rPr>
  </w:style>
  <w:style w:type="paragraph" w:customStyle="1" w:styleId="EntRefer">
    <w:name w:val="EntRefer"/>
    <w:basedOn w:val="Normal"/>
    <w:uiPriority w:val="99"/>
    <w:rsid w:val="00876D36"/>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876D36"/>
    <w:pPr>
      <w:spacing w:line="240" w:lineRule="auto"/>
    </w:pPr>
    <w:rPr>
      <w:rFonts w:ascii="Times New Roman" w:hAnsi="Times New Roman"/>
      <w:lang w:val="en-GB" w:eastAsia="fr-BE"/>
    </w:rPr>
  </w:style>
  <w:style w:type="paragraph" w:customStyle="1" w:styleId="Tiret1">
    <w:name w:val="Tiret 1"/>
    <w:basedOn w:val="Normal"/>
    <w:uiPriority w:val="99"/>
    <w:rsid w:val="00876D36"/>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876D36"/>
    <w:pPr>
      <w:widowControl w:val="0"/>
      <w:numPr>
        <w:numId w:val="1"/>
      </w:numPr>
      <w:tabs>
        <w:tab w:val="clear" w:pos="360"/>
        <w:tab w:val="num" w:pos="567"/>
      </w:tabs>
      <w:spacing w:line="360" w:lineRule="auto"/>
      <w:ind w:left="567" w:hanging="567"/>
    </w:pPr>
    <w:rPr>
      <w:rFonts w:ascii="Times New Roman" w:hAnsi="Times New Roman"/>
      <w:lang w:eastAsia="fr-BE"/>
    </w:rPr>
  </w:style>
  <w:style w:type="paragraph" w:styleId="ListBullet">
    <w:name w:val="List Bullet"/>
    <w:basedOn w:val="Normal"/>
    <w:autoRedefine/>
    <w:uiPriority w:val="99"/>
    <w:rsid w:val="00876D36"/>
    <w:pPr>
      <w:overflowPunct w:val="0"/>
      <w:autoSpaceDE w:val="0"/>
      <w:autoSpaceDN w:val="0"/>
      <w:adjustRightInd w:val="0"/>
      <w:ind w:left="1843"/>
      <w:textAlignment w:val="baseline"/>
    </w:pPr>
  </w:style>
  <w:style w:type="paragraph" w:customStyle="1" w:styleId="Brdtext0">
    <w:name w:val="Brˆdtext"/>
    <w:basedOn w:val="Normal"/>
    <w:uiPriority w:val="99"/>
    <w:rsid w:val="00876D36"/>
    <w:pPr>
      <w:spacing w:line="320" w:lineRule="exact"/>
    </w:pPr>
    <w:rPr>
      <w:rFonts w:ascii="Times New Roman" w:hAnsi="Times New Roman"/>
    </w:rPr>
  </w:style>
  <w:style w:type="character" w:customStyle="1" w:styleId="term">
    <w:name w:val="term"/>
    <w:basedOn w:val="DefaultParagraphFont"/>
    <w:uiPriority w:val="99"/>
    <w:rsid w:val="00876D36"/>
    <w:rPr>
      <w:rFonts w:cs="Times New Roman"/>
    </w:rPr>
  </w:style>
  <w:style w:type="paragraph" w:customStyle="1" w:styleId="Brdtexthuvud">
    <w:name w:val="Brödtext huvud"/>
    <w:basedOn w:val="Normal"/>
    <w:uiPriority w:val="99"/>
    <w:rsid w:val="00876D36"/>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FB39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FB3955"/>
    <w:rPr>
      <w:rFonts w:ascii="Tahoma" w:hAnsi="Tahoma" w:cs="Tahoma"/>
      <w:sz w:val="16"/>
      <w:szCs w:val="16"/>
      <w:lang w:eastAsia="en-US"/>
    </w:rPr>
  </w:style>
  <w:style w:type="paragraph" w:styleId="ListParagraph">
    <w:name w:val="List Paragraph"/>
    <w:basedOn w:val="Normal"/>
    <w:uiPriority w:val="99"/>
    <w:qFormat/>
    <w:rsid w:val="00896A88"/>
    <w:pPr>
      <w:spacing w:line="240" w:lineRule="auto"/>
      <w:ind w:left="720"/>
      <w:contextualSpacing/>
    </w:pPr>
    <w:rPr>
      <w:rFonts w:ascii="Times New Roman" w:hAnsi="Times New Roman"/>
      <w:sz w:val="20"/>
      <w:lang w:val="en-GB"/>
    </w:rPr>
  </w:style>
</w:styles>
</file>

<file path=word/webSettings.xml><?xml version="1.0" encoding="utf-8"?>
<w:webSettings xmlns:r="http://schemas.openxmlformats.org/officeDocument/2006/relationships" xmlns:w="http://schemas.openxmlformats.org/wordprocessingml/2006/main">
  <w:divs>
    <w:div w:id="126164554">
      <w:marLeft w:val="0"/>
      <w:marRight w:val="0"/>
      <w:marTop w:val="0"/>
      <w:marBottom w:val="0"/>
      <w:divBdr>
        <w:top w:val="none" w:sz="0" w:space="0" w:color="auto"/>
        <w:left w:val="none" w:sz="0" w:space="0" w:color="auto"/>
        <w:bottom w:val="none" w:sz="0" w:space="0" w:color="auto"/>
        <w:right w:val="none" w:sz="0" w:space="0" w:color="auto"/>
      </w:divBdr>
    </w:div>
    <w:div w:id="126164555">
      <w:marLeft w:val="0"/>
      <w:marRight w:val="0"/>
      <w:marTop w:val="0"/>
      <w:marBottom w:val="0"/>
      <w:divBdr>
        <w:top w:val="none" w:sz="0" w:space="0" w:color="auto"/>
        <w:left w:val="none" w:sz="0" w:space="0" w:color="auto"/>
        <w:bottom w:val="none" w:sz="0" w:space="0" w:color="auto"/>
        <w:right w:val="none" w:sz="0" w:space="0" w:color="auto"/>
      </w:divBdr>
    </w:div>
    <w:div w:id="126164556">
      <w:marLeft w:val="0"/>
      <w:marRight w:val="0"/>
      <w:marTop w:val="0"/>
      <w:marBottom w:val="0"/>
      <w:divBdr>
        <w:top w:val="none" w:sz="0" w:space="0" w:color="auto"/>
        <w:left w:val="none" w:sz="0" w:space="0" w:color="auto"/>
        <w:bottom w:val="none" w:sz="0" w:space="0" w:color="auto"/>
        <w:right w:val="none" w:sz="0" w:space="0" w:color="auto"/>
      </w:divBdr>
    </w:div>
    <w:div w:id="126164557">
      <w:marLeft w:val="0"/>
      <w:marRight w:val="0"/>
      <w:marTop w:val="0"/>
      <w:marBottom w:val="0"/>
      <w:divBdr>
        <w:top w:val="none" w:sz="0" w:space="0" w:color="auto"/>
        <w:left w:val="none" w:sz="0" w:space="0" w:color="auto"/>
        <w:bottom w:val="none" w:sz="0" w:space="0" w:color="auto"/>
        <w:right w:val="none" w:sz="0" w:space="0" w:color="auto"/>
      </w:divBdr>
    </w:div>
    <w:div w:id="1261645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30</Pages>
  <Words>7384</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2012-12-19T16:02:00Z</cp:lastPrinted>
  <dcterms:created xsi:type="dcterms:W3CDTF">2012-12-19T16:23:00Z</dcterms:created>
  <dcterms:modified xsi:type="dcterms:W3CDTF">2012-12-19T16:23:00Z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1e08a53f-1e3b-4beb-bcd9-31ed071d8455</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JE6N4JFJXNNF-9-52918</vt:lpwstr>
  </property>
  <property fmtid="{D5CDD505-2E9C-101B-9397-08002B2CF9AE}" pid="18" name="_dlc_DocIdUrl">
    <vt:lpwstr>http://rkdhs-sb/enhet/EUKansli/_layouts/DocIdRedir.aspx?ID=JE6N4JFJXNNF-9-52918, JE6N4JFJXNNF-9-52918</vt:lpwstr>
  </property>
</Properties>
</file>