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4620" w14:textId="77777777" w:rsidR="00577F26" w:rsidRPr="00292DFB" w:rsidRDefault="00577F26" w:rsidP="00577F2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77F26" w:rsidRPr="00292DFB" w14:paraId="636BE94B" w14:textId="77777777" w:rsidTr="00FF258E">
        <w:tc>
          <w:tcPr>
            <w:tcW w:w="9141" w:type="dxa"/>
          </w:tcPr>
          <w:p w14:paraId="34FD1C62" w14:textId="77777777" w:rsidR="00577F26" w:rsidRPr="00292DFB" w:rsidRDefault="00577F26" w:rsidP="00FF258E">
            <w:pPr>
              <w:rPr>
                <w:sz w:val="22"/>
                <w:szCs w:val="22"/>
              </w:rPr>
            </w:pPr>
            <w:r w:rsidRPr="00292DFB">
              <w:rPr>
                <w:sz w:val="22"/>
                <w:szCs w:val="22"/>
              </w:rPr>
              <w:t>RIKSDAGEN</w:t>
            </w:r>
          </w:p>
          <w:p w14:paraId="6D369E83" w14:textId="77777777" w:rsidR="00577F26" w:rsidRPr="00292DFB" w:rsidRDefault="00577F26" w:rsidP="00FF258E">
            <w:pPr>
              <w:rPr>
                <w:sz w:val="22"/>
                <w:szCs w:val="22"/>
              </w:rPr>
            </w:pPr>
            <w:r w:rsidRPr="00292DFB">
              <w:rPr>
                <w:sz w:val="22"/>
                <w:szCs w:val="22"/>
              </w:rPr>
              <w:t>TRAFIKUTSKOTTET</w:t>
            </w:r>
          </w:p>
        </w:tc>
      </w:tr>
    </w:tbl>
    <w:p w14:paraId="3DE1DD0E" w14:textId="77777777" w:rsidR="00577F26" w:rsidRPr="00292DFB" w:rsidRDefault="00577F26" w:rsidP="00577F26">
      <w:pPr>
        <w:rPr>
          <w:sz w:val="22"/>
          <w:szCs w:val="22"/>
        </w:rPr>
      </w:pPr>
    </w:p>
    <w:p w14:paraId="1CEA30C3" w14:textId="77777777" w:rsidR="00577F26" w:rsidRPr="00292DFB" w:rsidRDefault="00577F26" w:rsidP="00577F2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77F26" w:rsidRPr="00292DFB" w14:paraId="4A2E3C35" w14:textId="77777777" w:rsidTr="00FF258E">
        <w:trPr>
          <w:cantSplit/>
          <w:trHeight w:val="742"/>
        </w:trPr>
        <w:tc>
          <w:tcPr>
            <w:tcW w:w="1985" w:type="dxa"/>
          </w:tcPr>
          <w:p w14:paraId="5F5D780A" w14:textId="77777777" w:rsidR="00577F26" w:rsidRPr="00292DFB" w:rsidRDefault="00577F26" w:rsidP="00FF258E">
            <w:pPr>
              <w:rPr>
                <w:b/>
                <w:sz w:val="22"/>
                <w:szCs w:val="22"/>
              </w:rPr>
            </w:pPr>
            <w:r w:rsidRPr="00292DFB">
              <w:rPr>
                <w:b/>
                <w:sz w:val="22"/>
                <w:szCs w:val="22"/>
              </w:rPr>
              <w:t xml:space="preserve">PROTOKOLL </w:t>
            </w:r>
          </w:p>
        </w:tc>
        <w:tc>
          <w:tcPr>
            <w:tcW w:w="6463" w:type="dxa"/>
          </w:tcPr>
          <w:p w14:paraId="1FD2F140" w14:textId="6809F23C" w:rsidR="00577F26" w:rsidRPr="00292DFB" w:rsidRDefault="00577F26" w:rsidP="00FF258E">
            <w:pPr>
              <w:rPr>
                <w:b/>
                <w:sz w:val="22"/>
                <w:szCs w:val="22"/>
              </w:rPr>
            </w:pPr>
            <w:r w:rsidRPr="00292DFB">
              <w:rPr>
                <w:b/>
                <w:sz w:val="22"/>
                <w:szCs w:val="22"/>
              </w:rPr>
              <w:t>UTSKOTTSSAMMANTRÄDE 2022/23:</w:t>
            </w:r>
            <w:r>
              <w:rPr>
                <w:b/>
                <w:sz w:val="22"/>
                <w:szCs w:val="22"/>
              </w:rPr>
              <w:t>6</w:t>
            </w:r>
          </w:p>
          <w:p w14:paraId="7A7DE103" w14:textId="77777777" w:rsidR="00577F26" w:rsidRPr="00292DFB" w:rsidRDefault="00577F26" w:rsidP="00FF258E">
            <w:pPr>
              <w:rPr>
                <w:b/>
                <w:sz w:val="22"/>
                <w:szCs w:val="22"/>
              </w:rPr>
            </w:pPr>
          </w:p>
        </w:tc>
      </w:tr>
      <w:tr w:rsidR="00577F26" w:rsidRPr="00292DFB" w14:paraId="1992693D" w14:textId="77777777" w:rsidTr="00FF258E">
        <w:tc>
          <w:tcPr>
            <w:tcW w:w="1985" w:type="dxa"/>
          </w:tcPr>
          <w:p w14:paraId="6AC88A81" w14:textId="77777777" w:rsidR="00577F26" w:rsidRPr="00292DFB" w:rsidRDefault="00577F26" w:rsidP="00FF258E">
            <w:pPr>
              <w:rPr>
                <w:sz w:val="22"/>
                <w:szCs w:val="22"/>
              </w:rPr>
            </w:pPr>
            <w:r w:rsidRPr="00292DFB">
              <w:rPr>
                <w:sz w:val="22"/>
                <w:szCs w:val="22"/>
              </w:rPr>
              <w:t>DATUM</w:t>
            </w:r>
          </w:p>
        </w:tc>
        <w:tc>
          <w:tcPr>
            <w:tcW w:w="6463" w:type="dxa"/>
          </w:tcPr>
          <w:p w14:paraId="2A765B1E" w14:textId="0384326C" w:rsidR="00577F26" w:rsidRPr="00292DFB" w:rsidRDefault="00577F26" w:rsidP="00FF258E">
            <w:pPr>
              <w:rPr>
                <w:sz w:val="22"/>
                <w:szCs w:val="22"/>
              </w:rPr>
            </w:pPr>
            <w:r w:rsidRPr="00292DFB">
              <w:rPr>
                <w:sz w:val="22"/>
                <w:szCs w:val="22"/>
              </w:rPr>
              <w:t>2022-11-</w:t>
            </w:r>
            <w:r>
              <w:rPr>
                <w:sz w:val="22"/>
                <w:szCs w:val="22"/>
              </w:rPr>
              <w:t>22</w:t>
            </w:r>
          </w:p>
        </w:tc>
      </w:tr>
      <w:tr w:rsidR="00577F26" w:rsidRPr="00292DFB" w14:paraId="7B48DE60" w14:textId="77777777" w:rsidTr="00FF258E">
        <w:tc>
          <w:tcPr>
            <w:tcW w:w="1985" w:type="dxa"/>
          </w:tcPr>
          <w:p w14:paraId="20DC0CBF" w14:textId="77777777" w:rsidR="00577F26" w:rsidRPr="00292DFB" w:rsidRDefault="00577F26" w:rsidP="00FF258E">
            <w:pPr>
              <w:rPr>
                <w:sz w:val="22"/>
                <w:szCs w:val="22"/>
              </w:rPr>
            </w:pPr>
            <w:r w:rsidRPr="00292DFB">
              <w:rPr>
                <w:sz w:val="22"/>
                <w:szCs w:val="22"/>
              </w:rPr>
              <w:t>TID</w:t>
            </w:r>
          </w:p>
        </w:tc>
        <w:tc>
          <w:tcPr>
            <w:tcW w:w="6463" w:type="dxa"/>
          </w:tcPr>
          <w:p w14:paraId="34E1CF15" w14:textId="36246473" w:rsidR="00577F26" w:rsidRPr="00292DFB" w:rsidRDefault="00577F26" w:rsidP="00FF258E">
            <w:pPr>
              <w:rPr>
                <w:sz w:val="22"/>
                <w:szCs w:val="22"/>
              </w:rPr>
            </w:pPr>
            <w:r w:rsidRPr="00292DFB">
              <w:rPr>
                <w:sz w:val="22"/>
                <w:szCs w:val="22"/>
              </w:rPr>
              <w:t>1</w:t>
            </w:r>
            <w:r w:rsidR="0012554D">
              <w:rPr>
                <w:sz w:val="22"/>
                <w:szCs w:val="22"/>
              </w:rPr>
              <w:t>1</w:t>
            </w:r>
            <w:r w:rsidRPr="00292DFB">
              <w:rPr>
                <w:sz w:val="22"/>
                <w:szCs w:val="22"/>
              </w:rPr>
              <w:t>.00-1</w:t>
            </w:r>
            <w:r w:rsidR="0012554D">
              <w:rPr>
                <w:sz w:val="22"/>
                <w:szCs w:val="22"/>
              </w:rPr>
              <w:t>2</w:t>
            </w:r>
            <w:r w:rsidRPr="00292DFB">
              <w:rPr>
                <w:sz w:val="22"/>
                <w:szCs w:val="22"/>
              </w:rPr>
              <w:t>.</w:t>
            </w:r>
            <w:r w:rsidR="0012554D">
              <w:rPr>
                <w:sz w:val="22"/>
                <w:szCs w:val="22"/>
              </w:rPr>
              <w:t>05</w:t>
            </w:r>
          </w:p>
          <w:p w14:paraId="55D22E59" w14:textId="77777777" w:rsidR="00577F26" w:rsidRPr="00292DFB" w:rsidRDefault="00577F26" w:rsidP="00FF258E">
            <w:pPr>
              <w:rPr>
                <w:sz w:val="22"/>
                <w:szCs w:val="22"/>
              </w:rPr>
            </w:pPr>
          </w:p>
        </w:tc>
      </w:tr>
      <w:tr w:rsidR="00577F26" w:rsidRPr="00292DFB" w14:paraId="21B5451E" w14:textId="77777777" w:rsidTr="00FF258E">
        <w:tc>
          <w:tcPr>
            <w:tcW w:w="1985" w:type="dxa"/>
          </w:tcPr>
          <w:p w14:paraId="3588051B" w14:textId="77777777" w:rsidR="00577F26" w:rsidRPr="00292DFB" w:rsidRDefault="00577F26" w:rsidP="00FF258E">
            <w:pPr>
              <w:rPr>
                <w:sz w:val="22"/>
                <w:szCs w:val="22"/>
              </w:rPr>
            </w:pPr>
            <w:r w:rsidRPr="00292DFB">
              <w:rPr>
                <w:sz w:val="22"/>
                <w:szCs w:val="22"/>
              </w:rPr>
              <w:t>NÄRVARANDE</w:t>
            </w:r>
          </w:p>
        </w:tc>
        <w:tc>
          <w:tcPr>
            <w:tcW w:w="6463" w:type="dxa"/>
          </w:tcPr>
          <w:p w14:paraId="3E38BCF1" w14:textId="77777777" w:rsidR="00577F26" w:rsidRPr="00292DFB" w:rsidRDefault="00577F26" w:rsidP="00FF258E">
            <w:pPr>
              <w:rPr>
                <w:sz w:val="22"/>
                <w:szCs w:val="22"/>
              </w:rPr>
            </w:pPr>
            <w:r w:rsidRPr="00292DFB">
              <w:rPr>
                <w:sz w:val="22"/>
                <w:szCs w:val="22"/>
              </w:rPr>
              <w:t>Se bilaga 1</w:t>
            </w:r>
          </w:p>
        </w:tc>
      </w:tr>
    </w:tbl>
    <w:p w14:paraId="42294207" w14:textId="77777777" w:rsidR="00577F26" w:rsidRPr="00292DFB" w:rsidRDefault="00577F26" w:rsidP="00577F26">
      <w:pPr>
        <w:rPr>
          <w:sz w:val="22"/>
          <w:szCs w:val="22"/>
        </w:rPr>
      </w:pPr>
    </w:p>
    <w:p w14:paraId="43D6CDE0" w14:textId="77777777" w:rsidR="00577F26" w:rsidRPr="00292DFB" w:rsidRDefault="00577F26" w:rsidP="00577F26">
      <w:pPr>
        <w:tabs>
          <w:tab w:val="left" w:pos="1701"/>
        </w:tabs>
        <w:rPr>
          <w:snapToGrid w:val="0"/>
          <w:color w:val="000000"/>
          <w:sz w:val="22"/>
          <w:szCs w:val="22"/>
        </w:rPr>
      </w:pPr>
    </w:p>
    <w:p w14:paraId="22A4E138" w14:textId="77777777" w:rsidR="00577F26" w:rsidRPr="00292DFB" w:rsidRDefault="00577F26" w:rsidP="00577F26">
      <w:pPr>
        <w:tabs>
          <w:tab w:val="left" w:pos="1701"/>
        </w:tabs>
        <w:rPr>
          <w:snapToGrid w:val="0"/>
          <w:color w:val="000000"/>
          <w:sz w:val="22"/>
          <w:szCs w:val="22"/>
        </w:rPr>
      </w:pPr>
    </w:p>
    <w:p w14:paraId="2A60E8D4" w14:textId="77777777" w:rsidR="00577F26" w:rsidRPr="00292DFB" w:rsidRDefault="00577F26" w:rsidP="00577F26">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577F26" w:rsidRPr="00292DFB" w14:paraId="05B388AC" w14:textId="77777777" w:rsidTr="00FF258E">
        <w:tc>
          <w:tcPr>
            <w:tcW w:w="567" w:type="dxa"/>
          </w:tcPr>
          <w:p w14:paraId="62D0CB6E" w14:textId="77777777" w:rsidR="00577F26" w:rsidRPr="00292DFB" w:rsidRDefault="00577F26" w:rsidP="00FF258E">
            <w:pPr>
              <w:tabs>
                <w:tab w:val="left" w:pos="1701"/>
              </w:tabs>
              <w:rPr>
                <w:b/>
                <w:snapToGrid w:val="0"/>
                <w:sz w:val="22"/>
                <w:szCs w:val="22"/>
              </w:rPr>
            </w:pPr>
            <w:r w:rsidRPr="00292DFB">
              <w:rPr>
                <w:b/>
                <w:snapToGrid w:val="0"/>
                <w:sz w:val="22"/>
                <w:szCs w:val="22"/>
              </w:rPr>
              <w:t xml:space="preserve">§ 1 </w:t>
            </w:r>
          </w:p>
          <w:p w14:paraId="7F19208F" w14:textId="77777777" w:rsidR="00577F26" w:rsidRPr="00292DFB" w:rsidRDefault="00577F26" w:rsidP="00FF258E">
            <w:pPr>
              <w:rPr>
                <w:sz w:val="22"/>
                <w:szCs w:val="22"/>
              </w:rPr>
            </w:pPr>
          </w:p>
          <w:p w14:paraId="020319D8" w14:textId="77777777" w:rsidR="00577F26" w:rsidRPr="00292DFB" w:rsidRDefault="00577F26" w:rsidP="00FF258E">
            <w:pPr>
              <w:spacing w:line="276" w:lineRule="auto"/>
              <w:rPr>
                <w:sz w:val="22"/>
                <w:szCs w:val="22"/>
              </w:rPr>
            </w:pPr>
          </w:p>
          <w:p w14:paraId="30B1DB50" w14:textId="77777777" w:rsidR="00577F26" w:rsidRPr="00292DFB" w:rsidRDefault="00577F26" w:rsidP="00FF258E">
            <w:pPr>
              <w:rPr>
                <w:sz w:val="22"/>
                <w:szCs w:val="22"/>
              </w:rPr>
            </w:pPr>
          </w:p>
          <w:p w14:paraId="32375AE3" w14:textId="77777777" w:rsidR="00577F26" w:rsidRPr="00292DFB" w:rsidRDefault="00577F26" w:rsidP="00FF258E">
            <w:pPr>
              <w:rPr>
                <w:b/>
                <w:sz w:val="22"/>
                <w:szCs w:val="22"/>
              </w:rPr>
            </w:pPr>
            <w:r w:rsidRPr="00292DFB">
              <w:rPr>
                <w:b/>
                <w:sz w:val="22"/>
                <w:szCs w:val="22"/>
              </w:rPr>
              <w:t>§ 2</w:t>
            </w:r>
          </w:p>
          <w:p w14:paraId="10A6939B" w14:textId="77777777" w:rsidR="00577F26" w:rsidRPr="00292DFB" w:rsidRDefault="00577F26" w:rsidP="00FF258E">
            <w:pPr>
              <w:rPr>
                <w:b/>
                <w:sz w:val="22"/>
                <w:szCs w:val="22"/>
              </w:rPr>
            </w:pPr>
          </w:p>
          <w:p w14:paraId="61794C51" w14:textId="7EFC74EB" w:rsidR="00577F26" w:rsidRDefault="00577F26" w:rsidP="00FF258E">
            <w:pPr>
              <w:rPr>
                <w:b/>
                <w:sz w:val="22"/>
                <w:szCs w:val="22"/>
              </w:rPr>
            </w:pPr>
          </w:p>
          <w:p w14:paraId="361E5BE0" w14:textId="45B767A2" w:rsidR="00636306" w:rsidRDefault="00636306" w:rsidP="002D4C7E">
            <w:pPr>
              <w:spacing w:line="276" w:lineRule="auto"/>
              <w:rPr>
                <w:b/>
                <w:sz w:val="22"/>
                <w:szCs w:val="22"/>
              </w:rPr>
            </w:pPr>
          </w:p>
          <w:p w14:paraId="280F81BA" w14:textId="75F0882C" w:rsidR="00636306" w:rsidRDefault="00636306" w:rsidP="00FF258E">
            <w:pPr>
              <w:rPr>
                <w:b/>
                <w:sz w:val="22"/>
                <w:szCs w:val="22"/>
              </w:rPr>
            </w:pPr>
          </w:p>
          <w:p w14:paraId="27A4E464" w14:textId="7BDA9316" w:rsidR="00636306" w:rsidRDefault="00636306" w:rsidP="00FF258E">
            <w:pPr>
              <w:rPr>
                <w:b/>
                <w:sz w:val="22"/>
                <w:szCs w:val="22"/>
              </w:rPr>
            </w:pPr>
          </w:p>
          <w:p w14:paraId="0B49AD21" w14:textId="77777777" w:rsidR="00636306" w:rsidRPr="00292DFB" w:rsidRDefault="00636306" w:rsidP="00FF258E">
            <w:pPr>
              <w:rPr>
                <w:b/>
                <w:sz w:val="22"/>
                <w:szCs w:val="22"/>
              </w:rPr>
            </w:pPr>
          </w:p>
          <w:p w14:paraId="0571A34F" w14:textId="77777777" w:rsidR="00577F26" w:rsidRPr="00292DFB" w:rsidRDefault="00577F26" w:rsidP="00FF258E">
            <w:pPr>
              <w:rPr>
                <w:b/>
                <w:sz w:val="22"/>
                <w:szCs w:val="22"/>
              </w:rPr>
            </w:pPr>
          </w:p>
          <w:p w14:paraId="7392C60B" w14:textId="77777777" w:rsidR="00577F26" w:rsidRPr="00292DFB" w:rsidRDefault="00577F26" w:rsidP="00FF258E">
            <w:pPr>
              <w:spacing w:line="276" w:lineRule="auto"/>
              <w:rPr>
                <w:b/>
                <w:sz w:val="22"/>
                <w:szCs w:val="22"/>
              </w:rPr>
            </w:pPr>
            <w:r w:rsidRPr="00292DFB">
              <w:rPr>
                <w:b/>
                <w:sz w:val="22"/>
                <w:szCs w:val="22"/>
              </w:rPr>
              <w:t>§ 3</w:t>
            </w:r>
          </w:p>
          <w:p w14:paraId="60C4849D" w14:textId="77777777" w:rsidR="00577F26" w:rsidRPr="00292DFB" w:rsidRDefault="00577F26" w:rsidP="00FF258E">
            <w:pPr>
              <w:spacing w:line="276" w:lineRule="auto"/>
              <w:rPr>
                <w:b/>
                <w:sz w:val="22"/>
                <w:szCs w:val="22"/>
              </w:rPr>
            </w:pPr>
          </w:p>
          <w:p w14:paraId="6E20552C" w14:textId="77777777" w:rsidR="00577F26" w:rsidRPr="00292DFB" w:rsidRDefault="00577F26" w:rsidP="00FF258E">
            <w:pPr>
              <w:spacing w:line="276" w:lineRule="auto"/>
              <w:rPr>
                <w:b/>
                <w:sz w:val="22"/>
                <w:szCs w:val="22"/>
              </w:rPr>
            </w:pPr>
          </w:p>
          <w:p w14:paraId="69706687" w14:textId="77777777" w:rsidR="00577F26" w:rsidRPr="00292DFB" w:rsidRDefault="00577F26" w:rsidP="00FF258E">
            <w:pPr>
              <w:spacing w:line="360" w:lineRule="auto"/>
              <w:rPr>
                <w:b/>
                <w:sz w:val="22"/>
                <w:szCs w:val="22"/>
              </w:rPr>
            </w:pPr>
          </w:p>
          <w:p w14:paraId="181A3877" w14:textId="45EC848D" w:rsidR="00577F26" w:rsidRDefault="00577F26" w:rsidP="00FF258E">
            <w:pPr>
              <w:spacing w:line="276" w:lineRule="auto"/>
              <w:rPr>
                <w:b/>
                <w:sz w:val="22"/>
                <w:szCs w:val="22"/>
              </w:rPr>
            </w:pPr>
          </w:p>
          <w:p w14:paraId="1DA5EBFE" w14:textId="015B3B41" w:rsidR="001B3EF1" w:rsidRDefault="001B3EF1" w:rsidP="00FF258E">
            <w:pPr>
              <w:spacing w:line="276" w:lineRule="auto"/>
              <w:rPr>
                <w:b/>
                <w:sz w:val="22"/>
                <w:szCs w:val="22"/>
              </w:rPr>
            </w:pPr>
          </w:p>
          <w:p w14:paraId="23FCE722" w14:textId="383BD7DF" w:rsidR="001B3EF1" w:rsidRDefault="001B3EF1" w:rsidP="00FF258E">
            <w:pPr>
              <w:spacing w:line="276" w:lineRule="auto"/>
              <w:rPr>
                <w:b/>
                <w:sz w:val="22"/>
                <w:szCs w:val="22"/>
              </w:rPr>
            </w:pPr>
          </w:p>
          <w:p w14:paraId="6AD56727" w14:textId="17E3434C" w:rsidR="001B3EF1" w:rsidRDefault="001B3EF1" w:rsidP="00FF258E">
            <w:pPr>
              <w:spacing w:line="276" w:lineRule="auto"/>
              <w:rPr>
                <w:b/>
                <w:sz w:val="22"/>
                <w:szCs w:val="22"/>
              </w:rPr>
            </w:pPr>
          </w:p>
          <w:p w14:paraId="04998577" w14:textId="10A1EB51" w:rsidR="001B3EF1" w:rsidRDefault="001B3EF1" w:rsidP="00FF258E">
            <w:pPr>
              <w:spacing w:line="276" w:lineRule="auto"/>
              <w:rPr>
                <w:b/>
                <w:sz w:val="22"/>
                <w:szCs w:val="22"/>
              </w:rPr>
            </w:pPr>
          </w:p>
          <w:p w14:paraId="2ECD4809" w14:textId="1451514C" w:rsidR="001B3EF1" w:rsidRDefault="001B3EF1" w:rsidP="00FF258E">
            <w:pPr>
              <w:spacing w:line="276" w:lineRule="auto"/>
              <w:rPr>
                <w:b/>
                <w:sz w:val="22"/>
                <w:szCs w:val="22"/>
              </w:rPr>
            </w:pPr>
          </w:p>
          <w:p w14:paraId="0EA883CA" w14:textId="77777777" w:rsidR="001B3EF1" w:rsidRDefault="001B3EF1" w:rsidP="00FF258E">
            <w:pPr>
              <w:spacing w:line="276" w:lineRule="auto"/>
              <w:rPr>
                <w:b/>
                <w:sz w:val="22"/>
                <w:szCs w:val="22"/>
              </w:rPr>
            </w:pPr>
          </w:p>
          <w:p w14:paraId="40F4E487" w14:textId="77777777" w:rsidR="00577F26" w:rsidRPr="00292DFB" w:rsidRDefault="00577F26" w:rsidP="00FF258E">
            <w:pPr>
              <w:spacing w:line="276" w:lineRule="auto"/>
              <w:rPr>
                <w:b/>
                <w:sz w:val="22"/>
                <w:szCs w:val="22"/>
              </w:rPr>
            </w:pPr>
          </w:p>
          <w:p w14:paraId="0DEFEAD5" w14:textId="77777777" w:rsidR="00577F26" w:rsidRPr="00292DFB" w:rsidRDefault="00577F26" w:rsidP="00FF258E">
            <w:pPr>
              <w:spacing w:line="276" w:lineRule="auto"/>
              <w:rPr>
                <w:b/>
                <w:sz w:val="22"/>
                <w:szCs w:val="22"/>
              </w:rPr>
            </w:pPr>
          </w:p>
          <w:p w14:paraId="4810B469" w14:textId="77777777" w:rsidR="00577F26" w:rsidRPr="00292DFB" w:rsidRDefault="00577F26" w:rsidP="00FF258E">
            <w:pPr>
              <w:spacing w:line="276" w:lineRule="auto"/>
              <w:rPr>
                <w:b/>
                <w:sz w:val="22"/>
                <w:szCs w:val="22"/>
              </w:rPr>
            </w:pPr>
            <w:r w:rsidRPr="00292DFB">
              <w:rPr>
                <w:b/>
                <w:sz w:val="22"/>
                <w:szCs w:val="22"/>
              </w:rPr>
              <w:t>§ 4</w:t>
            </w:r>
          </w:p>
          <w:p w14:paraId="43E6017A" w14:textId="77777777" w:rsidR="00577F26" w:rsidRPr="00292DFB" w:rsidRDefault="00577F26" w:rsidP="00FF258E">
            <w:pPr>
              <w:spacing w:line="276" w:lineRule="auto"/>
              <w:rPr>
                <w:b/>
                <w:sz w:val="22"/>
                <w:szCs w:val="22"/>
              </w:rPr>
            </w:pPr>
          </w:p>
          <w:p w14:paraId="69D37D49" w14:textId="77777777" w:rsidR="00577F26" w:rsidRDefault="00577F26" w:rsidP="00FF258E">
            <w:pPr>
              <w:spacing w:line="276" w:lineRule="auto"/>
              <w:rPr>
                <w:b/>
                <w:sz w:val="22"/>
                <w:szCs w:val="22"/>
              </w:rPr>
            </w:pPr>
          </w:p>
          <w:p w14:paraId="797B51CC" w14:textId="77777777" w:rsidR="00577F26" w:rsidRPr="00292DFB" w:rsidRDefault="00577F26" w:rsidP="00FF258E">
            <w:pPr>
              <w:spacing w:line="720" w:lineRule="auto"/>
              <w:rPr>
                <w:b/>
                <w:sz w:val="22"/>
                <w:szCs w:val="22"/>
              </w:rPr>
            </w:pPr>
          </w:p>
          <w:p w14:paraId="6E1226BF" w14:textId="3FE8AAF2" w:rsidR="00577F26" w:rsidRPr="00292DFB" w:rsidRDefault="00577F26" w:rsidP="00636306">
            <w:pPr>
              <w:spacing w:line="276" w:lineRule="auto"/>
              <w:rPr>
                <w:b/>
                <w:sz w:val="22"/>
                <w:szCs w:val="22"/>
              </w:rPr>
            </w:pPr>
            <w:r w:rsidRPr="00292DFB">
              <w:rPr>
                <w:b/>
                <w:sz w:val="22"/>
                <w:szCs w:val="22"/>
              </w:rPr>
              <w:t xml:space="preserve">§ 5  </w:t>
            </w:r>
          </w:p>
          <w:p w14:paraId="496552D7" w14:textId="77777777" w:rsidR="00577F26" w:rsidRPr="00292DFB" w:rsidRDefault="00577F26" w:rsidP="00FF258E">
            <w:pPr>
              <w:spacing w:line="276" w:lineRule="auto"/>
              <w:rPr>
                <w:b/>
                <w:sz w:val="22"/>
                <w:szCs w:val="22"/>
              </w:rPr>
            </w:pPr>
          </w:p>
          <w:p w14:paraId="4F27D9D9" w14:textId="77777777" w:rsidR="00577F26" w:rsidRPr="00292DFB" w:rsidRDefault="00577F26" w:rsidP="00FF258E">
            <w:pPr>
              <w:spacing w:line="276" w:lineRule="auto"/>
              <w:rPr>
                <w:b/>
                <w:sz w:val="22"/>
                <w:szCs w:val="22"/>
              </w:rPr>
            </w:pPr>
          </w:p>
          <w:p w14:paraId="46DD2835" w14:textId="77777777" w:rsidR="00577F26" w:rsidRPr="00292DFB" w:rsidRDefault="00577F26" w:rsidP="00FF258E">
            <w:pPr>
              <w:spacing w:line="276" w:lineRule="auto"/>
              <w:rPr>
                <w:b/>
                <w:sz w:val="22"/>
                <w:szCs w:val="22"/>
              </w:rPr>
            </w:pPr>
          </w:p>
          <w:p w14:paraId="2D5C52F2" w14:textId="77777777" w:rsidR="00577F26" w:rsidRPr="00292DFB" w:rsidRDefault="00577F26" w:rsidP="00FF258E">
            <w:pPr>
              <w:spacing w:line="276" w:lineRule="auto"/>
              <w:rPr>
                <w:b/>
                <w:sz w:val="22"/>
                <w:szCs w:val="22"/>
              </w:rPr>
            </w:pPr>
          </w:p>
          <w:p w14:paraId="49E6D1A6" w14:textId="77777777" w:rsidR="00577F26" w:rsidRPr="00292DFB" w:rsidRDefault="00577F26" w:rsidP="00FF258E">
            <w:pPr>
              <w:spacing w:line="276" w:lineRule="auto"/>
              <w:rPr>
                <w:b/>
                <w:sz w:val="22"/>
                <w:szCs w:val="22"/>
              </w:rPr>
            </w:pPr>
          </w:p>
        </w:tc>
        <w:tc>
          <w:tcPr>
            <w:tcW w:w="6946" w:type="dxa"/>
          </w:tcPr>
          <w:p w14:paraId="7014FAA9" w14:textId="77777777" w:rsidR="00577F26" w:rsidRPr="00292DFB" w:rsidRDefault="00577F26" w:rsidP="00FF258E">
            <w:pPr>
              <w:tabs>
                <w:tab w:val="left" w:pos="1701"/>
              </w:tabs>
              <w:rPr>
                <w:b/>
                <w:sz w:val="22"/>
                <w:szCs w:val="22"/>
              </w:rPr>
            </w:pPr>
            <w:r w:rsidRPr="00292DFB">
              <w:rPr>
                <w:b/>
                <w:sz w:val="22"/>
                <w:szCs w:val="22"/>
              </w:rPr>
              <w:t>Justering av protokoll</w:t>
            </w:r>
          </w:p>
          <w:p w14:paraId="6FE11E8D" w14:textId="497C790D" w:rsidR="00577F26" w:rsidRPr="00292DFB" w:rsidRDefault="00577F26" w:rsidP="00FF258E">
            <w:pPr>
              <w:tabs>
                <w:tab w:val="left" w:pos="1701"/>
              </w:tabs>
              <w:rPr>
                <w:b/>
                <w:bCs/>
                <w:snapToGrid w:val="0"/>
                <w:sz w:val="22"/>
                <w:szCs w:val="22"/>
              </w:rPr>
            </w:pPr>
            <w:r w:rsidRPr="00292DFB">
              <w:rPr>
                <w:b/>
                <w:sz w:val="22"/>
                <w:szCs w:val="22"/>
              </w:rPr>
              <w:br/>
            </w:r>
            <w:r w:rsidRPr="00292DFB">
              <w:rPr>
                <w:bCs/>
                <w:sz w:val="22"/>
                <w:szCs w:val="22"/>
              </w:rPr>
              <w:t>Utskottet justerade protokoll 2022/23:</w:t>
            </w:r>
            <w:r>
              <w:rPr>
                <w:bCs/>
                <w:sz w:val="22"/>
                <w:szCs w:val="22"/>
              </w:rPr>
              <w:t>5</w:t>
            </w:r>
            <w:r w:rsidRPr="00292DFB">
              <w:rPr>
                <w:bCs/>
                <w:sz w:val="22"/>
                <w:szCs w:val="22"/>
              </w:rPr>
              <w:t>.</w:t>
            </w:r>
          </w:p>
          <w:p w14:paraId="2A5DFC7D" w14:textId="77777777" w:rsidR="00577F26" w:rsidRPr="00292DFB" w:rsidRDefault="00577F26" w:rsidP="00FF258E">
            <w:pPr>
              <w:tabs>
                <w:tab w:val="left" w:pos="1701"/>
              </w:tabs>
              <w:rPr>
                <w:b/>
                <w:bCs/>
                <w:snapToGrid w:val="0"/>
                <w:sz w:val="22"/>
                <w:szCs w:val="22"/>
              </w:rPr>
            </w:pPr>
          </w:p>
          <w:p w14:paraId="72AC0539" w14:textId="77777777" w:rsidR="00577F26" w:rsidRDefault="00577F26" w:rsidP="00FF258E">
            <w:pPr>
              <w:widowControl/>
              <w:spacing w:after="240" w:line="256" w:lineRule="auto"/>
              <w:rPr>
                <w:bCs/>
                <w:sz w:val="22"/>
                <w:szCs w:val="22"/>
              </w:rPr>
            </w:pPr>
            <w:r w:rsidRPr="00292DFB">
              <w:rPr>
                <w:b/>
                <w:sz w:val="22"/>
                <w:szCs w:val="22"/>
              </w:rPr>
              <w:t>Uppföljning av riksdagens tillämpning av subsidiaritetsprincipen (TU1y)</w:t>
            </w:r>
            <w:r w:rsidRPr="00292DFB">
              <w:rPr>
                <w:b/>
                <w:sz w:val="22"/>
                <w:szCs w:val="22"/>
              </w:rPr>
              <w:br/>
            </w:r>
            <w:r w:rsidRPr="00292DFB">
              <w:rPr>
                <w:b/>
                <w:sz w:val="22"/>
                <w:szCs w:val="22"/>
              </w:rPr>
              <w:br/>
            </w:r>
            <w:r>
              <w:rPr>
                <w:bCs/>
                <w:sz w:val="22"/>
                <w:szCs w:val="22"/>
              </w:rPr>
              <w:t>Utskottet fortsatte behandlingen av f</w:t>
            </w:r>
            <w:r w:rsidRPr="00292DFB">
              <w:rPr>
                <w:bCs/>
                <w:sz w:val="22"/>
                <w:szCs w:val="22"/>
              </w:rPr>
              <w:t>råga</w:t>
            </w:r>
            <w:r>
              <w:rPr>
                <w:bCs/>
                <w:sz w:val="22"/>
                <w:szCs w:val="22"/>
              </w:rPr>
              <w:t>n</w:t>
            </w:r>
            <w:r w:rsidRPr="00292DFB">
              <w:rPr>
                <w:bCs/>
                <w:sz w:val="22"/>
                <w:szCs w:val="22"/>
              </w:rPr>
              <w:t xml:space="preserve"> om yttrande till konstitutionsutskottet</w:t>
            </w:r>
            <w:r>
              <w:rPr>
                <w:bCs/>
                <w:sz w:val="22"/>
                <w:szCs w:val="22"/>
              </w:rPr>
              <w:t>.</w:t>
            </w:r>
          </w:p>
          <w:p w14:paraId="4C51564A" w14:textId="7C7CE05A" w:rsidR="00577F26" w:rsidRPr="00292DFB" w:rsidRDefault="00577F26" w:rsidP="00FF258E">
            <w:pPr>
              <w:widowControl/>
              <w:spacing w:after="240" w:line="256" w:lineRule="auto"/>
              <w:rPr>
                <w:b/>
                <w:sz w:val="22"/>
                <w:szCs w:val="22"/>
              </w:rPr>
            </w:pPr>
            <w:r>
              <w:rPr>
                <w:bCs/>
                <w:sz w:val="22"/>
                <w:szCs w:val="22"/>
              </w:rPr>
              <w:t>Utskottet justerade yttrande 2022/</w:t>
            </w:r>
            <w:proofErr w:type="gramStart"/>
            <w:r>
              <w:rPr>
                <w:bCs/>
                <w:sz w:val="22"/>
                <w:szCs w:val="22"/>
              </w:rPr>
              <w:t>23</w:t>
            </w:r>
            <w:r w:rsidR="00BB02A5">
              <w:rPr>
                <w:bCs/>
                <w:sz w:val="22"/>
                <w:szCs w:val="22"/>
              </w:rPr>
              <w:t>:</w:t>
            </w:r>
            <w:r>
              <w:rPr>
                <w:bCs/>
                <w:sz w:val="22"/>
                <w:szCs w:val="22"/>
              </w:rPr>
              <w:t>TU</w:t>
            </w:r>
            <w:proofErr w:type="gramEnd"/>
            <w:r>
              <w:rPr>
                <w:bCs/>
                <w:sz w:val="22"/>
                <w:szCs w:val="22"/>
              </w:rPr>
              <w:t>1y.</w:t>
            </w:r>
          </w:p>
          <w:p w14:paraId="1D61DF91" w14:textId="77777777" w:rsidR="00636306" w:rsidRPr="00636306" w:rsidRDefault="00636306" w:rsidP="00636306">
            <w:pPr>
              <w:widowControl/>
              <w:shd w:val="clear" w:color="auto" w:fill="FFFFFF"/>
              <w:spacing w:before="100" w:beforeAutospacing="1" w:after="100" w:afterAutospacing="1"/>
              <w:rPr>
                <w:b/>
                <w:bCs/>
                <w:color w:val="000000"/>
                <w:sz w:val="22"/>
                <w:szCs w:val="22"/>
              </w:rPr>
            </w:pPr>
            <w:r w:rsidRPr="00636306">
              <w:rPr>
                <w:b/>
                <w:bCs/>
                <w:color w:val="000000"/>
                <w:sz w:val="22"/>
                <w:szCs w:val="22"/>
              </w:rPr>
              <w:t>Kommissionens förslag om övergripande cybersäkerhetskrav för produkter med digitala element och om ändring av förordning (EU) 2019/1020</w:t>
            </w:r>
          </w:p>
          <w:p w14:paraId="55AE4DBE" w14:textId="01877DAA" w:rsidR="001B3EF1" w:rsidRPr="001B3EF1" w:rsidRDefault="001B3EF1" w:rsidP="001B3EF1">
            <w:pPr>
              <w:rPr>
                <w:rFonts w:eastAsia="Calibri"/>
                <w:color w:val="000000"/>
                <w:sz w:val="22"/>
                <w:szCs w:val="22"/>
              </w:rPr>
            </w:pPr>
            <w:r w:rsidRPr="001B3EF1">
              <w:rPr>
                <w:rFonts w:eastAsia="Calibri"/>
                <w:color w:val="000000"/>
                <w:sz w:val="22"/>
                <w:szCs w:val="22"/>
              </w:rPr>
              <w:t xml:space="preserve">Utskottet överlade med statsrådet Erik </w:t>
            </w:r>
            <w:proofErr w:type="spellStart"/>
            <w:r w:rsidRPr="001B3EF1">
              <w:rPr>
                <w:rFonts w:eastAsia="Calibri"/>
                <w:color w:val="000000"/>
                <w:sz w:val="22"/>
                <w:szCs w:val="22"/>
              </w:rPr>
              <w:t>Slottner</w:t>
            </w:r>
            <w:proofErr w:type="spellEnd"/>
            <w:r w:rsidRPr="001B3EF1">
              <w:rPr>
                <w:rFonts w:eastAsia="Calibri"/>
                <w:color w:val="000000"/>
                <w:sz w:val="22"/>
                <w:szCs w:val="22"/>
              </w:rPr>
              <w:t xml:space="preserve">, åtföljd av medarbetare från </w:t>
            </w:r>
            <w:r>
              <w:rPr>
                <w:rFonts w:eastAsia="Calibri"/>
                <w:color w:val="000000"/>
                <w:sz w:val="22"/>
                <w:szCs w:val="22"/>
              </w:rPr>
              <w:t>infrastruktur</w:t>
            </w:r>
            <w:r w:rsidRPr="001B3EF1">
              <w:rPr>
                <w:rFonts w:eastAsia="Calibri"/>
                <w:color w:val="000000"/>
                <w:sz w:val="22"/>
                <w:szCs w:val="22"/>
              </w:rPr>
              <w:t xml:space="preserve">departementet. </w:t>
            </w:r>
          </w:p>
          <w:p w14:paraId="1AE95EE6" w14:textId="77777777" w:rsidR="001B3EF1" w:rsidRPr="001B3EF1" w:rsidRDefault="001B3EF1" w:rsidP="001B3EF1">
            <w:pPr>
              <w:ind w:left="2127"/>
              <w:rPr>
                <w:rFonts w:eastAsia="Calibri"/>
                <w:color w:val="000000"/>
                <w:sz w:val="22"/>
                <w:szCs w:val="22"/>
              </w:rPr>
            </w:pPr>
          </w:p>
          <w:p w14:paraId="05EA4E1D" w14:textId="0C6DE971" w:rsidR="001B3EF1" w:rsidRPr="001B3EF1" w:rsidRDefault="001B3EF1" w:rsidP="001B3EF1">
            <w:pPr>
              <w:rPr>
                <w:rFonts w:eastAsia="Calibri"/>
                <w:color w:val="000000"/>
                <w:sz w:val="22"/>
                <w:szCs w:val="22"/>
              </w:rPr>
            </w:pPr>
            <w:r w:rsidRPr="001B3EF1">
              <w:rPr>
                <w:rFonts w:eastAsia="Calibri"/>
                <w:color w:val="000000"/>
                <w:sz w:val="22"/>
                <w:szCs w:val="22"/>
              </w:rPr>
              <w:t xml:space="preserve">Underlaget utgjordes av kommissionens förslag </w:t>
            </w:r>
            <w:proofErr w:type="gramStart"/>
            <w:r w:rsidRPr="001B3EF1">
              <w:rPr>
                <w:rFonts w:eastAsia="Calibri"/>
                <w:color w:val="000000"/>
                <w:sz w:val="22"/>
                <w:szCs w:val="22"/>
              </w:rPr>
              <w:t>COM(</w:t>
            </w:r>
            <w:proofErr w:type="gramEnd"/>
            <w:r w:rsidRPr="001B3EF1">
              <w:rPr>
                <w:rFonts w:eastAsia="Calibri"/>
                <w:color w:val="000000"/>
                <w:sz w:val="22"/>
                <w:szCs w:val="22"/>
              </w:rPr>
              <w:t>2022) 454 och regeringens faktapromemoria 2022/23:FPM6 (dnr</w:t>
            </w:r>
            <w:r w:rsidR="00BB02A5">
              <w:rPr>
                <w:rFonts w:eastAsia="Calibri"/>
                <w:color w:val="000000"/>
                <w:sz w:val="22"/>
                <w:szCs w:val="22"/>
              </w:rPr>
              <w:t xml:space="preserve"> </w:t>
            </w:r>
            <w:r w:rsidRPr="001B3EF1">
              <w:rPr>
                <w:rFonts w:eastAsia="Calibri"/>
                <w:color w:val="000000"/>
                <w:sz w:val="22"/>
                <w:szCs w:val="22"/>
              </w:rPr>
              <w:t>725-2022/23)</w:t>
            </w:r>
          </w:p>
          <w:p w14:paraId="08C356A0" w14:textId="77777777" w:rsidR="001B3EF1" w:rsidRPr="001B3EF1" w:rsidRDefault="001B3EF1" w:rsidP="001B3EF1">
            <w:pPr>
              <w:ind w:left="2127"/>
              <w:rPr>
                <w:rFonts w:eastAsia="Calibri"/>
                <w:color w:val="000000"/>
                <w:sz w:val="22"/>
                <w:szCs w:val="22"/>
              </w:rPr>
            </w:pPr>
          </w:p>
          <w:p w14:paraId="48DEF26B" w14:textId="77777777" w:rsidR="001B3EF1" w:rsidRPr="001B3EF1" w:rsidRDefault="001B3EF1" w:rsidP="001B3EF1">
            <w:pPr>
              <w:rPr>
                <w:rFonts w:eastAsia="Calibri"/>
                <w:color w:val="000000"/>
                <w:sz w:val="22"/>
                <w:szCs w:val="22"/>
              </w:rPr>
            </w:pPr>
            <w:r w:rsidRPr="001B3EF1">
              <w:rPr>
                <w:rFonts w:eastAsia="Calibri"/>
                <w:color w:val="000000"/>
                <w:sz w:val="22"/>
                <w:szCs w:val="22"/>
              </w:rPr>
              <w:t xml:space="preserve">Statsrådet Erik </w:t>
            </w:r>
            <w:proofErr w:type="spellStart"/>
            <w:r w:rsidRPr="001B3EF1">
              <w:rPr>
                <w:rFonts w:eastAsia="Calibri"/>
                <w:color w:val="000000"/>
                <w:sz w:val="22"/>
                <w:szCs w:val="22"/>
              </w:rPr>
              <w:t>Slottner</w:t>
            </w:r>
            <w:proofErr w:type="spellEnd"/>
            <w:r w:rsidRPr="001B3EF1">
              <w:rPr>
                <w:rFonts w:eastAsia="Calibri"/>
                <w:color w:val="000000"/>
                <w:sz w:val="22"/>
                <w:szCs w:val="22"/>
              </w:rPr>
              <w:t xml:space="preserve"> redogjorde för regeringens ståndpunkt i enlighet med faktapromemorian (bilaga 2).</w:t>
            </w:r>
          </w:p>
          <w:p w14:paraId="2C06D8DA" w14:textId="77777777" w:rsidR="001B3EF1" w:rsidRPr="001B3EF1" w:rsidRDefault="001B3EF1" w:rsidP="001B3EF1">
            <w:pPr>
              <w:ind w:left="2127"/>
              <w:rPr>
                <w:rFonts w:eastAsia="Calibri"/>
                <w:color w:val="000000"/>
                <w:sz w:val="22"/>
                <w:szCs w:val="22"/>
              </w:rPr>
            </w:pPr>
          </w:p>
          <w:p w14:paraId="1DB9DED7" w14:textId="5A8A2C00" w:rsidR="001B3EF1" w:rsidRPr="001B3EF1" w:rsidRDefault="001B3EF1" w:rsidP="001B3EF1">
            <w:pPr>
              <w:rPr>
                <w:rFonts w:eastAsia="Calibri"/>
                <w:color w:val="000000"/>
                <w:sz w:val="22"/>
                <w:szCs w:val="22"/>
              </w:rPr>
            </w:pPr>
            <w:r w:rsidRPr="001B3EF1">
              <w:rPr>
                <w:rFonts w:eastAsia="Calibri"/>
                <w:color w:val="000000"/>
                <w:sz w:val="22"/>
                <w:szCs w:val="22"/>
              </w:rPr>
              <w:t xml:space="preserve">Ordföranden konstaterade att det fanns stöd för regeringens ståndpunkt. </w:t>
            </w:r>
          </w:p>
          <w:p w14:paraId="7FE20C49" w14:textId="60CEE942" w:rsidR="00577F26" w:rsidRPr="00636306" w:rsidRDefault="00636306" w:rsidP="00636306">
            <w:pPr>
              <w:widowControl/>
              <w:shd w:val="clear" w:color="auto" w:fill="FFFFFF"/>
              <w:spacing w:before="100" w:beforeAutospacing="1" w:after="100" w:afterAutospacing="1"/>
              <w:rPr>
                <w:color w:val="000000"/>
                <w:sz w:val="22"/>
                <w:szCs w:val="22"/>
              </w:rPr>
            </w:pPr>
            <w:r w:rsidRPr="00636306">
              <w:rPr>
                <w:b/>
                <w:bCs/>
                <w:color w:val="000000"/>
                <w:sz w:val="22"/>
                <w:szCs w:val="22"/>
              </w:rPr>
              <w:t xml:space="preserve">Information från </w:t>
            </w:r>
            <w:proofErr w:type="spellStart"/>
            <w:r w:rsidRPr="00636306">
              <w:rPr>
                <w:b/>
                <w:bCs/>
                <w:color w:val="000000"/>
                <w:sz w:val="22"/>
                <w:szCs w:val="22"/>
              </w:rPr>
              <w:t>Mälarhamnar</w:t>
            </w:r>
            <w:proofErr w:type="spellEnd"/>
            <w:r w:rsidRPr="00636306">
              <w:rPr>
                <w:b/>
                <w:bCs/>
                <w:color w:val="000000"/>
                <w:sz w:val="22"/>
                <w:szCs w:val="22"/>
              </w:rPr>
              <w:t xml:space="preserve"> AB och Vänerhamn AB</w:t>
            </w:r>
            <w:r>
              <w:rPr>
                <w:b/>
                <w:bCs/>
                <w:color w:val="000000"/>
                <w:sz w:val="22"/>
                <w:szCs w:val="22"/>
              </w:rPr>
              <w:br/>
            </w:r>
            <w:r w:rsidRPr="00636306">
              <w:rPr>
                <w:color w:val="000000"/>
                <w:sz w:val="22"/>
                <w:szCs w:val="22"/>
              </w:rPr>
              <w:br/>
              <w:t xml:space="preserve">Företrädare för </w:t>
            </w:r>
            <w:proofErr w:type="spellStart"/>
            <w:r w:rsidRPr="00636306">
              <w:rPr>
                <w:color w:val="000000"/>
                <w:sz w:val="22"/>
                <w:szCs w:val="22"/>
              </w:rPr>
              <w:t>Mälarhamnar</w:t>
            </w:r>
            <w:proofErr w:type="spellEnd"/>
            <w:r w:rsidRPr="00636306">
              <w:rPr>
                <w:color w:val="000000"/>
                <w:sz w:val="22"/>
                <w:szCs w:val="22"/>
              </w:rPr>
              <w:t xml:space="preserve"> AB och Vänerhamn AB informera</w:t>
            </w:r>
            <w:r>
              <w:rPr>
                <w:color w:val="000000"/>
                <w:sz w:val="22"/>
                <w:szCs w:val="22"/>
              </w:rPr>
              <w:t>de och svarade på frågor</w:t>
            </w:r>
            <w:r w:rsidRPr="00636306">
              <w:rPr>
                <w:b/>
                <w:bCs/>
                <w:color w:val="000000"/>
                <w:sz w:val="22"/>
                <w:szCs w:val="22"/>
              </w:rPr>
              <w:t> </w:t>
            </w:r>
            <w:r w:rsidRPr="00636306">
              <w:rPr>
                <w:color w:val="000000"/>
                <w:sz w:val="22"/>
                <w:szCs w:val="22"/>
              </w:rPr>
              <w:t>om</w:t>
            </w:r>
            <w:r w:rsidRPr="00636306">
              <w:rPr>
                <w:b/>
                <w:bCs/>
                <w:color w:val="000000"/>
                <w:sz w:val="22"/>
                <w:szCs w:val="22"/>
              </w:rPr>
              <w:t> </w:t>
            </w:r>
            <w:r w:rsidRPr="00636306">
              <w:rPr>
                <w:color w:val="000000"/>
                <w:sz w:val="22"/>
                <w:szCs w:val="22"/>
              </w:rPr>
              <w:t>närsjöfartens potential och möjliga bidrag för effektiva, robusta, energi- och klimatsmarta transporter.</w:t>
            </w:r>
          </w:p>
          <w:p w14:paraId="1DFE4F6C" w14:textId="77777777" w:rsidR="00577F26" w:rsidRPr="00292DFB" w:rsidRDefault="00577F26" w:rsidP="00FF258E">
            <w:pPr>
              <w:tabs>
                <w:tab w:val="left" w:pos="1701"/>
              </w:tabs>
              <w:rPr>
                <w:b/>
                <w:sz w:val="22"/>
                <w:szCs w:val="22"/>
              </w:rPr>
            </w:pPr>
            <w:r w:rsidRPr="00292DFB">
              <w:rPr>
                <w:b/>
                <w:sz w:val="22"/>
                <w:szCs w:val="22"/>
              </w:rPr>
              <w:t>Nästa sammanträde</w:t>
            </w:r>
          </w:p>
          <w:p w14:paraId="4039A24C" w14:textId="77777777" w:rsidR="00577F26" w:rsidRPr="00292DFB" w:rsidRDefault="00577F26" w:rsidP="00FF258E">
            <w:pPr>
              <w:tabs>
                <w:tab w:val="left" w:pos="1701"/>
              </w:tabs>
              <w:rPr>
                <w:b/>
                <w:sz w:val="22"/>
                <w:szCs w:val="22"/>
              </w:rPr>
            </w:pPr>
          </w:p>
          <w:p w14:paraId="7E14230F" w14:textId="02F8D897" w:rsidR="00577F26" w:rsidRPr="00292DFB" w:rsidRDefault="00577F26" w:rsidP="00FF258E">
            <w:pPr>
              <w:tabs>
                <w:tab w:val="left" w:pos="1701"/>
              </w:tabs>
              <w:rPr>
                <w:sz w:val="22"/>
                <w:szCs w:val="22"/>
              </w:rPr>
            </w:pPr>
            <w:r w:rsidRPr="00292DFB">
              <w:rPr>
                <w:sz w:val="22"/>
                <w:szCs w:val="22"/>
              </w:rPr>
              <w:t>Utskottet beslutade att nästa sammanträde ska äga rum tisdagen den 2</w:t>
            </w:r>
            <w:r w:rsidR="00636306">
              <w:rPr>
                <w:sz w:val="22"/>
                <w:szCs w:val="22"/>
              </w:rPr>
              <w:t>9</w:t>
            </w:r>
            <w:r w:rsidRPr="00292DFB">
              <w:rPr>
                <w:sz w:val="22"/>
                <w:szCs w:val="22"/>
              </w:rPr>
              <w:t xml:space="preserve"> november 2022 kl. 1</w:t>
            </w:r>
            <w:r w:rsidR="001B3EF1">
              <w:rPr>
                <w:sz w:val="22"/>
                <w:szCs w:val="22"/>
              </w:rPr>
              <w:t>0</w:t>
            </w:r>
            <w:r w:rsidRPr="00292DFB">
              <w:rPr>
                <w:sz w:val="22"/>
                <w:szCs w:val="22"/>
              </w:rPr>
              <w:t>.00.</w:t>
            </w:r>
          </w:p>
          <w:p w14:paraId="6591F467" w14:textId="77777777" w:rsidR="00577F26" w:rsidRPr="00292DFB" w:rsidRDefault="00577F26" w:rsidP="00FF258E">
            <w:pPr>
              <w:widowControl/>
              <w:spacing w:after="200" w:line="280" w:lineRule="exact"/>
              <w:rPr>
                <w:sz w:val="22"/>
                <w:szCs w:val="22"/>
              </w:rPr>
            </w:pPr>
          </w:p>
          <w:p w14:paraId="2B59FA4C" w14:textId="77777777" w:rsidR="00577F26" w:rsidRPr="00292DFB" w:rsidRDefault="00577F26" w:rsidP="00FF258E">
            <w:pPr>
              <w:widowControl/>
              <w:spacing w:after="200" w:line="280" w:lineRule="exact"/>
              <w:rPr>
                <w:sz w:val="22"/>
                <w:szCs w:val="22"/>
              </w:rPr>
            </w:pPr>
          </w:p>
          <w:p w14:paraId="35E3F826" w14:textId="77777777" w:rsidR="00577F26" w:rsidRPr="00292DFB" w:rsidRDefault="00577F26" w:rsidP="00FF258E">
            <w:pPr>
              <w:pStyle w:val="Oformateradtext"/>
              <w:rPr>
                <w:rFonts w:ascii="Times New Roman" w:hAnsi="Times New Roman" w:cs="Times New Roman"/>
                <w:b/>
                <w:bCs/>
                <w:snapToGrid w:val="0"/>
                <w:szCs w:val="22"/>
              </w:rPr>
            </w:pPr>
          </w:p>
        </w:tc>
      </w:tr>
      <w:tr w:rsidR="00577F26" w:rsidRPr="00292DFB" w14:paraId="44368CD4" w14:textId="77777777" w:rsidTr="00FF258E">
        <w:tc>
          <w:tcPr>
            <w:tcW w:w="567" w:type="dxa"/>
          </w:tcPr>
          <w:p w14:paraId="538EF12B" w14:textId="77777777" w:rsidR="00577F26" w:rsidRPr="00292DFB" w:rsidRDefault="00577F26" w:rsidP="00FF258E">
            <w:pPr>
              <w:tabs>
                <w:tab w:val="left" w:pos="1701"/>
              </w:tabs>
              <w:rPr>
                <w:b/>
                <w:snapToGrid w:val="0"/>
                <w:sz w:val="22"/>
                <w:szCs w:val="22"/>
              </w:rPr>
            </w:pPr>
          </w:p>
        </w:tc>
        <w:tc>
          <w:tcPr>
            <w:tcW w:w="6946" w:type="dxa"/>
          </w:tcPr>
          <w:p w14:paraId="2DC6F1CA" w14:textId="77777777" w:rsidR="00577F26" w:rsidRPr="00292DFB" w:rsidRDefault="00577F26" w:rsidP="00FF258E">
            <w:pPr>
              <w:pStyle w:val="Oformateradtext"/>
              <w:rPr>
                <w:b/>
                <w:snapToGrid w:val="0"/>
                <w:szCs w:val="22"/>
              </w:rPr>
            </w:pPr>
          </w:p>
        </w:tc>
      </w:tr>
      <w:tr w:rsidR="00577F26" w:rsidRPr="00292DFB" w14:paraId="1ADEDBE8" w14:textId="77777777" w:rsidTr="00FF258E">
        <w:tc>
          <w:tcPr>
            <w:tcW w:w="567" w:type="dxa"/>
          </w:tcPr>
          <w:p w14:paraId="7BC56E90" w14:textId="77777777" w:rsidR="00577F26" w:rsidRPr="00292DFB" w:rsidRDefault="00577F26" w:rsidP="00FF258E">
            <w:pPr>
              <w:tabs>
                <w:tab w:val="left" w:pos="1701"/>
              </w:tabs>
              <w:rPr>
                <w:b/>
                <w:snapToGrid w:val="0"/>
                <w:sz w:val="22"/>
                <w:szCs w:val="22"/>
              </w:rPr>
            </w:pPr>
          </w:p>
        </w:tc>
        <w:tc>
          <w:tcPr>
            <w:tcW w:w="6946" w:type="dxa"/>
          </w:tcPr>
          <w:p w14:paraId="602F8A70" w14:textId="77777777" w:rsidR="00577F26" w:rsidRPr="00292DFB" w:rsidRDefault="00577F26" w:rsidP="00FF258E">
            <w:pPr>
              <w:tabs>
                <w:tab w:val="left" w:pos="1701"/>
              </w:tabs>
              <w:rPr>
                <w:snapToGrid w:val="0"/>
                <w:sz w:val="22"/>
                <w:szCs w:val="22"/>
              </w:rPr>
            </w:pPr>
          </w:p>
        </w:tc>
      </w:tr>
      <w:tr w:rsidR="00577F26" w:rsidRPr="00292DFB" w14:paraId="0686711F" w14:textId="77777777" w:rsidTr="00FF258E">
        <w:trPr>
          <w:trHeight w:val="851"/>
        </w:trPr>
        <w:tc>
          <w:tcPr>
            <w:tcW w:w="567" w:type="dxa"/>
          </w:tcPr>
          <w:p w14:paraId="72A7185D" w14:textId="77777777" w:rsidR="00577F26" w:rsidRPr="00292DFB" w:rsidRDefault="00577F26" w:rsidP="00FF258E">
            <w:pPr>
              <w:tabs>
                <w:tab w:val="left" w:pos="1701"/>
              </w:tabs>
              <w:rPr>
                <w:b/>
                <w:snapToGrid w:val="0"/>
                <w:sz w:val="22"/>
                <w:szCs w:val="22"/>
              </w:rPr>
            </w:pPr>
          </w:p>
          <w:p w14:paraId="0F5E93C3" w14:textId="77777777" w:rsidR="00577F26" w:rsidRPr="00292DFB" w:rsidRDefault="00577F26" w:rsidP="00FF258E">
            <w:pPr>
              <w:tabs>
                <w:tab w:val="left" w:pos="1701"/>
              </w:tabs>
              <w:rPr>
                <w:b/>
                <w:snapToGrid w:val="0"/>
                <w:sz w:val="22"/>
                <w:szCs w:val="22"/>
              </w:rPr>
            </w:pPr>
          </w:p>
          <w:p w14:paraId="3A574993" w14:textId="77777777" w:rsidR="00577F26" w:rsidRPr="00292DFB" w:rsidRDefault="00577F26" w:rsidP="00FF258E">
            <w:pPr>
              <w:tabs>
                <w:tab w:val="left" w:pos="1701"/>
              </w:tabs>
              <w:rPr>
                <w:b/>
                <w:snapToGrid w:val="0"/>
                <w:sz w:val="22"/>
                <w:szCs w:val="22"/>
              </w:rPr>
            </w:pPr>
          </w:p>
          <w:p w14:paraId="41AE6CE9" w14:textId="77777777" w:rsidR="00577F26" w:rsidRPr="00292DFB" w:rsidRDefault="00577F26" w:rsidP="00FF258E">
            <w:pPr>
              <w:tabs>
                <w:tab w:val="left" w:pos="1701"/>
              </w:tabs>
              <w:rPr>
                <w:b/>
                <w:snapToGrid w:val="0"/>
                <w:sz w:val="22"/>
                <w:szCs w:val="22"/>
              </w:rPr>
            </w:pPr>
          </w:p>
          <w:p w14:paraId="5B94FEAF" w14:textId="77777777" w:rsidR="00577F26" w:rsidRPr="00292DFB" w:rsidRDefault="00577F26" w:rsidP="00FF258E">
            <w:pPr>
              <w:tabs>
                <w:tab w:val="left" w:pos="1701"/>
              </w:tabs>
              <w:rPr>
                <w:b/>
                <w:snapToGrid w:val="0"/>
                <w:sz w:val="22"/>
                <w:szCs w:val="22"/>
              </w:rPr>
            </w:pPr>
          </w:p>
          <w:p w14:paraId="7DFB69D2" w14:textId="77777777" w:rsidR="00577F26" w:rsidRPr="00292DFB" w:rsidRDefault="00577F26" w:rsidP="00FF258E">
            <w:pPr>
              <w:tabs>
                <w:tab w:val="left" w:pos="1701"/>
              </w:tabs>
              <w:rPr>
                <w:b/>
                <w:snapToGrid w:val="0"/>
                <w:sz w:val="22"/>
                <w:szCs w:val="22"/>
              </w:rPr>
            </w:pPr>
          </w:p>
          <w:p w14:paraId="31178CDC" w14:textId="77777777" w:rsidR="00577F26" w:rsidRPr="00292DFB" w:rsidRDefault="00577F26" w:rsidP="00FF258E">
            <w:pPr>
              <w:tabs>
                <w:tab w:val="left" w:pos="1701"/>
              </w:tabs>
              <w:rPr>
                <w:b/>
                <w:snapToGrid w:val="0"/>
                <w:sz w:val="22"/>
                <w:szCs w:val="22"/>
              </w:rPr>
            </w:pPr>
          </w:p>
          <w:p w14:paraId="6F83993A" w14:textId="77777777" w:rsidR="00577F26" w:rsidRPr="00292DFB" w:rsidRDefault="00577F26" w:rsidP="00FF258E">
            <w:pPr>
              <w:tabs>
                <w:tab w:val="left" w:pos="1701"/>
              </w:tabs>
              <w:rPr>
                <w:b/>
                <w:snapToGrid w:val="0"/>
                <w:sz w:val="22"/>
                <w:szCs w:val="22"/>
              </w:rPr>
            </w:pPr>
          </w:p>
          <w:p w14:paraId="269A46F3" w14:textId="77777777" w:rsidR="00577F26" w:rsidRPr="00292DFB" w:rsidRDefault="00577F26" w:rsidP="00FF258E">
            <w:pPr>
              <w:tabs>
                <w:tab w:val="left" w:pos="1701"/>
              </w:tabs>
              <w:rPr>
                <w:b/>
                <w:snapToGrid w:val="0"/>
                <w:sz w:val="22"/>
                <w:szCs w:val="22"/>
              </w:rPr>
            </w:pPr>
          </w:p>
          <w:p w14:paraId="07A09BF1" w14:textId="77777777" w:rsidR="00577F26" w:rsidRPr="00292DFB" w:rsidRDefault="00577F26" w:rsidP="00FF258E">
            <w:pPr>
              <w:tabs>
                <w:tab w:val="left" w:pos="1701"/>
              </w:tabs>
              <w:rPr>
                <w:b/>
                <w:snapToGrid w:val="0"/>
                <w:sz w:val="22"/>
                <w:szCs w:val="22"/>
              </w:rPr>
            </w:pPr>
          </w:p>
          <w:p w14:paraId="378B20DA" w14:textId="77777777" w:rsidR="00577F26" w:rsidRPr="00292DFB" w:rsidRDefault="00577F26" w:rsidP="00FF258E">
            <w:pPr>
              <w:tabs>
                <w:tab w:val="left" w:pos="1701"/>
              </w:tabs>
              <w:rPr>
                <w:b/>
                <w:snapToGrid w:val="0"/>
                <w:sz w:val="22"/>
                <w:szCs w:val="22"/>
              </w:rPr>
            </w:pPr>
          </w:p>
          <w:p w14:paraId="6F781CCA" w14:textId="77777777" w:rsidR="00577F26" w:rsidRPr="00292DFB" w:rsidRDefault="00577F26" w:rsidP="00FF258E">
            <w:pPr>
              <w:tabs>
                <w:tab w:val="left" w:pos="1701"/>
              </w:tabs>
              <w:rPr>
                <w:b/>
                <w:snapToGrid w:val="0"/>
                <w:sz w:val="22"/>
                <w:szCs w:val="22"/>
              </w:rPr>
            </w:pPr>
          </w:p>
          <w:p w14:paraId="6DF56A2A" w14:textId="77777777" w:rsidR="00577F26" w:rsidRPr="00292DFB" w:rsidRDefault="00577F26" w:rsidP="00FF258E">
            <w:pPr>
              <w:tabs>
                <w:tab w:val="left" w:pos="1701"/>
              </w:tabs>
              <w:rPr>
                <w:b/>
                <w:snapToGrid w:val="0"/>
                <w:sz w:val="22"/>
                <w:szCs w:val="22"/>
              </w:rPr>
            </w:pPr>
          </w:p>
          <w:p w14:paraId="7AF6C5F7" w14:textId="77777777" w:rsidR="00577F26" w:rsidRPr="00292DFB" w:rsidRDefault="00577F26" w:rsidP="00FF258E">
            <w:pPr>
              <w:tabs>
                <w:tab w:val="left" w:pos="1701"/>
              </w:tabs>
              <w:rPr>
                <w:b/>
                <w:snapToGrid w:val="0"/>
                <w:sz w:val="22"/>
                <w:szCs w:val="22"/>
              </w:rPr>
            </w:pPr>
          </w:p>
          <w:p w14:paraId="6815868B" w14:textId="77777777" w:rsidR="00577F26" w:rsidRPr="00292DFB" w:rsidRDefault="00577F26" w:rsidP="00FF258E">
            <w:pPr>
              <w:tabs>
                <w:tab w:val="left" w:pos="1701"/>
              </w:tabs>
              <w:rPr>
                <w:b/>
                <w:snapToGrid w:val="0"/>
                <w:sz w:val="22"/>
                <w:szCs w:val="22"/>
              </w:rPr>
            </w:pPr>
          </w:p>
          <w:p w14:paraId="1CD77F67" w14:textId="77777777" w:rsidR="00577F26" w:rsidRPr="00292DFB" w:rsidRDefault="00577F26" w:rsidP="00FF258E">
            <w:pPr>
              <w:tabs>
                <w:tab w:val="left" w:pos="1701"/>
              </w:tabs>
              <w:rPr>
                <w:b/>
                <w:snapToGrid w:val="0"/>
                <w:sz w:val="22"/>
                <w:szCs w:val="22"/>
              </w:rPr>
            </w:pPr>
          </w:p>
          <w:p w14:paraId="123F6465" w14:textId="77777777" w:rsidR="00577F26" w:rsidRPr="00292DFB" w:rsidRDefault="00577F26" w:rsidP="00FF258E">
            <w:pPr>
              <w:tabs>
                <w:tab w:val="left" w:pos="1701"/>
              </w:tabs>
              <w:rPr>
                <w:b/>
                <w:snapToGrid w:val="0"/>
                <w:sz w:val="22"/>
                <w:szCs w:val="22"/>
              </w:rPr>
            </w:pPr>
          </w:p>
          <w:p w14:paraId="24FB1F3B" w14:textId="77777777" w:rsidR="00577F26" w:rsidRPr="00292DFB" w:rsidRDefault="00577F26" w:rsidP="00FF258E">
            <w:pPr>
              <w:tabs>
                <w:tab w:val="left" w:pos="1701"/>
              </w:tabs>
              <w:rPr>
                <w:b/>
                <w:snapToGrid w:val="0"/>
                <w:sz w:val="22"/>
                <w:szCs w:val="22"/>
              </w:rPr>
            </w:pPr>
          </w:p>
          <w:p w14:paraId="50E9D82C" w14:textId="77777777" w:rsidR="00577F26" w:rsidRPr="00292DFB" w:rsidRDefault="00577F26" w:rsidP="00FF258E">
            <w:pPr>
              <w:tabs>
                <w:tab w:val="left" w:pos="1701"/>
              </w:tabs>
              <w:rPr>
                <w:b/>
                <w:snapToGrid w:val="0"/>
                <w:sz w:val="22"/>
                <w:szCs w:val="22"/>
              </w:rPr>
            </w:pPr>
          </w:p>
          <w:p w14:paraId="3617039A" w14:textId="77777777" w:rsidR="00577F26" w:rsidRPr="00292DFB" w:rsidRDefault="00577F26" w:rsidP="00FF258E">
            <w:pPr>
              <w:tabs>
                <w:tab w:val="left" w:pos="1701"/>
              </w:tabs>
              <w:rPr>
                <w:b/>
                <w:snapToGrid w:val="0"/>
                <w:sz w:val="22"/>
                <w:szCs w:val="22"/>
              </w:rPr>
            </w:pPr>
          </w:p>
          <w:p w14:paraId="2BF1E8D6" w14:textId="77777777" w:rsidR="00577F26" w:rsidRPr="00292DFB" w:rsidRDefault="00577F26" w:rsidP="00FF258E">
            <w:pPr>
              <w:tabs>
                <w:tab w:val="left" w:pos="1701"/>
              </w:tabs>
              <w:rPr>
                <w:b/>
                <w:snapToGrid w:val="0"/>
                <w:sz w:val="22"/>
                <w:szCs w:val="22"/>
              </w:rPr>
            </w:pPr>
          </w:p>
          <w:p w14:paraId="7A7E34ED" w14:textId="77777777" w:rsidR="00577F26" w:rsidRPr="00292DFB" w:rsidRDefault="00577F26" w:rsidP="00FF258E">
            <w:pPr>
              <w:tabs>
                <w:tab w:val="left" w:pos="1701"/>
              </w:tabs>
              <w:rPr>
                <w:b/>
                <w:snapToGrid w:val="0"/>
                <w:sz w:val="22"/>
                <w:szCs w:val="22"/>
              </w:rPr>
            </w:pPr>
          </w:p>
          <w:p w14:paraId="56C16A79" w14:textId="77777777" w:rsidR="00577F26" w:rsidRPr="00292DFB" w:rsidRDefault="00577F26" w:rsidP="00FF258E">
            <w:pPr>
              <w:tabs>
                <w:tab w:val="left" w:pos="1701"/>
              </w:tabs>
              <w:rPr>
                <w:b/>
                <w:snapToGrid w:val="0"/>
                <w:sz w:val="22"/>
                <w:szCs w:val="22"/>
              </w:rPr>
            </w:pPr>
          </w:p>
          <w:p w14:paraId="551E7FE5" w14:textId="77777777" w:rsidR="00577F26" w:rsidRPr="00292DFB" w:rsidRDefault="00577F26" w:rsidP="00FF258E">
            <w:pPr>
              <w:tabs>
                <w:tab w:val="left" w:pos="1701"/>
              </w:tabs>
              <w:rPr>
                <w:b/>
                <w:snapToGrid w:val="0"/>
                <w:sz w:val="22"/>
                <w:szCs w:val="22"/>
              </w:rPr>
            </w:pPr>
          </w:p>
          <w:p w14:paraId="0E1D492A" w14:textId="77777777" w:rsidR="00577F26" w:rsidRPr="00292DFB" w:rsidRDefault="00577F26" w:rsidP="00FF258E">
            <w:pPr>
              <w:tabs>
                <w:tab w:val="left" w:pos="1701"/>
              </w:tabs>
              <w:rPr>
                <w:b/>
                <w:snapToGrid w:val="0"/>
                <w:sz w:val="22"/>
                <w:szCs w:val="22"/>
              </w:rPr>
            </w:pPr>
          </w:p>
          <w:p w14:paraId="148C82FD" w14:textId="77777777" w:rsidR="00577F26" w:rsidRPr="00292DFB" w:rsidRDefault="00577F26" w:rsidP="00FF258E">
            <w:pPr>
              <w:tabs>
                <w:tab w:val="left" w:pos="1701"/>
              </w:tabs>
              <w:rPr>
                <w:b/>
                <w:snapToGrid w:val="0"/>
                <w:sz w:val="22"/>
                <w:szCs w:val="22"/>
              </w:rPr>
            </w:pPr>
          </w:p>
          <w:p w14:paraId="6D89D642" w14:textId="77777777" w:rsidR="00577F26" w:rsidRPr="00292DFB" w:rsidRDefault="00577F26" w:rsidP="00FF258E">
            <w:pPr>
              <w:tabs>
                <w:tab w:val="left" w:pos="1701"/>
              </w:tabs>
              <w:rPr>
                <w:b/>
                <w:snapToGrid w:val="0"/>
                <w:sz w:val="22"/>
                <w:szCs w:val="22"/>
              </w:rPr>
            </w:pPr>
          </w:p>
          <w:p w14:paraId="5BEDA493" w14:textId="77777777" w:rsidR="00577F26" w:rsidRPr="00292DFB" w:rsidRDefault="00577F26" w:rsidP="00FF258E">
            <w:pPr>
              <w:tabs>
                <w:tab w:val="left" w:pos="1701"/>
              </w:tabs>
              <w:rPr>
                <w:b/>
                <w:snapToGrid w:val="0"/>
                <w:sz w:val="22"/>
                <w:szCs w:val="22"/>
              </w:rPr>
            </w:pPr>
          </w:p>
          <w:p w14:paraId="46CF8C52" w14:textId="77777777" w:rsidR="00577F26" w:rsidRPr="00292DFB" w:rsidRDefault="00577F26" w:rsidP="00FF258E">
            <w:pPr>
              <w:tabs>
                <w:tab w:val="left" w:pos="1701"/>
              </w:tabs>
              <w:rPr>
                <w:b/>
                <w:snapToGrid w:val="0"/>
                <w:sz w:val="22"/>
                <w:szCs w:val="22"/>
              </w:rPr>
            </w:pPr>
          </w:p>
          <w:p w14:paraId="2346F55D" w14:textId="77777777" w:rsidR="00577F26" w:rsidRPr="00292DFB" w:rsidRDefault="00577F26" w:rsidP="00FF258E">
            <w:pPr>
              <w:tabs>
                <w:tab w:val="left" w:pos="1701"/>
              </w:tabs>
              <w:rPr>
                <w:b/>
                <w:snapToGrid w:val="0"/>
                <w:sz w:val="22"/>
                <w:szCs w:val="22"/>
              </w:rPr>
            </w:pPr>
            <w:r w:rsidRPr="00292DFB">
              <w:rPr>
                <w:b/>
                <w:snapToGrid w:val="0"/>
                <w:sz w:val="22"/>
                <w:szCs w:val="22"/>
              </w:rPr>
              <w:t xml:space="preserve">    </w:t>
            </w:r>
          </w:p>
          <w:p w14:paraId="743FC6E0" w14:textId="77777777" w:rsidR="00577F26" w:rsidRPr="00292DFB" w:rsidRDefault="00577F26" w:rsidP="00FF258E">
            <w:pPr>
              <w:tabs>
                <w:tab w:val="left" w:pos="1701"/>
              </w:tabs>
              <w:rPr>
                <w:b/>
                <w:snapToGrid w:val="0"/>
                <w:sz w:val="22"/>
                <w:szCs w:val="22"/>
              </w:rPr>
            </w:pPr>
          </w:p>
          <w:p w14:paraId="4DBD7443" w14:textId="77777777" w:rsidR="00577F26" w:rsidRPr="00292DFB" w:rsidRDefault="00577F26" w:rsidP="00FF258E">
            <w:pPr>
              <w:tabs>
                <w:tab w:val="left" w:pos="1701"/>
              </w:tabs>
              <w:rPr>
                <w:b/>
                <w:snapToGrid w:val="0"/>
                <w:sz w:val="22"/>
                <w:szCs w:val="22"/>
              </w:rPr>
            </w:pPr>
          </w:p>
          <w:p w14:paraId="782215F6" w14:textId="77777777" w:rsidR="00577F26" w:rsidRPr="00292DFB" w:rsidRDefault="00577F26" w:rsidP="00FF258E">
            <w:pPr>
              <w:tabs>
                <w:tab w:val="left" w:pos="1701"/>
              </w:tabs>
              <w:rPr>
                <w:b/>
                <w:snapToGrid w:val="0"/>
                <w:sz w:val="22"/>
                <w:szCs w:val="22"/>
              </w:rPr>
            </w:pPr>
          </w:p>
          <w:p w14:paraId="4EB18696" w14:textId="77777777" w:rsidR="00577F26" w:rsidRPr="00292DFB" w:rsidRDefault="00577F26" w:rsidP="00FF258E">
            <w:pPr>
              <w:tabs>
                <w:tab w:val="left" w:pos="1701"/>
              </w:tabs>
              <w:rPr>
                <w:b/>
                <w:snapToGrid w:val="0"/>
                <w:sz w:val="22"/>
                <w:szCs w:val="22"/>
              </w:rPr>
            </w:pPr>
          </w:p>
          <w:p w14:paraId="0B850B07" w14:textId="77777777" w:rsidR="00577F26" w:rsidRPr="00292DFB" w:rsidRDefault="00577F26" w:rsidP="00FF258E">
            <w:pPr>
              <w:tabs>
                <w:tab w:val="left" w:pos="1701"/>
              </w:tabs>
              <w:rPr>
                <w:b/>
                <w:snapToGrid w:val="0"/>
                <w:sz w:val="22"/>
                <w:szCs w:val="22"/>
              </w:rPr>
            </w:pPr>
            <w:r w:rsidRPr="00292DFB">
              <w:rPr>
                <w:b/>
                <w:snapToGrid w:val="0"/>
                <w:sz w:val="22"/>
                <w:szCs w:val="22"/>
              </w:rPr>
              <w:t xml:space="preserve"> </w:t>
            </w:r>
          </w:p>
        </w:tc>
        <w:tc>
          <w:tcPr>
            <w:tcW w:w="6946" w:type="dxa"/>
          </w:tcPr>
          <w:p w14:paraId="0A04B98D" w14:textId="77777777" w:rsidR="00577F26" w:rsidRPr="00292DFB" w:rsidRDefault="00577F26" w:rsidP="00FF258E">
            <w:pPr>
              <w:tabs>
                <w:tab w:val="left" w:pos="1701"/>
              </w:tabs>
              <w:rPr>
                <w:sz w:val="22"/>
                <w:szCs w:val="22"/>
              </w:rPr>
            </w:pPr>
          </w:p>
          <w:p w14:paraId="724F1DED" w14:textId="77777777" w:rsidR="00577F26" w:rsidRPr="00292DFB" w:rsidRDefault="00577F26" w:rsidP="00FF258E">
            <w:pPr>
              <w:tabs>
                <w:tab w:val="left" w:pos="1701"/>
              </w:tabs>
              <w:rPr>
                <w:sz w:val="22"/>
                <w:szCs w:val="22"/>
              </w:rPr>
            </w:pPr>
          </w:p>
          <w:p w14:paraId="603C06C8" w14:textId="77777777" w:rsidR="00577F26" w:rsidRPr="00292DFB" w:rsidRDefault="00577F26" w:rsidP="00FF258E">
            <w:pPr>
              <w:tabs>
                <w:tab w:val="left" w:pos="1701"/>
              </w:tabs>
              <w:rPr>
                <w:sz w:val="22"/>
                <w:szCs w:val="22"/>
              </w:rPr>
            </w:pPr>
            <w:r w:rsidRPr="00292DFB">
              <w:rPr>
                <w:sz w:val="22"/>
                <w:szCs w:val="22"/>
              </w:rPr>
              <w:t>Vid protokollet</w:t>
            </w:r>
          </w:p>
          <w:p w14:paraId="79DCFFE5" w14:textId="77777777" w:rsidR="00577F26" w:rsidRPr="00292DFB" w:rsidRDefault="00577F26" w:rsidP="00FF258E">
            <w:pPr>
              <w:tabs>
                <w:tab w:val="left" w:pos="1701"/>
              </w:tabs>
              <w:rPr>
                <w:b/>
                <w:sz w:val="22"/>
                <w:szCs w:val="22"/>
              </w:rPr>
            </w:pPr>
          </w:p>
          <w:p w14:paraId="2E51DAD8" w14:textId="77777777" w:rsidR="00577F26" w:rsidRPr="00292DFB" w:rsidRDefault="00577F26" w:rsidP="00FF258E">
            <w:pPr>
              <w:tabs>
                <w:tab w:val="left" w:pos="1701"/>
              </w:tabs>
              <w:rPr>
                <w:b/>
                <w:sz w:val="22"/>
                <w:szCs w:val="22"/>
              </w:rPr>
            </w:pPr>
          </w:p>
          <w:p w14:paraId="1545649E" w14:textId="4FC0B73A" w:rsidR="00577F26" w:rsidRPr="00292DFB" w:rsidRDefault="00577F26" w:rsidP="00FF258E">
            <w:pPr>
              <w:tabs>
                <w:tab w:val="left" w:pos="1701"/>
              </w:tabs>
              <w:rPr>
                <w:sz w:val="22"/>
                <w:szCs w:val="22"/>
              </w:rPr>
            </w:pPr>
          </w:p>
          <w:p w14:paraId="2231B434" w14:textId="77777777" w:rsidR="00577F26" w:rsidRPr="00292DFB" w:rsidRDefault="00577F26" w:rsidP="00FF258E">
            <w:pPr>
              <w:tabs>
                <w:tab w:val="left" w:pos="1701"/>
              </w:tabs>
              <w:rPr>
                <w:sz w:val="22"/>
                <w:szCs w:val="22"/>
              </w:rPr>
            </w:pPr>
          </w:p>
          <w:p w14:paraId="67DAE835" w14:textId="77777777" w:rsidR="00577F26" w:rsidRPr="00292DFB" w:rsidRDefault="00577F26" w:rsidP="00FF258E">
            <w:pPr>
              <w:tabs>
                <w:tab w:val="left" w:pos="1701"/>
              </w:tabs>
              <w:rPr>
                <w:sz w:val="22"/>
                <w:szCs w:val="22"/>
              </w:rPr>
            </w:pPr>
          </w:p>
          <w:p w14:paraId="540B37BB" w14:textId="11A3C816" w:rsidR="00577F26" w:rsidRPr="00292DFB" w:rsidRDefault="00577F26" w:rsidP="00FF258E">
            <w:pPr>
              <w:tabs>
                <w:tab w:val="left" w:pos="1701"/>
              </w:tabs>
              <w:rPr>
                <w:sz w:val="22"/>
                <w:szCs w:val="22"/>
              </w:rPr>
            </w:pPr>
            <w:r w:rsidRPr="00292DFB">
              <w:rPr>
                <w:sz w:val="22"/>
                <w:szCs w:val="22"/>
              </w:rPr>
              <w:t>Justeras den 2</w:t>
            </w:r>
            <w:r w:rsidR="00636306">
              <w:rPr>
                <w:sz w:val="22"/>
                <w:szCs w:val="22"/>
              </w:rPr>
              <w:t>9</w:t>
            </w:r>
            <w:r w:rsidRPr="00292DFB">
              <w:rPr>
                <w:sz w:val="22"/>
                <w:szCs w:val="22"/>
              </w:rPr>
              <w:t xml:space="preserve"> </w:t>
            </w:r>
            <w:r>
              <w:rPr>
                <w:sz w:val="22"/>
                <w:szCs w:val="22"/>
              </w:rPr>
              <w:t>novem</w:t>
            </w:r>
            <w:r w:rsidRPr="00292DFB">
              <w:rPr>
                <w:sz w:val="22"/>
                <w:szCs w:val="22"/>
              </w:rPr>
              <w:t>ber 2022</w:t>
            </w:r>
          </w:p>
          <w:p w14:paraId="4D65F226" w14:textId="77777777" w:rsidR="00577F26" w:rsidRPr="00292DFB" w:rsidRDefault="00577F26" w:rsidP="00FF258E">
            <w:pPr>
              <w:tabs>
                <w:tab w:val="left" w:pos="1701"/>
              </w:tabs>
              <w:rPr>
                <w:sz w:val="22"/>
                <w:szCs w:val="22"/>
              </w:rPr>
            </w:pPr>
          </w:p>
          <w:p w14:paraId="5B078740" w14:textId="77777777" w:rsidR="00577F26" w:rsidRPr="00292DFB" w:rsidRDefault="00577F26" w:rsidP="00FF258E">
            <w:pPr>
              <w:tabs>
                <w:tab w:val="left" w:pos="1701"/>
              </w:tabs>
              <w:rPr>
                <w:sz w:val="22"/>
                <w:szCs w:val="22"/>
              </w:rPr>
            </w:pPr>
          </w:p>
          <w:p w14:paraId="4ADC8E39" w14:textId="77777777" w:rsidR="00577F26" w:rsidRPr="00292DFB" w:rsidRDefault="00577F26" w:rsidP="00FF258E">
            <w:pPr>
              <w:tabs>
                <w:tab w:val="left" w:pos="1701"/>
              </w:tabs>
              <w:rPr>
                <w:sz w:val="22"/>
                <w:szCs w:val="22"/>
              </w:rPr>
            </w:pPr>
          </w:p>
          <w:p w14:paraId="0A48F0BC" w14:textId="77777777" w:rsidR="00577F26" w:rsidRPr="00292DFB" w:rsidRDefault="00577F26" w:rsidP="00FF258E">
            <w:pPr>
              <w:tabs>
                <w:tab w:val="left" w:pos="1701"/>
              </w:tabs>
              <w:rPr>
                <w:sz w:val="22"/>
                <w:szCs w:val="22"/>
              </w:rPr>
            </w:pPr>
          </w:p>
          <w:p w14:paraId="2B480F79" w14:textId="77777777" w:rsidR="00577F26" w:rsidRPr="00292DFB" w:rsidRDefault="00577F26" w:rsidP="00FF258E">
            <w:pPr>
              <w:tabs>
                <w:tab w:val="left" w:pos="1701"/>
              </w:tabs>
              <w:rPr>
                <w:b/>
                <w:sz w:val="22"/>
                <w:szCs w:val="22"/>
              </w:rPr>
            </w:pPr>
            <w:r w:rsidRPr="00292DFB">
              <w:rPr>
                <w:sz w:val="22"/>
                <w:szCs w:val="22"/>
              </w:rPr>
              <w:t>Ulrika Heie</w:t>
            </w:r>
          </w:p>
        </w:tc>
      </w:tr>
      <w:tr w:rsidR="00577F26" w:rsidRPr="00292DFB" w14:paraId="1A87F841" w14:textId="77777777" w:rsidTr="00FF258E">
        <w:trPr>
          <w:trHeight w:val="80"/>
        </w:trPr>
        <w:tc>
          <w:tcPr>
            <w:tcW w:w="567" w:type="dxa"/>
          </w:tcPr>
          <w:p w14:paraId="6EAE75C5" w14:textId="77777777" w:rsidR="00577F26" w:rsidRPr="00292DFB" w:rsidRDefault="00577F26" w:rsidP="00FF258E">
            <w:pPr>
              <w:tabs>
                <w:tab w:val="left" w:pos="1701"/>
              </w:tabs>
              <w:rPr>
                <w:b/>
                <w:snapToGrid w:val="0"/>
                <w:sz w:val="22"/>
                <w:szCs w:val="22"/>
              </w:rPr>
            </w:pPr>
          </w:p>
          <w:p w14:paraId="35E8F9A8" w14:textId="77777777" w:rsidR="00577F26" w:rsidRPr="00292DFB" w:rsidRDefault="00577F26" w:rsidP="00FF258E">
            <w:pPr>
              <w:tabs>
                <w:tab w:val="left" w:pos="1701"/>
              </w:tabs>
              <w:rPr>
                <w:b/>
                <w:snapToGrid w:val="0"/>
                <w:sz w:val="22"/>
                <w:szCs w:val="22"/>
              </w:rPr>
            </w:pPr>
          </w:p>
        </w:tc>
        <w:tc>
          <w:tcPr>
            <w:tcW w:w="6946" w:type="dxa"/>
          </w:tcPr>
          <w:p w14:paraId="45BE7BDF" w14:textId="77777777" w:rsidR="00577F26" w:rsidRPr="00292DFB" w:rsidRDefault="00577F26" w:rsidP="00FF258E">
            <w:pPr>
              <w:tabs>
                <w:tab w:val="left" w:pos="1701"/>
              </w:tabs>
              <w:rPr>
                <w:b/>
                <w:snapToGrid w:val="0"/>
                <w:sz w:val="22"/>
                <w:szCs w:val="22"/>
              </w:rPr>
            </w:pPr>
          </w:p>
          <w:p w14:paraId="37A2EBAF" w14:textId="77777777" w:rsidR="00577F26" w:rsidRPr="00292DFB" w:rsidRDefault="00577F26" w:rsidP="00FF258E">
            <w:pPr>
              <w:tabs>
                <w:tab w:val="left" w:pos="1701"/>
              </w:tabs>
              <w:rPr>
                <w:b/>
                <w:snapToGrid w:val="0"/>
                <w:sz w:val="22"/>
                <w:szCs w:val="22"/>
              </w:rPr>
            </w:pPr>
          </w:p>
          <w:p w14:paraId="003871F8" w14:textId="77777777" w:rsidR="00577F26" w:rsidRPr="00292DFB" w:rsidRDefault="00577F26" w:rsidP="00FF258E">
            <w:pPr>
              <w:tabs>
                <w:tab w:val="left" w:pos="1701"/>
              </w:tabs>
              <w:rPr>
                <w:b/>
                <w:snapToGrid w:val="0"/>
                <w:sz w:val="22"/>
                <w:szCs w:val="22"/>
              </w:rPr>
            </w:pPr>
          </w:p>
          <w:p w14:paraId="1078DEF5" w14:textId="77777777" w:rsidR="00577F26" w:rsidRPr="00292DFB" w:rsidRDefault="00577F26" w:rsidP="00FF258E">
            <w:pPr>
              <w:tabs>
                <w:tab w:val="left" w:pos="1701"/>
              </w:tabs>
              <w:rPr>
                <w:b/>
                <w:snapToGrid w:val="0"/>
                <w:sz w:val="22"/>
                <w:szCs w:val="22"/>
              </w:rPr>
            </w:pPr>
          </w:p>
          <w:p w14:paraId="080E28C3" w14:textId="77777777" w:rsidR="00577F26" w:rsidRPr="00292DFB" w:rsidRDefault="00577F26" w:rsidP="00FF258E">
            <w:pPr>
              <w:tabs>
                <w:tab w:val="left" w:pos="1701"/>
              </w:tabs>
              <w:rPr>
                <w:b/>
                <w:snapToGrid w:val="0"/>
                <w:sz w:val="22"/>
                <w:szCs w:val="22"/>
              </w:rPr>
            </w:pPr>
          </w:p>
          <w:p w14:paraId="223E74D3" w14:textId="77777777" w:rsidR="00577F26" w:rsidRPr="00292DFB" w:rsidRDefault="00577F26" w:rsidP="00FF258E">
            <w:pPr>
              <w:tabs>
                <w:tab w:val="left" w:pos="1701"/>
              </w:tabs>
              <w:rPr>
                <w:b/>
                <w:snapToGrid w:val="0"/>
                <w:sz w:val="22"/>
                <w:szCs w:val="22"/>
              </w:rPr>
            </w:pPr>
          </w:p>
          <w:p w14:paraId="51148039" w14:textId="77777777" w:rsidR="00577F26" w:rsidRPr="00292DFB" w:rsidRDefault="00577F26" w:rsidP="00FF258E">
            <w:pPr>
              <w:tabs>
                <w:tab w:val="left" w:pos="1701"/>
              </w:tabs>
              <w:rPr>
                <w:b/>
                <w:snapToGrid w:val="0"/>
                <w:sz w:val="22"/>
                <w:szCs w:val="22"/>
              </w:rPr>
            </w:pPr>
          </w:p>
        </w:tc>
      </w:tr>
    </w:tbl>
    <w:p w14:paraId="6D4B9E84" w14:textId="77777777" w:rsidR="00577F26" w:rsidRPr="00292DFB" w:rsidRDefault="00577F26" w:rsidP="00577F26">
      <w:pPr>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577F26" w:rsidRPr="00292DFB" w14:paraId="6BD7828A" w14:textId="77777777" w:rsidTr="00FF258E">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090D240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292DFB">
              <w:rPr>
                <w:b/>
                <w:sz w:val="22"/>
                <w:szCs w:val="22"/>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582C77A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292DFB">
              <w:rPr>
                <w:b/>
                <w:sz w:val="22"/>
                <w:szCs w:val="22"/>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3CF77B0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sz w:val="22"/>
                <w:szCs w:val="22"/>
              </w:rPr>
              <w:t>Bilaga 1 till protokoll</w:t>
            </w:r>
            <w:r w:rsidRPr="00292DFB">
              <w:rPr>
                <w:sz w:val="22"/>
                <w:szCs w:val="22"/>
              </w:rPr>
              <w:t xml:space="preserve"> </w:t>
            </w:r>
          </w:p>
          <w:p w14:paraId="7D381701" w14:textId="4EBD3919"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sz w:val="22"/>
                <w:szCs w:val="22"/>
              </w:rPr>
              <w:t>2022/23:</w:t>
            </w:r>
            <w:r w:rsidR="00636306">
              <w:rPr>
                <w:b/>
                <w:sz w:val="22"/>
                <w:szCs w:val="22"/>
              </w:rPr>
              <w:t>6</w:t>
            </w:r>
          </w:p>
        </w:tc>
      </w:tr>
      <w:tr w:rsidR="00577F26" w:rsidRPr="00292DFB" w14:paraId="6F807F52" w14:textId="77777777" w:rsidTr="00FF258E">
        <w:trPr>
          <w:cantSplit/>
        </w:trPr>
        <w:tc>
          <w:tcPr>
            <w:tcW w:w="3433" w:type="dxa"/>
            <w:gridSpan w:val="2"/>
            <w:tcBorders>
              <w:top w:val="single" w:sz="6" w:space="0" w:color="auto"/>
              <w:left w:val="single" w:sz="6" w:space="0" w:color="auto"/>
              <w:bottom w:val="single" w:sz="6" w:space="0" w:color="auto"/>
              <w:right w:val="single" w:sz="6" w:space="0" w:color="auto"/>
            </w:tcBorders>
          </w:tcPr>
          <w:p w14:paraId="45B7C7A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3673B560" w14:textId="684C810E"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 xml:space="preserve">§ </w:t>
            </w:r>
            <w:proofErr w:type="gramStart"/>
            <w:r w:rsidRPr="00292DFB">
              <w:rPr>
                <w:sz w:val="22"/>
                <w:szCs w:val="22"/>
              </w:rPr>
              <w:t>1-</w:t>
            </w:r>
            <w:r w:rsidR="001B3EF1">
              <w:rPr>
                <w:sz w:val="22"/>
                <w:szCs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001FDF1" w14:textId="71773C7A"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w:t>
            </w:r>
            <w:proofErr w:type="gramStart"/>
            <w:r>
              <w:rPr>
                <w:sz w:val="22"/>
                <w:szCs w:val="22"/>
              </w:rPr>
              <w:t>4-5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3777C6C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111A3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02818C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4D4B983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681B044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577F26" w:rsidRPr="00292DFB" w14:paraId="02152927" w14:textId="77777777" w:rsidTr="00FF258E">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2FA150F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5AAC0E6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292DFB">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5B0D31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B9E0A9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90A284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77C8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0963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1FE9F2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02C94C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4689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C473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185AA6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FE80B7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40B9A7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C3255E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577F26" w:rsidRPr="00292DFB" w14:paraId="5FEBE9C2"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0D8682E" w14:textId="77777777" w:rsidR="00577F26" w:rsidRPr="00292DFB" w:rsidRDefault="00577F26" w:rsidP="00FF258E">
            <w:pPr>
              <w:rPr>
                <w:i/>
                <w:iCs/>
                <w:sz w:val="22"/>
                <w:szCs w:val="22"/>
                <w:lang w:val="en-US"/>
              </w:rPr>
            </w:pPr>
            <w:r w:rsidRPr="00292DFB">
              <w:rPr>
                <w:sz w:val="22"/>
                <w:szCs w:val="22"/>
              </w:rPr>
              <w:t xml:space="preserve">Ulrika Heie (C) </w:t>
            </w:r>
            <w:r w:rsidRPr="00292DFB">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09216A3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292DFB">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1F528C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52A2EB9" w14:textId="0657F6DB"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0E4F1F6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73EAF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08C81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9F0D8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79F045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76152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15948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9F04E2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2F2BD6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558073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D19555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1E80853A"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8739AAE" w14:textId="77777777" w:rsidR="00577F26" w:rsidRPr="00292DFB" w:rsidRDefault="00577F26" w:rsidP="00FF258E">
            <w:pPr>
              <w:rPr>
                <w:i/>
                <w:iCs/>
                <w:sz w:val="22"/>
                <w:szCs w:val="22"/>
                <w:lang w:val="en-US"/>
              </w:rPr>
            </w:pPr>
            <w:r w:rsidRPr="00292DFB">
              <w:rPr>
                <w:sz w:val="22"/>
                <w:szCs w:val="22"/>
                <w:lang w:val="en-US"/>
              </w:rPr>
              <w:t xml:space="preserve">Thomas Morell (SD) </w:t>
            </w:r>
            <w:r w:rsidRPr="00292DFB">
              <w:rPr>
                <w:i/>
                <w:iCs/>
                <w:sz w:val="22"/>
                <w:szCs w:val="22"/>
                <w:lang w:val="en-US"/>
              </w:rPr>
              <w:t xml:space="preserve">vice </w:t>
            </w:r>
            <w:proofErr w:type="spellStart"/>
            <w:r w:rsidRPr="00292DFB">
              <w:rPr>
                <w:i/>
                <w:iCs/>
                <w:sz w:val="22"/>
                <w:szCs w:val="22"/>
                <w:lang w:val="en-US"/>
              </w:rPr>
              <w:t>ordf</w:t>
            </w:r>
            <w:proofErr w:type="spellEnd"/>
            <w:r w:rsidRPr="00292DFB">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0601F1F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292DFB">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AB26E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7FF636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B951BD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59F4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05B3D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5D0CA6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5F2551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B85D6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E41BC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50A4F3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78E24C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326F0A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7EA9C7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58C13354"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4383C44F" w14:textId="77777777" w:rsidR="00577F26" w:rsidRPr="00292DFB" w:rsidRDefault="00577F26" w:rsidP="00FF258E">
            <w:pPr>
              <w:rPr>
                <w:color w:val="000000"/>
                <w:sz w:val="22"/>
                <w:szCs w:val="22"/>
                <w:lang w:val="en-US"/>
              </w:rPr>
            </w:pPr>
            <w:r w:rsidRPr="00292DFB">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310ED40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292DFB">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20E9F04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49B2DF47" w14:textId="77A5DDA3"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6E2C95A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542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E5616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7DD7379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447D518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6ADC3F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43DAB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D2A34E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573BA7D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26A349D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61536E7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577F26" w:rsidRPr="00292DFB" w14:paraId="48AE5B65"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6DAF988" w14:textId="77777777" w:rsidR="00577F26" w:rsidRPr="00292DFB" w:rsidRDefault="00577F26" w:rsidP="00FF258E">
            <w:pPr>
              <w:rPr>
                <w:sz w:val="22"/>
                <w:szCs w:val="22"/>
                <w:lang w:val="en-US"/>
              </w:rPr>
            </w:pPr>
            <w:r w:rsidRPr="00292DFB">
              <w:rPr>
                <w:sz w:val="22"/>
                <w:szCs w:val="22"/>
                <w:lang w:val="en-US"/>
              </w:rPr>
              <w:t>Maria Stockhaus (M)</w:t>
            </w:r>
          </w:p>
        </w:tc>
        <w:tc>
          <w:tcPr>
            <w:tcW w:w="355" w:type="dxa"/>
            <w:tcBorders>
              <w:top w:val="single" w:sz="6" w:space="0" w:color="auto"/>
              <w:left w:val="single" w:sz="6" w:space="0" w:color="auto"/>
              <w:bottom w:val="single" w:sz="6" w:space="0" w:color="auto"/>
              <w:right w:val="single" w:sz="6" w:space="0" w:color="auto"/>
            </w:tcBorders>
          </w:tcPr>
          <w:p w14:paraId="19A38BF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292DFB">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23DF12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D593E43" w14:textId="3134AB41"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33B642B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295C8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CFE49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D8223C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4A3E48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8321A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AFD5B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FA7C97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2E7D1B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2650EE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9F9A15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3B65FCCE"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63F509A8" w14:textId="77777777" w:rsidR="00577F26" w:rsidRPr="00292DFB" w:rsidRDefault="00577F26" w:rsidP="00FF258E">
            <w:pPr>
              <w:rPr>
                <w:sz w:val="22"/>
                <w:szCs w:val="22"/>
                <w:lang w:val="en-US"/>
              </w:rPr>
            </w:pPr>
            <w:r w:rsidRPr="00292DFB">
              <w:rPr>
                <w:sz w:val="22"/>
                <w:szCs w:val="22"/>
                <w:lang w:val="en-US"/>
              </w:rPr>
              <w:lastRenderedPageBreak/>
              <w:t>Mattias Ottosson (S)</w:t>
            </w:r>
          </w:p>
        </w:tc>
        <w:tc>
          <w:tcPr>
            <w:tcW w:w="355" w:type="dxa"/>
            <w:tcBorders>
              <w:top w:val="single" w:sz="6" w:space="0" w:color="auto"/>
              <w:left w:val="single" w:sz="6" w:space="0" w:color="auto"/>
              <w:bottom w:val="single" w:sz="6" w:space="0" w:color="auto"/>
              <w:right w:val="single" w:sz="6" w:space="0" w:color="auto"/>
            </w:tcBorders>
          </w:tcPr>
          <w:p w14:paraId="4A80555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292DFB">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55AB6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99CE030" w14:textId="4C9AABF6"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2251688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22F94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C0E4A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311347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617540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FEBE3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D36C7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3F4E51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504ED8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91A50E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19E927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08F4D5C5"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2A0444D" w14:textId="77777777" w:rsidR="00577F26" w:rsidRPr="00292DFB" w:rsidRDefault="00577F26" w:rsidP="00FF258E">
            <w:pPr>
              <w:rPr>
                <w:sz w:val="22"/>
                <w:szCs w:val="22"/>
              </w:rPr>
            </w:pPr>
            <w:r w:rsidRPr="00292DFB">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69691EA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C8EC7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724733D" w14:textId="64C3E3EB"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C65B51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2098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5554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1F4F2E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D16B87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0A54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2213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C7FFA7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4B9754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9D45BB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2D037A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762E68AB"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33B9ABF4" w14:textId="77777777" w:rsidR="00577F26" w:rsidRPr="00292DFB" w:rsidRDefault="00577F26" w:rsidP="00FF258E">
            <w:pPr>
              <w:rPr>
                <w:sz w:val="22"/>
                <w:szCs w:val="22"/>
                <w:lang w:val="en-US"/>
              </w:rPr>
            </w:pPr>
            <w:r w:rsidRPr="00292DFB">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750681C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AC96B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91E417F" w14:textId="4A0B8942"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8C3714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DD062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21F2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1B2B16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F4B9A4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6A469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22326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4F420F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4A261A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489120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98609B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26E14A78" w14:textId="77777777" w:rsidTr="00FF258E">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6D72701D" w14:textId="77777777" w:rsidR="00577F26" w:rsidRPr="00292DFB" w:rsidRDefault="00577F26" w:rsidP="00FF258E">
            <w:pPr>
              <w:rPr>
                <w:sz w:val="22"/>
                <w:szCs w:val="22"/>
              </w:rPr>
            </w:pPr>
            <w:r w:rsidRPr="00292DFB">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5A43FC7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D38A19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09CFC13" w14:textId="379D8F7B"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17F181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B936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3B1F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12F78D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53B5D9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25E6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B276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6D23E9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AB79BA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0DB25B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2439CB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60FDF39E" w14:textId="77777777" w:rsidTr="00FF258E">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2BF29F02" w14:textId="77777777" w:rsidR="00577F26" w:rsidRPr="00292DFB" w:rsidRDefault="00577F26" w:rsidP="00FF258E">
            <w:pPr>
              <w:rPr>
                <w:sz w:val="22"/>
                <w:szCs w:val="22"/>
              </w:rPr>
            </w:pPr>
            <w:r w:rsidRPr="00292DFB">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15CAD92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9ADA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28866AC" w14:textId="329627BE"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5D7770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E174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86B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770BE0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B36E35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B6CE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E730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4A080F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C80ED0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913240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E5AEB3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6E83BDFE"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977EA6A" w14:textId="77777777" w:rsidR="00577F26" w:rsidRPr="00292DFB" w:rsidRDefault="00577F26" w:rsidP="00FF258E">
            <w:pPr>
              <w:rPr>
                <w:sz w:val="22"/>
                <w:szCs w:val="22"/>
              </w:rPr>
            </w:pPr>
            <w:r w:rsidRPr="00292DFB">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58689B3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170AA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F00B708" w14:textId="457F777E"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97A8C3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2F44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42F64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BEEE6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70D74C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5933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D832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F0DC87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ED0276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284F17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130218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4B935970"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4F1CAAB7" w14:textId="77777777" w:rsidR="00577F26" w:rsidRPr="00292DFB" w:rsidRDefault="00577F26" w:rsidP="00FF258E">
            <w:pPr>
              <w:rPr>
                <w:sz w:val="22"/>
                <w:szCs w:val="22"/>
              </w:rPr>
            </w:pPr>
            <w:r w:rsidRPr="00292DFB">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19CE089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2D82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D0546D2" w14:textId="461803F3"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E7AB60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5751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AEC8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EA178D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3A6DDD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8C73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469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F87EE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D5427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C63E89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FDF7B8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4107F262"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6EDB04A3" w14:textId="7BECABA1" w:rsidR="00577F26" w:rsidRPr="00292DFB" w:rsidRDefault="00577F26" w:rsidP="00FF258E">
            <w:pPr>
              <w:rPr>
                <w:sz w:val="22"/>
                <w:szCs w:val="22"/>
              </w:rPr>
            </w:pPr>
            <w:r w:rsidRPr="00292DFB">
              <w:rPr>
                <w:sz w:val="22"/>
                <w:szCs w:val="22"/>
              </w:rPr>
              <w:t>Ann-Sofie Lifvenhage</w:t>
            </w:r>
            <w:r w:rsidR="00BB02A5">
              <w:rPr>
                <w:sz w:val="22"/>
                <w:szCs w:val="22"/>
              </w:rPr>
              <w:t xml:space="preserve"> (M)</w:t>
            </w:r>
          </w:p>
        </w:tc>
        <w:tc>
          <w:tcPr>
            <w:tcW w:w="355" w:type="dxa"/>
            <w:tcBorders>
              <w:top w:val="single" w:sz="6" w:space="0" w:color="auto"/>
              <w:left w:val="single" w:sz="6" w:space="0" w:color="auto"/>
              <w:bottom w:val="single" w:sz="6" w:space="0" w:color="auto"/>
              <w:right w:val="single" w:sz="6" w:space="0" w:color="auto"/>
            </w:tcBorders>
          </w:tcPr>
          <w:p w14:paraId="634DD115" w14:textId="225C5FB0"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F3D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B483C9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D49586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04DD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616D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EE69CE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01F2F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5ECDC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09940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9809BB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5E1DCA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4D99B3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B25B7C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6E8E59D6"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68EA7011" w14:textId="77777777" w:rsidR="00577F26" w:rsidRPr="00292DFB" w:rsidRDefault="00577F26" w:rsidP="00FF258E">
            <w:pPr>
              <w:rPr>
                <w:sz w:val="22"/>
                <w:szCs w:val="22"/>
              </w:rPr>
            </w:pPr>
            <w:r w:rsidRPr="00292DFB">
              <w:rPr>
                <w:sz w:val="22"/>
                <w:szCs w:val="22"/>
              </w:rPr>
              <w:t>Linda Westerlund Snecker (V)</w:t>
            </w:r>
          </w:p>
        </w:tc>
        <w:tc>
          <w:tcPr>
            <w:tcW w:w="355" w:type="dxa"/>
            <w:tcBorders>
              <w:top w:val="single" w:sz="6" w:space="0" w:color="auto"/>
              <w:left w:val="single" w:sz="6" w:space="0" w:color="auto"/>
              <w:bottom w:val="single" w:sz="6" w:space="0" w:color="auto"/>
              <w:right w:val="single" w:sz="6" w:space="0" w:color="auto"/>
            </w:tcBorders>
          </w:tcPr>
          <w:p w14:paraId="04DA2D8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12008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AAAABAE" w14:textId="4CCFB7AE"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089295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DD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3575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E8A1F2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3D9519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BD99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801A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CE41E3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66702F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8E963F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CAC06D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388FE42E"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661965BE" w14:textId="77777777" w:rsidR="00577F26" w:rsidRPr="00292DFB" w:rsidRDefault="00577F26" w:rsidP="00FF258E">
            <w:pPr>
              <w:rPr>
                <w:sz w:val="22"/>
                <w:szCs w:val="22"/>
              </w:rPr>
            </w:pPr>
            <w:r w:rsidRPr="00292DFB">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776125BA" w14:textId="57C678C2"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14C8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810B52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5401524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BF77B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F96B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325ED6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110889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4E75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BD05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7B3A56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1DCD1B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F66DC0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814FF3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21D1311F"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3319494" w14:textId="77777777" w:rsidR="00577F26" w:rsidRPr="00292DFB" w:rsidRDefault="00577F26" w:rsidP="00FF258E">
            <w:pPr>
              <w:rPr>
                <w:sz w:val="22"/>
                <w:szCs w:val="22"/>
              </w:rPr>
            </w:pPr>
            <w:r w:rsidRPr="00292DFB">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201D996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92E1A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FE6CCD5" w14:textId="74138F8D"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44CDE1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0387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25A7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244392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E525FE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69BC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3003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12C903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5A5F52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ABA010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CC7388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6482C9E3"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1563911" w14:textId="77777777" w:rsidR="00577F26" w:rsidRPr="00292DFB" w:rsidRDefault="00577F26" w:rsidP="00FF258E">
            <w:pPr>
              <w:rPr>
                <w:sz w:val="22"/>
                <w:szCs w:val="22"/>
              </w:rPr>
            </w:pPr>
            <w:r w:rsidRPr="00292DFB">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13D833F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4E6F0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407749B" w14:textId="2D7715B3"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D11363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91ED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0EF8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4F2DF1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464904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FCC5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B3E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B452A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CD450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811BF7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BEB149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4A2551F9"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887F72A" w14:textId="77777777" w:rsidR="00577F26" w:rsidRPr="00292DFB" w:rsidRDefault="00577F26" w:rsidP="00FF258E">
            <w:pPr>
              <w:rPr>
                <w:sz w:val="22"/>
                <w:szCs w:val="22"/>
              </w:rPr>
            </w:pPr>
            <w:r w:rsidRPr="00292DFB">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6321B6B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6C382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5B2A1DC" w14:textId="4C884912"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0F8342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F5EE6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C883C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474F0E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54A351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4950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5A17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A80BC2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7BF278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B5BDCC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E309DE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61003209" w14:textId="77777777" w:rsidTr="00FF258E">
        <w:tc>
          <w:tcPr>
            <w:tcW w:w="3433" w:type="dxa"/>
            <w:gridSpan w:val="2"/>
            <w:tcBorders>
              <w:top w:val="single" w:sz="6" w:space="0" w:color="auto"/>
              <w:left w:val="single" w:sz="6" w:space="0" w:color="auto"/>
              <w:bottom w:val="single" w:sz="6" w:space="0" w:color="auto"/>
              <w:right w:val="single" w:sz="6" w:space="0" w:color="auto"/>
            </w:tcBorders>
            <w:hideMark/>
          </w:tcPr>
          <w:p w14:paraId="14C68EC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205F5F0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D4C0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FE9D8F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9357FA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00B0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3FD0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BF0096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2A5B64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E469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6DA5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421F62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5EDB7E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BB5AC9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3AA8D6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577F26" w:rsidRPr="00292DFB" w14:paraId="0FCCFAD3"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F8C8040" w14:textId="77777777" w:rsidR="00577F26" w:rsidRPr="00292DFB" w:rsidRDefault="00577F26" w:rsidP="00FF258E">
            <w:pPr>
              <w:rPr>
                <w:sz w:val="22"/>
                <w:szCs w:val="22"/>
              </w:rPr>
            </w:pPr>
            <w:r w:rsidRPr="00292DFB">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2C20F03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6AB529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58BDC3E" w14:textId="23681799"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18D269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0F4B0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EE86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EE741C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8D3B1F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EDA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1BF9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88084F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578A6C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0A2237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7374E8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348BDE18"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45BF1957" w14:textId="77777777" w:rsidR="00577F26" w:rsidRPr="00292DFB" w:rsidRDefault="00577F26" w:rsidP="00FF258E">
            <w:pPr>
              <w:rPr>
                <w:sz w:val="22"/>
                <w:szCs w:val="22"/>
              </w:rPr>
            </w:pPr>
            <w:r w:rsidRPr="00292DFB">
              <w:rPr>
                <w:sz w:val="22"/>
                <w:szCs w:val="22"/>
              </w:rPr>
              <w:t>Adrian Magnusson (S)</w:t>
            </w:r>
          </w:p>
        </w:tc>
        <w:tc>
          <w:tcPr>
            <w:tcW w:w="355" w:type="dxa"/>
            <w:tcBorders>
              <w:top w:val="single" w:sz="6" w:space="0" w:color="auto"/>
              <w:left w:val="single" w:sz="6" w:space="0" w:color="auto"/>
              <w:bottom w:val="single" w:sz="6" w:space="0" w:color="auto"/>
              <w:right w:val="single" w:sz="6" w:space="0" w:color="auto"/>
            </w:tcBorders>
          </w:tcPr>
          <w:p w14:paraId="4F3BEA4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897B78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F689B0B" w14:textId="6B5E1D2C"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6B10EF8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1011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54292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DBC57F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D86CC6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BB3E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178C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D52B4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8E335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F99352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3998B9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4DA157C7"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4D3FCD5" w14:textId="77777777" w:rsidR="00577F26" w:rsidRPr="00292DFB" w:rsidRDefault="00577F26" w:rsidP="00FF258E">
            <w:pPr>
              <w:rPr>
                <w:sz w:val="22"/>
                <w:szCs w:val="22"/>
              </w:rPr>
            </w:pPr>
            <w:r>
              <w:rPr>
                <w:sz w:val="22"/>
                <w:szCs w:val="22"/>
              </w:rPr>
              <w:t>Lars Johnsson</w:t>
            </w:r>
            <w:r w:rsidRPr="00292DFB">
              <w:rPr>
                <w:sz w:val="22"/>
                <w:szCs w:val="22"/>
              </w:rPr>
              <w:t xml:space="preserve"> (M)</w:t>
            </w:r>
          </w:p>
        </w:tc>
        <w:tc>
          <w:tcPr>
            <w:tcW w:w="355" w:type="dxa"/>
            <w:tcBorders>
              <w:top w:val="single" w:sz="6" w:space="0" w:color="auto"/>
              <w:left w:val="single" w:sz="6" w:space="0" w:color="auto"/>
              <w:bottom w:val="single" w:sz="6" w:space="0" w:color="auto"/>
              <w:right w:val="single" w:sz="6" w:space="0" w:color="auto"/>
            </w:tcBorders>
          </w:tcPr>
          <w:p w14:paraId="0397677A" w14:textId="149223F6"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95C9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F12835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4469DE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5021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DC4E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308CE7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3E60D5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B89F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8D01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224E21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C0307C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B4E36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29EB56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5DA51C07"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41B14BC7" w14:textId="77777777" w:rsidR="00577F26" w:rsidRPr="00292DFB" w:rsidRDefault="00577F26" w:rsidP="00FF258E">
            <w:pPr>
              <w:rPr>
                <w:sz w:val="22"/>
                <w:szCs w:val="22"/>
              </w:rPr>
            </w:pPr>
            <w:r w:rsidRPr="00292DFB">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49B4ED0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F525C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3B79BD6" w14:textId="457A5B53"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55E2385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7FBA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F242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33A626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1DED86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185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B1FF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7D5535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DEB14E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E8EF6F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DA5D33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40ACA5FC"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22312F28" w14:textId="77777777" w:rsidR="00577F26" w:rsidRPr="00292DFB" w:rsidRDefault="00577F26" w:rsidP="00FF258E">
            <w:pPr>
              <w:rPr>
                <w:sz w:val="22"/>
                <w:szCs w:val="22"/>
              </w:rPr>
            </w:pPr>
            <w:r w:rsidRPr="00292DFB">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53EAD99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3AB2BD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8BD7561" w14:textId="6A3AD78A" w:rsidR="00577F26" w:rsidRPr="00292DFB" w:rsidRDefault="001B3EF1" w:rsidP="001B3E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674CCC6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DC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7AF2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7264FE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3D4B66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7351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C5D6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4479B5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A1F6CE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2A12C3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C29F51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4F6B1E6F"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3A688F96" w14:textId="77777777" w:rsidR="00577F26" w:rsidRPr="00292DFB" w:rsidRDefault="00577F26" w:rsidP="00FF258E">
            <w:pPr>
              <w:rPr>
                <w:sz w:val="22"/>
                <w:szCs w:val="22"/>
              </w:rPr>
            </w:pPr>
            <w:r w:rsidRPr="00292DFB">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14:paraId="58593B9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4F0DD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DD35EC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0E7D86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6A92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4626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5EF374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529357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46A9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B3A8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AF1A5C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372E2B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96FA1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A84458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04ACFB37"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B7B677B" w14:textId="77777777" w:rsidR="00577F26" w:rsidRPr="00292DFB" w:rsidRDefault="00577F26" w:rsidP="00FF258E">
            <w:pPr>
              <w:rPr>
                <w:sz w:val="22"/>
                <w:szCs w:val="22"/>
              </w:rPr>
            </w:pPr>
            <w:r>
              <w:rPr>
                <w:sz w:val="22"/>
                <w:szCs w:val="22"/>
              </w:rPr>
              <w:t>Kjell Jansson (M)</w:t>
            </w:r>
          </w:p>
        </w:tc>
        <w:tc>
          <w:tcPr>
            <w:tcW w:w="355" w:type="dxa"/>
            <w:tcBorders>
              <w:top w:val="single" w:sz="6" w:space="0" w:color="auto"/>
              <w:left w:val="single" w:sz="6" w:space="0" w:color="auto"/>
              <w:bottom w:val="single" w:sz="6" w:space="0" w:color="auto"/>
              <w:right w:val="single" w:sz="6" w:space="0" w:color="auto"/>
            </w:tcBorders>
          </w:tcPr>
          <w:p w14:paraId="283DCDC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001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F0F34D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56A143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953C3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5095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EB3266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9D4AC9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ECC8C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0856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C6A1F2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E39DC2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CBECA6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E67F19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5DC3B291"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B2E2506" w14:textId="77777777" w:rsidR="00577F26" w:rsidRPr="00292DFB" w:rsidRDefault="00577F26" w:rsidP="00FF258E">
            <w:pPr>
              <w:rPr>
                <w:sz w:val="22"/>
                <w:szCs w:val="22"/>
              </w:rPr>
            </w:pPr>
            <w:r w:rsidRPr="00292DFB">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344F524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14A52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D10422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3C59C9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162ED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EE47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35F693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E5467D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00BB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EC50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B88501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77559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C087FB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D18716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249D6215"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37A65465" w14:textId="77777777" w:rsidR="00577F26" w:rsidRPr="00292DFB" w:rsidRDefault="00577F26" w:rsidP="00FF258E">
            <w:pPr>
              <w:rPr>
                <w:sz w:val="22"/>
                <w:szCs w:val="22"/>
              </w:rPr>
            </w:pPr>
            <w:r w:rsidRPr="00292DFB">
              <w:rPr>
                <w:sz w:val="22"/>
                <w:szCs w:val="22"/>
              </w:rPr>
              <w:t xml:space="preserve">Björn </w:t>
            </w:r>
            <w:proofErr w:type="spellStart"/>
            <w:r w:rsidRPr="00292DFB">
              <w:rPr>
                <w:sz w:val="22"/>
                <w:szCs w:val="22"/>
              </w:rPr>
              <w:t>Tidland</w:t>
            </w:r>
            <w:proofErr w:type="spellEnd"/>
            <w:r w:rsidRPr="00292DFB">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030079D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FDE9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71B0F6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42A333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B8E3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8A8CB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04655E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55A429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B9026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9F078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5F1CB5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813CDD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ACD3C4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E8F257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54F2FFB5"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44C89246" w14:textId="77777777" w:rsidR="00577F26" w:rsidRPr="00292DFB" w:rsidRDefault="00577F26" w:rsidP="00FF258E">
            <w:pPr>
              <w:rPr>
                <w:sz w:val="22"/>
                <w:szCs w:val="22"/>
                <w:lang w:val="en-US"/>
              </w:rPr>
            </w:pPr>
            <w:r w:rsidRPr="00292DFB">
              <w:rPr>
                <w:sz w:val="22"/>
                <w:szCs w:val="22"/>
                <w:lang w:val="en-US"/>
              </w:rPr>
              <w:t>Joakim Järrebring (S)</w:t>
            </w:r>
          </w:p>
        </w:tc>
        <w:tc>
          <w:tcPr>
            <w:tcW w:w="355" w:type="dxa"/>
            <w:tcBorders>
              <w:top w:val="single" w:sz="6" w:space="0" w:color="auto"/>
              <w:left w:val="single" w:sz="6" w:space="0" w:color="auto"/>
              <w:bottom w:val="single" w:sz="6" w:space="0" w:color="auto"/>
              <w:right w:val="single" w:sz="6" w:space="0" w:color="auto"/>
            </w:tcBorders>
          </w:tcPr>
          <w:p w14:paraId="5DA06EA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C2EE9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747E77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C881E3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FD121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AB762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3DFF3B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1953C2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2408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E214A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33FC29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019900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FB6F63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911A4F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7AAEEADC"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948AA62" w14:textId="77777777" w:rsidR="00577F26" w:rsidRPr="00292DFB" w:rsidRDefault="00577F26" w:rsidP="00FF258E">
            <w:pPr>
              <w:rPr>
                <w:sz w:val="22"/>
                <w:szCs w:val="22"/>
                <w:lang w:val="en-US"/>
              </w:rPr>
            </w:pPr>
            <w:r>
              <w:rPr>
                <w:sz w:val="22"/>
                <w:szCs w:val="22"/>
                <w:lang w:val="en-US"/>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43BD2D1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77D4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F10AFE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E381AB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64A48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07EF8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C7C37B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472AAD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10025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37C64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1BFAFB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1C4283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D46A23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9C8E2B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307AF1F8"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2374EC57" w14:textId="77777777" w:rsidR="00577F26" w:rsidRPr="00292DFB" w:rsidRDefault="00577F26" w:rsidP="00FF258E">
            <w:pPr>
              <w:rPr>
                <w:sz w:val="22"/>
                <w:szCs w:val="22"/>
                <w:lang w:val="en-US"/>
              </w:rPr>
            </w:pPr>
            <w:r w:rsidRPr="00292DFB">
              <w:rPr>
                <w:sz w:val="22"/>
                <w:szCs w:val="22"/>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579B872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9D53F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2ABE2C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728E72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37C53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959BD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389085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B1194C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8444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447F3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3D090C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350216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41E3BD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6EA95A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036FB4C2"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7A17E93" w14:textId="77777777" w:rsidR="00577F26" w:rsidRPr="00292DFB" w:rsidRDefault="00577F26" w:rsidP="00FF258E">
            <w:pPr>
              <w:tabs>
                <w:tab w:val="left" w:pos="328"/>
              </w:tabs>
              <w:rPr>
                <w:sz w:val="22"/>
                <w:szCs w:val="22"/>
                <w:lang w:val="en-US"/>
              </w:rPr>
            </w:pPr>
            <w:r>
              <w:rPr>
                <w:sz w:val="22"/>
                <w:szCs w:val="22"/>
                <w:lang w:val="en-US"/>
              </w:rPr>
              <w:t xml:space="preserve">Kjell-Arne Ottosson </w:t>
            </w:r>
            <w:r w:rsidRPr="00292DFB">
              <w:rPr>
                <w:sz w:val="22"/>
                <w:szCs w:val="22"/>
                <w:lang w:val="en-US"/>
              </w:rPr>
              <w:t>(KD)</w:t>
            </w:r>
          </w:p>
        </w:tc>
        <w:tc>
          <w:tcPr>
            <w:tcW w:w="355" w:type="dxa"/>
            <w:tcBorders>
              <w:top w:val="single" w:sz="6" w:space="0" w:color="auto"/>
              <w:left w:val="single" w:sz="6" w:space="0" w:color="auto"/>
              <w:bottom w:val="single" w:sz="6" w:space="0" w:color="auto"/>
              <w:right w:val="single" w:sz="6" w:space="0" w:color="auto"/>
            </w:tcBorders>
          </w:tcPr>
          <w:p w14:paraId="0981B22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9D746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686E67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044174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3EEE6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4C511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6D096C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B34666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49FDD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9B514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28B0C6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B66C66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0D6E75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F75C0B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3F5E8DAD"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6F761C63" w14:textId="77777777" w:rsidR="00577F26" w:rsidRPr="00292DFB" w:rsidRDefault="00577F26" w:rsidP="00FF258E">
            <w:pPr>
              <w:rPr>
                <w:sz w:val="22"/>
                <w:szCs w:val="22"/>
                <w:lang w:val="en-US"/>
              </w:rPr>
            </w:pPr>
            <w:r w:rsidRPr="00292DFB">
              <w:rPr>
                <w:sz w:val="22"/>
                <w:szCs w:val="22"/>
                <w:lang w:val="en-US"/>
              </w:rPr>
              <w:t>Anders Ådahl (C)</w:t>
            </w:r>
          </w:p>
        </w:tc>
        <w:tc>
          <w:tcPr>
            <w:tcW w:w="355" w:type="dxa"/>
            <w:tcBorders>
              <w:top w:val="single" w:sz="6" w:space="0" w:color="auto"/>
              <w:left w:val="single" w:sz="6" w:space="0" w:color="auto"/>
              <w:bottom w:val="single" w:sz="6" w:space="0" w:color="auto"/>
              <w:right w:val="single" w:sz="6" w:space="0" w:color="auto"/>
            </w:tcBorders>
          </w:tcPr>
          <w:p w14:paraId="212BFEB9" w14:textId="6E6BB10E"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D7C35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36CD88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1BBDF0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66FE0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2C5C7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9E5014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16DC5E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4EC82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6041D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FCB13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CC91D4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A74278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51C07A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1D9401E0"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296DF0ED" w14:textId="77777777" w:rsidR="00577F26" w:rsidRPr="00292DFB" w:rsidRDefault="00577F26" w:rsidP="00FF258E">
            <w:pPr>
              <w:rPr>
                <w:sz w:val="22"/>
                <w:szCs w:val="22"/>
                <w:lang w:val="en-US"/>
              </w:rPr>
            </w:pPr>
            <w:r w:rsidRPr="00292DFB">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79C08E1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17C19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96B02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93C21C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E84E3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0E8BE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A19B53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749134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7696F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895BD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1951B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03D7FA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257D16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E09808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694E65D7"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218B183" w14:textId="77777777" w:rsidR="00577F26" w:rsidRPr="00292DFB" w:rsidRDefault="00577F26" w:rsidP="00FF258E">
            <w:pPr>
              <w:rPr>
                <w:sz w:val="22"/>
                <w:szCs w:val="22"/>
                <w:lang w:val="en-US"/>
              </w:rPr>
            </w:pPr>
            <w:r>
              <w:rPr>
                <w:sz w:val="22"/>
                <w:szCs w:val="22"/>
                <w:lang w:val="en-US"/>
              </w:rPr>
              <w:t xml:space="preserve">                      </w:t>
            </w:r>
            <w:r w:rsidRPr="00292DFB">
              <w:rPr>
                <w:sz w:val="22"/>
                <w:szCs w:val="22"/>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185EBED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CC063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F162F3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11EFBC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CAE834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EED6D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EB3E75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6BFDA1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1E6F2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9A4FD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DF5681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AA7C9D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1F65A6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2F7D90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190C663D"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FA5EA0E" w14:textId="77777777" w:rsidR="00577F26" w:rsidRPr="00292DFB" w:rsidRDefault="00577F26" w:rsidP="00FF258E">
            <w:pPr>
              <w:rPr>
                <w:sz w:val="22"/>
                <w:szCs w:val="22"/>
                <w:lang w:val="en-US"/>
              </w:rPr>
            </w:pPr>
            <w:r w:rsidRPr="00292DFB">
              <w:rPr>
                <w:sz w:val="22"/>
                <w:szCs w:val="22"/>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1B110C1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0931C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3C8A42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34EFB0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0153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FE564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941138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096CFD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AFAAD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38F39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DE67FC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EC1333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4D7703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7F9E68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5C111368"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0BBAEC4F" w14:textId="77777777" w:rsidR="00577F26" w:rsidRPr="00292DFB" w:rsidRDefault="00577F26" w:rsidP="00FF258E">
            <w:pPr>
              <w:rPr>
                <w:sz w:val="22"/>
                <w:szCs w:val="22"/>
                <w:lang w:val="en-US"/>
              </w:rPr>
            </w:pPr>
            <w:r>
              <w:rPr>
                <w:sz w:val="22"/>
                <w:szCs w:val="22"/>
                <w:lang w:val="en-US"/>
              </w:rPr>
              <w:t xml:space="preserve">Sara-Lena </w:t>
            </w:r>
            <w:proofErr w:type="spellStart"/>
            <w:r>
              <w:rPr>
                <w:sz w:val="22"/>
                <w:szCs w:val="22"/>
                <w:lang w:val="en-US"/>
              </w:rPr>
              <w:t>Bjälkö</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1D08446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34011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31BF1D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2193D9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5D839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8DB2E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21585F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EC0143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D5500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6B6A7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EE130B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01717F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0FEB0F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5D734C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3571672C"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16225786" w14:textId="77777777" w:rsidR="00577F26" w:rsidRPr="00292DFB" w:rsidRDefault="00577F26" w:rsidP="00FF258E">
            <w:pPr>
              <w:rPr>
                <w:sz w:val="22"/>
                <w:szCs w:val="22"/>
                <w:lang w:val="en-US"/>
              </w:rPr>
            </w:pPr>
            <w:r>
              <w:rPr>
                <w:sz w:val="22"/>
                <w:szCs w:val="22"/>
                <w:lang w:val="en-US"/>
              </w:rPr>
              <w:t xml:space="preserve">Rasmus </w:t>
            </w:r>
            <w:proofErr w:type="spellStart"/>
            <w:r>
              <w:rPr>
                <w:sz w:val="22"/>
                <w:szCs w:val="22"/>
                <w:lang w:val="en-US"/>
              </w:rPr>
              <w:t>Giertz</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3E8461E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ABE96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925E72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E2117E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A00D1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22AFA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EB8748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55B2BF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B39E0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C1EB1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66052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CDFF9B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77CA25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36C1BC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7FA74B49"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A8FD554" w14:textId="77777777" w:rsidR="00577F26" w:rsidRPr="00292DFB" w:rsidRDefault="00577F26" w:rsidP="00FF258E">
            <w:pPr>
              <w:rPr>
                <w:sz w:val="22"/>
                <w:szCs w:val="22"/>
                <w:lang w:val="en-US"/>
              </w:rPr>
            </w:pPr>
            <w:r>
              <w:rPr>
                <w:sz w:val="22"/>
                <w:szCs w:val="22"/>
                <w:lang w:val="en-US"/>
              </w:rPr>
              <w:t>Malcolm Momodou Jallow (V)</w:t>
            </w:r>
          </w:p>
        </w:tc>
        <w:tc>
          <w:tcPr>
            <w:tcW w:w="355" w:type="dxa"/>
            <w:tcBorders>
              <w:top w:val="single" w:sz="6" w:space="0" w:color="auto"/>
              <w:left w:val="single" w:sz="6" w:space="0" w:color="auto"/>
              <w:bottom w:val="single" w:sz="6" w:space="0" w:color="auto"/>
              <w:right w:val="single" w:sz="6" w:space="0" w:color="auto"/>
            </w:tcBorders>
          </w:tcPr>
          <w:p w14:paraId="5AF7E94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587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B9B0F7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6AC5B1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2E35B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CEF96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F42DB6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2E7E95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EF902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7A61C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C05731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81E3AB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ABF38C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4F1E9E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29B75AC4"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0001FD6" w14:textId="77777777" w:rsidR="00577F26" w:rsidRPr="00292DFB" w:rsidRDefault="00577F26" w:rsidP="00FF258E">
            <w:pPr>
              <w:rPr>
                <w:sz w:val="22"/>
                <w:szCs w:val="22"/>
                <w:lang w:val="en-US"/>
              </w:rPr>
            </w:pPr>
            <w:r>
              <w:rPr>
                <w:sz w:val="22"/>
                <w:szCs w:val="22"/>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2FD2395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EFC92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005B11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568A9B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436E7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F2237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847BB0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2DF3F8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960B0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318FE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469FCD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11583D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170CB9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F3F47E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59883B21"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7A21DADB" w14:textId="77777777" w:rsidR="00577F26" w:rsidRPr="00292DFB" w:rsidRDefault="00577F26" w:rsidP="00FF258E">
            <w:pPr>
              <w:rPr>
                <w:sz w:val="22"/>
                <w:szCs w:val="22"/>
                <w:lang w:val="en-US"/>
              </w:rPr>
            </w:pPr>
            <w:r>
              <w:rPr>
                <w:sz w:val="22"/>
                <w:szCs w:val="22"/>
                <w:lang w:val="en-US"/>
              </w:rPr>
              <w:t xml:space="preserve">Dan </w:t>
            </w:r>
            <w:proofErr w:type="spellStart"/>
            <w:r>
              <w:rPr>
                <w:sz w:val="22"/>
                <w:szCs w:val="22"/>
                <w:lang w:val="en-US"/>
              </w:rPr>
              <w:t>Hovskär</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FD5F299" w14:textId="52A63415"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DC8DF4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E2A7ED6" w14:textId="4D28ED9E"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2F509BA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F38B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DEC9E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0F4501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7B1BD3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B5345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A6828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0EACF2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1A287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58E5B0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1461B0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0228626C"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5A513B6D" w14:textId="77777777" w:rsidR="00577F26" w:rsidRPr="00292DFB" w:rsidRDefault="00577F26" w:rsidP="00FF258E">
            <w:pPr>
              <w:rPr>
                <w:sz w:val="22"/>
                <w:szCs w:val="22"/>
                <w:lang w:val="en-US"/>
              </w:rPr>
            </w:pPr>
            <w:proofErr w:type="spellStart"/>
            <w:r>
              <w:rPr>
                <w:sz w:val="22"/>
                <w:szCs w:val="22"/>
                <w:lang w:val="en-US"/>
              </w:rPr>
              <w:t>Torsten</w:t>
            </w:r>
            <w:proofErr w:type="spellEnd"/>
            <w:r>
              <w:rPr>
                <w:sz w:val="22"/>
                <w:szCs w:val="22"/>
                <w:lang w:val="en-US"/>
              </w:rPr>
              <w:t xml:space="preserve"> </w:t>
            </w:r>
            <w:proofErr w:type="spellStart"/>
            <w:r>
              <w:rPr>
                <w:sz w:val="22"/>
                <w:szCs w:val="22"/>
                <w:lang w:val="en-US"/>
              </w:rPr>
              <w:t>Elofsson</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961A7A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69907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6D7837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4DA3C9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539C6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A4586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0DFAB8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FC5150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C5122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561CD7"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F9D204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9EBF1C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BA818A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AC63D3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225BBB6E"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6254761D" w14:textId="77777777" w:rsidR="00577F26" w:rsidRPr="00292DFB" w:rsidRDefault="00577F26" w:rsidP="00FF258E">
            <w:pPr>
              <w:rPr>
                <w:sz w:val="22"/>
                <w:szCs w:val="22"/>
                <w:lang w:val="en-US"/>
              </w:rPr>
            </w:pPr>
            <w:r>
              <w:rPr>
                <w:sz w:val="22"/>
                <w:szCs w:val="22"/>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5D442F2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2866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67AC19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E624D3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3A402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BB0E7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026314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43E943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C9E19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E1551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58A6CB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A7A3B2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E3CB66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A2ED985"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7D0AF1C1"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343224F5" w14:textId="77777777" w:rsidR="00577F26" w:rsidRPr="00292DFB" w:rsidRDefault="00577F26" w:rsidP="00FF258E">
            <w:pPr>
              <w:rPr>
                <w:sz w:val="22"/>
                <w:szCs w:val="22"/>
                <w:lang w:val="en-US"/>
              </w:rPr>
            </w:pPr>
            <w:r>
              <w:rPr>
                <w:sz w:val="22"/>
                <w:szCs w:val="22"/>
                <w:lang w:val="en-US"/>
              </w:rPr>
              <w:t xml:space="preserve">Jakob </w:t>
            </w:r>
            <w:proofErr w:type="spellStart"/>
            <w:r>
              <w:rPr>
                <w:sz w:val="22"/>
                <w:szCs w:val="22"/>
                <w:lang w:val="en-US"/>
              </w:rPr>
              <w:t>Olofsgård</w:t>
            </w:r>
            <w:proofErr w:type="spellEnd"/>
            <w:r>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02C0951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251F4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82E956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E27803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6F97E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242AE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68F990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DEF17C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6F426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5208B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924EB8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86DA4B1"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153E8C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B14EE6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42479341"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27E9817C" w14:textId="77777777" w:rsidR="00577F26" w:rsidRPr="00292DFB" w:rsidRDefault="00577F26" w:rsidP="00FF258E">
            <w:pPr>
              <w:rPr>
                <w:sz w:val="22"/>
                <w:szCs w:val="22"/>
                <w:lang w:val="en-US"/>
              </w:rPr>
            </w:pPr>
            <w:r>
              <w:rPr>
                <w:sz w:val="22"/>
                <w:szCs w:val="22"/>
                <w:lang w:val="en-US"/>
              </w:rPr>
              <w:t xml:space="preserve">Camilla </w:t>
            </w:r>
            <w:proofErr w:type="spellStart"/>
            <w:r>
              <w:rPr>
                <w:sz w:val="22"/>
                <w:szCs w:val="22"/>
                <w:lang w:val="en-US"/>
              </w:rPr>
              <w:t>Mårtensen</w:t>
            </w:r>
            <w:proofErr w:type="spellEnd"/>
            <w:r>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44193C00"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1FB08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5C50849"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2DBA40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313DC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1C81F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3B3C0A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1F3405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F7B90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82D5B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4E2EA4"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1601CF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F445CAB"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CA3C84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408823C0" w14:textId="77777777" w:rsidTr="00FF258E">
        <w:tc>
          <w:tcPr>
            <w:tcW w:w="3433" w:type="dxa"/>
            <w:gridSpan w:val="2"/>
            <w:tcBorders>
              <w:top w:val="single" w:sz="6" w:space="0" w:color="auto"/>
              <w:left w:val="single" w:sz="6" w:space="0" w:color="auto"/>
              <w:bottom w:val="single" w:sz="6" w:space="0" w:color="auto"/>
              <w:right w:val="single" w:sz="6" w:space="0" w:color="auto"/>
            </w:tcBorders>
          </w:tcPr>
          <w:p w14:paraId="4EE8EC52" w14:textId="77777777" w:rsidR="00577F26" w:rsidRPr="00292DFB" w:rsidRDefault="00577F26" w:rsidP="00FF258E">
            <w:pPr>
              <w:rPr>
                <w:sz w:val="22"/>
                <w:szCs w:val="22"/>
                <w:lang w:val="en-US"/>
              </w:rPr>
            </w:pPr>
            <w:r>
              <w:rPr>
                <w:sz w:val="22"/>
                <w:szCs w:val="22"/>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58BED91C" w14:textId="0311884A"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C9BE06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2FD02CB" w14:textId="70261AF8" w:rsidR="00577F26" w:rsidRPr="00292DFB" w:rsidRDefault="001B3EF1"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6F61201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19771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FB5C2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10AAB5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15D0A5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62999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AB80CD"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C78FE2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8BB1B8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D1BB91A"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B98D09E"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577F26" w:rsidRPr="00292DFB" w14:paraId="0F98C9BA" w14:textId="77777777" w:rsidTr="00FF258E">
        <w:trPr>
          <w:trHeight w:val="263"/>
        </w:trPr>
        <w:tc>
          <w:tcPr>
            <w:tcW w:w="1836" w:type="dxa"/>
            <w:tcBorders>
              <w:top w:val="single" w:sz="4" w:space="0" w:color="auto"/>
              <w:left w:val="single" w:sz="4" w:space="0" w:color="auto"/>
              <w:bottom w:val="single" w:sz="4" w:space="0" w:color="auto"/>
              <w:right w:val="nil"/>
            </w:tcBorders>
            <w:hideMark/>
          </w:tcPr>
          <w:p w14:paraId="41D05B3C"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N = Närvarande</w:t>
            </w:r>
          </w:p>
          <w:p w14:paraId="7148E88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150CA9A8"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X = Ledamöter som deltagit i handläggningen</w:t>
            </w:r>
          </w:p>
          <w:p w14:paraId="21D55133"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O = Ledamöter som härutöver har varit närvarande</w:t>
            </w:r>
          </w:p>
        </w:tc>
      </w:tr>
    </w:tbl>
    <w:p w14:paraId="737FA0E3" w14:textId="77777777" w:rsidR="00577F26" w:rsidRPr="00292DFB" w:rsidRDefault="00577F26" w:rsidP="00577F26">
      <w:pPr>
        <w:rPr>
          <w:sz w:val="22"/>
          <w:szCs w:val="22"/>
        </w:rPr>
      </w:pPr>
    </w:p>
    <w:p w14:paraId="024C06C6" w14:textId="77777777" w:rsidR="00577F26" w:rsidRPr="00292DFB" w:rsidRDefault="00577F26" w:rsidP="00577F26">
      <w:pPr>
        <w:rPr>
          <w:sz w:val="22"/>
          <w:szCs w:val="22"/>
        </w:rPr>
      </w:pPr>
    </w:p>
    <w:p w14:paraId="39AC9965" w14:textId="77777777" w:rsidR="00577F26" w:rsidRPr="00292DFB" w:rsidRDefault="00577F26" w:rsidP="00577F26">
      <w:pPr>
        <w:widowControl/>
        <w:rPr>
          <w:sz w:val="22"/>
          <w:szCs w:val="22"/>
        </w:rPr>
      </w:pPr>
    </w:p>
    <w:p w14:paraId="669A5945" w14:textId="313678DE" w:rsidR="00577F26" w:rsidRDefault="00577F26" w:rsidP="00577F26">
      <w:pPr>
        <w:tabs>
          <w:tab w:val="left" w:pos="1701"/>
        </w:tabs>
        <w:rPr>
          <w:sz w:val="22"/>
          <w:szCs w:val="22"/>
        </w:rPr>
      </w:pPr>
    </w:p>
    <w:p w14:paraId="11C7B451" w14:textId="355D4ED5" w:rsidR="002D4C7E" w:rsidRDefault="002D4C7E" w:rsidP="00577F26">
      <w:pPr>
        <w:tabs>
          <w:tab w:val="left" w:pos="1701"/>
        </w:tabs>
        <w:rPr>
          <w:sz w:val="22"/>
          <w:szCs w:val="22"/>
        </w:rPr>
      </w:pPr>
    </w:p>
    <w:p w14:paraId="57A61F30" w14:textId="1B075E2A" w:rsidR="002D4C7E" w:rsidRDefault="002D4C7E" w:rsidP="00577F26">
      <w:pPr>
        <w:tabs>
          <w:tab w:val="left" w:pos="1701"/>
        </w:tabs>
        <w:rPr>
          <w:sz w:val="22"/>
          <w:szCs w:val="22"/>
        </w:rPr>
      </w:pPr>
    </w:p>
    <w:p w14:paraId="04B4300D" w14:textId="0FA41E72" w:rsidR="002D4C7E" w:rsidRDefault="002D4C7E" w:rsidP="00577F26">
      <w:pPr>
        <w:tabs>
          <w:tab w:val="left" w:pos="1701"/>
        </w:tabs>
        <w:rPr>
          <w:sz w:val="22"/>
          <w:szCs w:val="22"/>
        </w:rPr>
      </w:pPr>
    </w:p>
    <w:p w14:paraId="2630A5FA" w14:textId="335C21E4" w:rsidR="002D4C7E" w:rsidRDefault="002D4C7E" w:rsidP="00577F26">
      <w:pPr>
        <w:tabs>
          <w:tab w:val="left" w:pos="1701"/>
        </w:tabs>
        <w:rPr>
          <w:sz w:val="22"/>
          <w:szCs w:val="22"/>
        </w:rPr>
      </w:pPr>
    </w:p>
    <w:p w14:paraId="708CF8E6" w14:textId="6B357DEC" w:rsidR="002D4C7E" w:rsidRDefault="002D4C7E" w:rsidP="00577F26">
      <w:pPr>
        <w:tabs>
          <w:tab w:val="left" w:pos="1701"/>
        </w:tabs>
        <w:rPr>
          <w:sz w:val="22"/>
          <w:szCs w:val="22"/>
        </w:rPr>
      </w:pPr>
    </w:p>
    <w:p w14:paraId="7E2CB600" w14:textId="144F142A" w:rsidR="002D4C7E" w:rsidRDefault="002D4C7E" w:rsidP="00577F26">
      <w:pPr>
        <w:tabs>
          <w:tab w:val="left" w:pos="1701"/>
        </w:tabs>
        <w:rPr>
          <w:sz w:val="22"/>
          <w:szCs w:val="22"/>
        </w:rPr>
      </w:pPr>
    </w:p>
    <w:p w14:paraId="55AE77E8" w14:textId="77777777" w:rsidR="002D4C7E" w:rsidRPr="00DB7EA1" w:rsidRDefault="002D4C7E" w:rsidP="002D4C7E">
      <w:pPr>
        <w:rPr>
          <w:i/>
          <w:iCs/>
        </w:rPr>
      </w:pPr>
      <w:r w:rsidRPr="00DB7EA1">
        <w:rPr>
          <w:i/>
          <w:iCs/>
        </w:rPr>
        <w:lastRenderedPageBreak/>
        <w:t>Bilaga 2</w:t>
      </w:r>
    </w:p>
    <w:p w14:paraId="213AED0E" w14:textId="77777777" w:rsidR="002D4C7E" w:rsidRPr="0085517E" w:rsidRDefault="002D4C7E" w:rsidP="002D4C7E"/>
    <w:p w14:paraId="6CA4E988" w14:textId="77777777" w:rsidR="002D4C7E" w:rsidRPr="00DB7EA1" w:rsidRDefault="002D4C7E" w:rsidP="002D4C7E">
      <w:pPr>
        <w:rPr>
          <w:b/>
          <w:bCs/>
        </w:rPr>
      </w:pPr>
      <w:r w:rsidRPr="00DB7EA1">
        <w:rPr>
          <w:b/>
          <w:bCs/>
        </w:rPr>
        <w:t xml:space="preserve">Regeringens ståndpunkt i enlighet med faktapromemorian. </w:t>
      </w:r>
    </w:p>
    <w:p w14:paraId="0D9FF022" w14:textId="77777777" w:rsidR="002D4C7E" w:rsidRDefault="002D4C7E" w:rsidP="002D4C7E"/>
    <w:p w14:paraId="4BCC0737" w14:textId="77777777" w:rsidR="002D4C7E" w:rsidRDefault="002D4C7E" w:rsidP="002D4C7E">
      <w:r w:rsidRPr="00111144">
        <w:t xml:space="preserve">Regeringen ställer sig preliminärt positiv till förslaget i stort och till den horisontella ansats som föreslås, även om djupare analys av förslaget behövs. Regeringen är övervägande positiv till kommissionens arbete med att skapa enhetlig reglering för cybersäkerhet för produkter med digitala inslag i syfte att undvika fragmentering och stärka den inre marknadens konkurrenskraft och funktion. Regeringen ser att cybersäkerhetskrav är en nödvändig förutsättning för att digitaliseringen av samhället ska bli säker, trygg och inkluderande. Regeringen välkomnar därmed att produkter på den inre marknaden i stor utsträckning ska vara cybersäkra genom hela leveranskedjan och hela livscykeln. Det är viktigt för ett fortsatt konkurrenskraftigt, säkert och hållbart Europa. </w:t>
      </w:r>
    </w:p>
    <w:p w14:paraId="6D3DB207" w14:textId="77777777" w:rsidR="002D4C7E" w:rsidRDefault="002D4C7E" w:rsidP="002D4C7E"/>
    <w:p w14:paraId="72E3A9B4" w14:textId="77777777" w:rsidR="002D4C7E" w:rsidRDefault="002D4C7E" w:rsidP="002D4C7E">
      <w:r w:rsidRPr="00111144">
        <w:t xml:space="preserve">Enhetliga regler baserat på befintliga ramverk såsom NLF, kan skapa igenkänning, tydlighet och förutsebarhet vilket är positivt för såväl tillverkare som användare av produkter med digitala inslag. Det är emellertid viktigt att reglerna är proportionerliga i förhållande till de syften som anges, och utgår från principen om teknikneutralitet. Det är viktigt att förordningen eftersträvar en harmonisering med närliggande EU-lagstiftningsförslag som exempelvis Cybersäkerhetsakten, NIS22 och AI-förordningen. </w:t>
      </w:r>
    </w:p>
    <w:p w14:paraId="22F265A3" w14:textId="77777777" w:rsidR="002D4C7E" w:rsidRDefault="002D4C7E" w:rsidP="002D4C7E"/>
    <w:p w14:paraId="4831F2CF" w14:textId="77777777" w:rsidR="002D4C7E" w:rsidRDefault="002D4C7E" w:rsidP="002D4C7E">
      <w:r w:rsidRPr="00111144">
        <w:t xml:space="preserve">Regeringen noterar att kommissionens förslag om att förordningen ska omfatta samtliga produkter med digitala inslag är mycket ambitiös och sannolikt kommer resultera i högre produktkostnader, längre ledtider och nya myndighetsuppgifter. Regeringen hoppas att förordningen samtidigt ska bidra till att kostnader förknippade med incidenter blir lägre på sikt. För att tillse att förordningen leder till önskad måluppfyllelse finns det anledning </w:t>
      </w:r>
      <w:proofErr w:type="spellStart"/>
      <w:r w:rsidRPr="00111144">
        <w:t>atti</w:t>
      </w:r>
      <w:proofErr w:type="spellEnd"/>
      <w:r w:rsidRPr="00111144">
        <w:t xml:space="preserve"> de fortsatta förhandlingarna verka för att kraven blir tydligt formulerade och proportionerliga samt att tillverkare av icke kritiska produkter kan uppnå regelefterlevnad utan att drabbas av betungande administrativa krav och kostnader. Regeringen noterar att förordningen ställer krav på att certifieringsorgan har tillräcklig kapacitet för att kunna hantera de nya uppgifterna. Det är viktigt för regeringen att förordningens effekter inte blir innovations- och affärsutvecklingshämmande eller bidrar till flaskhalsar som försämrar konkurrenskraften för europeiska företag. Vidare bedömer regeringen att det är viktigt att inom ramen för förhandlingarna verka för ett adekvat skydd för känslig företags- och produktinformation som kan skada företaget om den sprids. </w:t>
      </w:r>
    </w:p>
    <w:p w14:paraId="3F3CCBD0" w14:textId="77777777" w:rsidR="002D4C7E" w:rsidRDefault="002D4C7E" w:rsidP="002D4C7E"/>
    <w:p w14:paraId="1A63B186" w14:textId="77777777" w:rsidR="002D4C7E" w:rsidRDefault="002D4C7E" w:rsidP="002D4C7E">
      <w:r w:rsidRPr="00111144">
        <w:t xml:space="preserve">För regeringen är det viktigt att Sverige i förhandlingarna av förslaget verkar för att förordningen inte hindrar medlemsstaterna från att vidta de åtgärder som de anser är nödvändiga för att skydda den nationella säkerheten. Vidare är det viktigt att bevaka att förordningens regler om rapportering inte strider mot medlemsstaternas säkerhetsintressen. </w:t>
      </w:r>
    </w:p>
    <w:p w14:paraId="7D9E15AD" w14:textId="77777777" w:rsidR="002D4C7E" w:rsidRDefault="002D4C7E" w:rsidP="002D4C7E"/>
    <w:p w14:paraId="34B2904D" w14:textId="77777777" w:rsidR="002D4C7E" w:rsidRDefault="002D4C7E" w:rsidP="002D4C7E">
      <w:r w:rsidRPr="00111144">
        <w:t xml:space="preserve">Regeringen anser att regleringen av harmoniserade standarder bör vara tydlig, ändamålsenlig, transparent och framtidsorienterad. Det är därför viktigt att internationella </w:t>
      </w:r>
      <w:proofErr w:type="spellStart"/>
      <w:r w:rsidRPr="00111144">
        <w:t>standardiseringsprinciper</w:t>
      </w:r>
      <w:proofErr w:type="spellEnd"/>
      <w:r w:rsidRPr="00111144">
        <w:t xml:space="preserve"> om öppenhet och delaktighet beaktas. Vidare anser regeringen att principer om budgetrestriktivitet, kostnadseffektivitet och samhällsekonomisk effektivitet ska beaktas. Förordningens omfattning och administrativa bördor behöver beaktas så att de inte hämmar innovation eller blir oproportionerligt betungande för små och medelstora företag eller myndigheter, något som i sin tur kan negativt påverka möjligheterna till ökad cybersäkerhet. </w:t>
      </w:r>
    </w:p>
    <w:p w14:paraId="41569697" w14:textId="77777777" w:rsidR="002D4C7E" w:rsidRDefault="002D4C7E" w:rsidP="002D4C7E"/>
    <w:p w14:paraId="31DBF6AC" w14:textId="77777777" w:rsidR="002D4C7E" w:rsidRPr="008571D4" w:rsidRDefault="002D4C7E" w:rsidP="002D4C7E">
      <w:r w:rsidRPr="00111144">
        <w:t>Regeringen noterar att förordningsförslaget på flera ställen ger kommissionen befogenhet att anta delegerade akter. I frågor som kan vara av betydelse för medlemsstaternas cybersäkerhetsarbete, som exempelvis kategorisering av kritiska produkter samt vilka produkter som ska omfattas av förordningen, kan det vara lämpligare att beslut tas enligt förfarandet i förordning (EU) 182/2011 (</w:t>
      </w:r>
      <w:proofErr w:type="spellStart"/>
      <w:r w:rsidRPr="00111144">
        <w:t>genomförandeakter</w:t>
      </w:r>
      <w:proofErr w:type="spellEnd"/>
      <w:r w:rsidRPr="00111144">
        <w:t>).</w:t>
      </w:r>
    </w:p>
    <w:p w14:paraId="1481E157" w14:textId="77777777" w:rsidR="002D4C7E" w:rsidRPr="00292DFB" w:rsidRDefault="002D4C7E" w:rsidP="00577F26">
      <w:pPr>
        <w:tabs>
          <w:tab w:val="left" w:pos="1701"/>
        </w:tabs>
        <w:rPr>
          <w:sz w:val="22"/>
          <w:szCs w:val="22"/>
        </w:rPr>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3544"/>
        <w:gridCol w:w="1485"/>
      </w:tblGrid>
      <w:tr w:rsidR="00577F26" w:rsidRPr="00292DFB" w14:paraId="34A5B177" w14:textId="77777777" w:rsidTr="00FF258E">
        <w:tc>
          <w:tcPr>
            <w:tcW w:w="3402" w:type="dxa"/>
            <w:gridSpan w:val="2"/>
            <w:tcBorders>
              <w:top w:val="nil"/>
              <w:left w:val="nil"/>
              <w:bottom w:val="nil"/>
              <w:right w:val="nil"/>
            </w:tcBorders>
          </w:tcPr>
          <w:p w14:paraId="4A5F8EE6" w14:textId="77777777" w:rsidR="00577F26" w:rsidRPr="00292DFB" w:rsidRDefault="00577F26" w:rsidP="00FF258E">
            <w:pPr>
              <w:tabs>
                <w:tab w:val="left" w:pos="1701"/>
              </w:tabs>
              <w:rPr>
                <w:sz w:val="22"/>
                <w:szCs w:val="22"/>
              </w:rPr>
            </w:pPr>
          </w:p>
        </w:tc>
        <w:tc>
          <w:tcPr>
            <w:tcW w:w="3544" w:type="dxa"/>
            <w:tcBorders>
              <w:top w:val="nil"/>
              <w:left w:val="nil"/>
              <w:bottom w:val="nil"/>
              <w:right w:val="nil"/>
            </w:tcBorders>
          </w:tcPr>
          <w:p w14:paraId="4EF9D76F" w14:textId="77777777" w:rsidR="00577F26" w:rsidRPr="00292DFB" w:rsidRDefault="00577F26" w:rsidP="00FF258E">
            <w:pPr>
              <w:tabs>
                <w:tab w:val="left" w:pos="1701"/>
              </w:tabs>
              <w:jc w:val="center"/>
              <w:rPr>
                <w:b/>
                <w:sz w:val="22"/>
                <w:szCs w:val="22"/>
              </w:rPr>
            </w:pPr>
          </w:p>
        </w:tc>
        <w:tc>
          <w:tcPr>
            <w:tcW w:w="1485" w:type="dxa"/>
            <w:tcBorders>
              <w:top w:val="nil"/>
              <w:left w:val="nil"/>
              <w:bottom w:val="nil"/>
              <w:right w:val="nil"/>
            </w:tcBorders>
          </w:tcPr>
          <w:p w14:paraId="61CA9AE8" w14:textId="77777777" w:rsidR="00577F26" w:rsidRPr="00292DFB" w:rsidRDefault="00577F26" w:rsidP="00FF258E">
            <w:pPr>
              <w:tabs>
                <w:tab w:val="left" w:pos="1701"/>
              </w:tabs>
              <w:rPr>
                <w:sz w:val="22"/>
                <w:szCs w:val="22"/>
              </w:rPr>
            </w:pPr>
          </w:p>
        </w:tc>
      </w:tr>
      <w:tr w:rsidR="00577F26" w:rsidRPr="00292DFB" w14:paraId="2F35AE70" w14:textId="77777777" w:rsidTr="00FF2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5395ED6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72" w:type="dxa"/>
            <w:gridSpan w:val="3"/>
          </w:tcPr>
          <w:p w14:paraId="39C0A98F"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7F26" w:rsidRPr="00292DFB" w14:paraId="5C445001" w14:textId="77777777" w:rsidTr="00FF2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3971D036"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72" w:type="dxa"/>
            <w:gridSpan w:val="3"/>
          </w:tcPr>
          <w:p w14:paraId="5E4D7312" w14:textId="77777777" w:rsidR="00577F26" w:rsidRPr="00292DFB" w:rsidRDefault="00577F26" w:rsidP="00FF25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43BE27BB" w14:textId="77777777" w:rsidR="00577F26" w:rsidRPr="00292DFB" w:rsidRDefault="00577F26" w:rsidP="00577F26">
      <w:pPr>
        <w:rPr>
          <w:sz w:val="22"/>
          <w:szCs w:val="22"/>
        </w:rPr>
      </w:pPr>
    </w:p>
    <w:p w14:paraId="710703F4" w14:textId="77777777" w:rsidR="00577F26" w:rsidRPr="00292DFB" w:rsidRDefault="00577F26" w:rsidP="00577F26">
      <w:pPr>
        <w:tabs>
          <w:tab w:val="left" w:pos="1701"/>
        </w:tabs>
        <w:rPr>
          <w:sz w:val="22"/>
          <w:szCs w:val="22"/>
        </w:rPr>
      </w:pPr>
    </w:p>
    <w:p w14:paraId="352F8B5F" w14:textId="77777777" w:rsidR="00577F26" w:rsidRPr="00292DFB" w:rsidRDefault="00577F26" w:rsidP="00577F26">
      <w:pPr>
        <w:rPr>
          <w:sz w:val="22"/>
          <w:szCs w:val="22"/>
        </w:rPr>
      </w:pPr>
    </w:p>
    <w:p w14:paraId="7C028C5B" w14:textId="77777777" w:rsidR="00577F26" w:rsidRPr="00292DFB" w:rsidRDefault="00577F26" w:rsidP="00577F26">
      <w:pPr>
        <w:rPr>
          <w:sz w:val="22"/>
          <w:szCs w:val="22"/>
        </w:rPr>
      </w:pPr>
    </w:p>
    <w:p w14:paraId="08CF7EE4" w14:textId="77777777" w:rsidR="00577F26" w:rsidRPr="00292DFB" w:rsidRDefault="00577F26" w:rsidP="00577F26">
      <w:pPr>
        <w:rPr>
          <w:sz w:val="22"/>
          <w:szCs w:val="22"/>
        </w:rPr>
      </w:pPr>
    </w:p>
    <w:p w14:paraId="5E63B746" w14:textId="77777777"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7F6F67"/>
    <w:multiLevelType w:val="multilevel"/>
    <w:tmpl w:val="0EB8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391B8C"/>
    <w:multiLevelType w:val="multilevel"/>
    <w:tmpl w:val="2622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26"/>
    <w:rsid w:val="0006043F"/>
    <w:rsid w:val="00072835"/>
    <w:rsid w:val="00094A50"/>
    <w:rsid w:val="0012554D"/>
    <w:rsid w:val="001B3EF1"/>
    <w:rsid w:val="0028015F"/>
    <w:rsid w:val="00280BC7"/>
    <w:rsid w:val="002B7046"/>
    <w:rsid w:val="002D4C7E"/>
    <w:rsid w:val="00386CC5"/>
    <w:rsid w:val="00461AD5"/>
    <w:rsid w:val="005315D0"/>
    <w:rsid w:val="00577F26"/>
    <w:rsid w:val="00585C22"/>
    <w:rsid w:val="00636306"/>
    <w:rsid w:val="006D3AF9"/>
    <w:rsid w:val="00712851"/>
    <w:rsid w:val="007149F6"/>
    <w:rsid w:val="007B6A85"/>
    <w:rsid w:val="00874A67"/>
    <w:rsid w:val="008D3BE8"/>
    <w:rsid w:val="008F5C48"/>
    <w:rsid w:val="00925EF5"/>
    <w:rsid w:val="00980BA4"/>
    <w:rsid w:val="009855B9"/>
    <w:rsid w:val="00A37376"/>
    <w:rsid w:val="00B026D0"/>
    <w:rsid w:val="00BB02A5"/>
    <w:rsid w:val="00D655A8"/>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74CF"/>
  <w15:chartTrackingRefBased/>
  <w15:docId w15:val="{7022470E-28E6-4110-8E59-A285876D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F2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577F26"/>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77F26"/>
    <w:rPr>
      <w:rFonts w:ascii="Calibri" w:hAnsi="Calibri"/>
      <w:szCs w:val="21"/>
      <w:lang w:val="sv-SE"/>
    </w:rPr>
  </w:style>
  <w:style w:type="character" w:styleId="Stark">
    <w:name w:val="Strong"/>
    <w:basedOn w:val="Standardstycketeckensnitt"/>
    <w:uiPriority w:val="22"/>
    <w:qFormat/>
    <w:rsid w:val="00636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725105">
      <w:bodyDiv w:val="1"/>
      <w:marLeft w:val="0"/>
      <w:marRight w:val="0"/>
      <w:marTop w:val="0"/>
      <w:marBottom w:val="0"/>
      <w:divBdr>
        <w:top w:val="none" w:sz="0" w:space="0" w:color="auto"/>
        <w:left w:val="none" w:sz="0" w:space="0" w:color="auto"/>
        <w:bottom w:val="none" w:sz="0" w:space="0" w:color="auto"/>
        <w:right w:val="none" w:sz="0" w:space="0" w:color="auto"/>
      </w:divBdr>
    </w:div>
    <w:div w:id="14509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21</TotalTime>
  <Pages>5</Pages>
  <Words>1019</Words>
  <Characters>6375</Characters>
  <Application>Microsoft Office Word</Application>
  <DocSecurity>0</DocSecurity>
  <Lines>1062</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7</cp:revision>
  <dcterms:created xsi:type="dcterms:W3CDTF">2022-11-21T13:48:00Z</dcterms:created>
  <dcterms:modified xsi:type="dcterms:W3CDTF">2022-11-29T11:12:00Z</dcterms:modified>
</cp:coreProperties>
</file>